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28F3" w:rsidRDefault="005866E8">
      <w:r>
        <w:rPr>
          <w:noProof/>
        </w:rPr>
        <w:pict>
          <v:group id="Group 2" o:spid="_x0000_s1026" style="position:absolute;margin-left:9.35pt;margin-top:-40.1pt;width:595.2pt;height:769.85pt;z-index:251658240;mso-width-percent:1000;mso-height-percent:1000;mso-position-horizontal-relative:page;mso-position-vertical-relative:margin;mso-width-percent:1000;mso-height-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" o:allowincell="f">
            <v:group id="Group 3"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Group 4"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jp3sQA&#10;AADbAAAADwAAAGRycy9kb3ducmV2LnhtbESPT2vCQBTE70K/w/IK3ppNPUiNrhIK1Xoz8Q94e2Sf&#10;SWz2bchuY/rtXaHgcZiZ3zCL1WAa0VPnassK3qMYBHFhdc2lgsP+6+0DhPPIGhvLpOCPHKyWL6MF&#10;JtreOKM+96UIEHYJKqi8bxMpXVGRQRfZljh4F9sZ9EF2pdQd3gLcNHISx1NpsOawUGFLnxUVP/mv&#10;UZDFw3E3XW/09VS4fpbuznmWbpUavw7pHISnwT/D/+1vrWAyg8eX8A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6d7EAAAA2wAAAA8AAAAAAAAAAAAAAAAAmAIAAGRycy9k&#10;b3ducmV2LnhtbFBLBQYAAAAABAAEAPUAAACJAwAAAAA=&#10;" path="m,l17,2863,7132,2578r,-2378l,xe" fillcolor="#90d4e5 [1620]" stroked="f">
                  <v:fill opacity="32896f"/>
                  <v:path arrowok="t" o:connecttype="custom" o:connectlocs="0,0;17,2863;7132,2578;7132,200;0,0" o:connectangles="0,0,0,0,0"/>
                </v:shape>
                <v:shape id="Freeform 6"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79AMAA&#10;AADbAAAADwAAAGRycy9kb3ducmV2LnhtbERPTYvCMBC9L/gfwgje1lSLi1TTIqIgnnZVEG9DM7bV&#10;ZlKaaOv+enNY2OPjfS+z3tTiSa2rLCuYjCMQxLnVFRcKTsft5xyE88gaa8uk4EUOsnTwscRE245/&#10;6HnwhQgh7BJUUHrfJFK6vCSDbmwb4sBdbWvQB9gWUrfYhXBTy2kUfUmDFYeGEhtal5TfDw+j4HaJ&#10;kXu33seb3+8OH7PT7nq+KzUa9qsFCE+9/xf/uXdaQRzWhy/hB8j0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U79AMAAAADbAAAADwAAAAAAAAAAAAAAAACYAgAAZHJzL2Rvd25y&#10;ZXYueG1sUEsFBgAAAAAEAAQA9QAAAIUDAAAAAA==&#10;" path="m,569l,2930r3466,620l3466,,,569xe" fillcolor="#c7e9f2 [820]" stroked="f">
                  <v:fill opacity="32896f"/>
                  <v:path arrowok="t" o:connecttype="custom" o:connectlocs="0,569;0,2930;3466,3550;3466,0;0,569" o:connectangles="0,0,0,0,0"/>
                </v:shape>
                <v:shape id="Freeform 7"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er6MMA&#10;AADbAAAADwAAAGRycy9kb3ducmV2LnhtbESPQWvCQBSE70L/w/IKvekmWkViNiIFodemotdn9pks&#10;Zt+m2TWm/fXdQsHjMDPfMPl2tK0YqPfGsYJ0loAgrpw2XCs4fO6naxA+IGtsHZOCb/KwLZ4mOWba&#10;3fmDhjLUIkLYZ6igCaHLpPRVQxb9zHXE0bu43mKIsq+l7vEe4baV8yRZSYuG40KDHb01VF3Lm1VA&#10;u8XP17I8nc+pOR6r7jA3r4NV6uV53G1ABBrDI/zfftcKFin8fYk/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er6MMAAADbAAAADwAAAAAAAAAAAAAAAACYAgAAZHJzL2Rv&#10;d25yZXYueG1sUEsFBgAAAAAEAAQA9QAAAIgDAAAAAA==&#10;" path="m,l,3550,1591,2746r,-2009l,xe" fillcolor="#90d4e5 [1620]" stroked="f">
                  <v:fill opacity="32896f"/>
                  <v:path arrowok="t" o:connecttype="custom" o:connectlocs="0,0;0,3550;1591,2746;1591,737;0,0" o:connectangles="0,0,0,0,0"/>
                </v:shape>
              </v:group>
              <v:shape id="Freeform 8"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vKUsUA&#10;AADbAAAADwAAAGRycy9kb3ducmV2LnhtbESPT2vCQBTE74V+h+UVvNWNBkRSV9GK/47aQnt8zT6T&#10;tNm36e5qop/eLQg9DjPzG2Yy60wtzuR8ZVnBoJ+AIM6trrhQ8P62eh6D8AFZY22ZFFzIw2z6+DDB&#10;TNuW93Q+hEJECPsMFZQhNJmUPi/JoO/bhjh6R+sMhihdIbXDNsJNLYdJMpIGK44LJTb0WlL+czgZ&#10;Bbvl14bT62C9+P4tFkvX2o+0/lSq99TNX0AE6sJ/+N7eagXpE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u8pSxQAAANsAAAAPAAAAAAAAAAAAAAAAAJgCAABkcnMv&#10;ZG93bnJldi54bWxQSwUGAAAAAAQABAD1AAAAigMAAAAA&#10;" path="m1,251l,2662r4120,251l4120,,1,251xe" fillcolor="#d8d8d8 [2732]" stroked="f">
                <v:path arrowok="t" o:connecttype="custom" o:connectlocs="1,251;0,2662;4120,2913;4120,0;1,251" o:connectangles="0,0,0,0,0"/>
              </v:shape>
              <v:shape id="Freeform 9"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cl8QA&#10;AADbAAAADwAAAGRycy9kb3ducmV2LnhtbESPQWvCQBSE7wX/w/IKXkQ3tVBM6hokNKD01Ch4fWRf&#10;k6XZtyG70fjv3UKhx2FmvmG2+WQ7caXBG8cKXlYJCOLaacONgvOpXG5A+ICssXNMCu7kId/NnraY&#10;aXfjL7pWoRERwj5DBW0IfSalr1uy6FeuJ47etxsshiiHRuoBbxFuO7lOkjdp0XBcaLGnoqX6pxqt&#10;gsmErjqm69K4y+LjdCkXxed9VGr+PO3fQQSawn/4r33QCl5T+P0Sf4D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JXJfEAAAA2wAAAA8AAAAAAAAAAAAAAAAAmAIAAGRycy9k&#10;b3ducmV2LnhtbFBLBQYAAAAABAAEAPUAAACJAwAAAAA=&#10;" path="m,l,4236,3985,3349r,-2428l,xe" fillcolor="#bfbfbf [2412]" stroked="f">
                <v:path arrowok="t" o:connecttype="custom" o:connectlocs="0,0;0,4236;3985,3349;3985,921;0,0" o:connectangles="0,0,0,0,0"/>
              </v:shape>
              <v:shape id="Freeform 10"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je8sMA&#10;AADbAAAADwAAAGRycy9kb3ducmV2LnhtbESPQYvCMBSE7wv+h/AW9ramuiBSTYssip4EteD10Tzb&#10;0ualNlFrf70RFvY4zMw3zDLtTSPu1LnKsoLJOAJBnFtdcaEgO22+5yCcR9bYWCYFT3KQJqOPJcba&#10;PvhA96MvRICwi1FB6X0bS+nykgy6sW2Jg3exnUEfZFdI3eEjwE0jp1E0kwYrDgsltvRbUl4fb0bB&#10;cLb7i2yH4ec8bOr19VqvDttMqa/PfrUA4an3/+G/9k4rmE3g/SX8AJm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je8sMAAADbAAAADwAAAAAAAAAAAAAAAACYAgAAZHJzL2Rv&#10;d25yZXYueG1sUEsFBgAAAAAEAAQA9QAAAIgDAAAAAA==&#10;" path="m4086,r-2,4253l,3198,,1072,4086,xe" fillcolor="#d8d8d8 [2732]" stroked="f">
                <v:path arrowok="t" o:connecttype="custom" o:connectlocs="4086,0;4084,4253;0,3198;0,1072;4086,0" o:connectangles="0,0,0,0,0"/>
              </v:shape>
              <v:shape id="Freeform 11"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TPfsMA&#10;AADbAAAADwAAAGRycy9kb3ducmV2LnhtbESPQWvCQBSE74X+h+UVvEjdVNugqatYQRA8NRW8PrLP&#10;JDT7NuxuYvz3riB4HGbmG2a5HkwjenK+tqzgY5KAIC6srrlUcPzbvc9B+ICssbFMCq7kYb16fVli&#10;pu2Ff6nPQykihH2GCqoQ2kxKX1Rk0E9sSxy9s3UGQ5SulNrhJcJNI6dJkkqDNceFClvaVlT8551R&#10;kC9w6L6STZ//0LEbn8aH6WHmlBq9DZtvEIGG8Aw/2nutIP2E+5f4A+Tq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TPfsMAAADbAAAADwAAAAAAAAAAAAAAAACYAgAAZHJzL2Rv&#10;d25yZXYueG1sUEsFBgAAAAAEAAQA9QAAAIgDAAAAAA==&#10;" path="m,921l2060,r16,3851l,2981,,921xe" fillcolor="#c7e9f2 [820]" stroked="f">
                <v:fill opacity="46003f"/>
                <v:path arrowok="t" o:connecttype="custom" o:connectlocs="0,921;2060,0;2076,3851;0,2981;0,921" o:connectangles="0,0,0,0,0"/>
              </v:shape>
              <v:shape id="Freeform 12"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yRsQA&#10;AADbAAAADwAAAGRycy9kb3ducmV2LnhtbESPS4vCQBCE7wv+h6EFb+skIj6io8iC4klcH+CxybRJ&#10;MNMTM7Mx7q/fERY8FlX1FTVftqYUDdWusKwg7kcgiFOrC84UnI7rzwkI55E1lpZJwZMcLBedjzkm&#10;2j74m5qDz0SAsEtQQe59lUjp0pwMur6tiIN3tbVBH2SdSV3jI8BNKQdRNJIGCw4LOVb0lVN6O/wY&#10;BU25O7WjeDDdb+6X3ytNzuMhr5XqddvVDISn1r/D/+2tVjCO4fU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xskbEAAAA2wAAAA8AAAAAAAAAAAAAAAAAmAIAAGRycy9k&#10;b3ducmV2LnhtbFBLBQYAAAAABAAEAPUAAACJAwAAAAA=&#10;" path="m,l17,3835,6011,2629r,-1390l,xe" fillcolor="#90d4e5 [1620]" stroked="f">
                <v:fill opacity="46003f"/>
                <v:path arrowok="t" o:connecttype="custom" o:connectlocs="0,0;17,3835;6011,2629;6011,1239;0,0" o:connectangles="0,0,0,0,0"/>
              </v:shape>
              <v:shape id="Freeform 13"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wWI8IA&#10;AADbAAAADwAAAGRycy9kb3ducmV2LnhtbESPQWvCQBSE74X+h+UJXopu2kgbo6tIQejBi2l/wCP7&#10;3A1m34bsGuO/dwuCx2FmvmHW29G1YqA+NJ4VvM8zEMS11w0bBX+/+1kBIkRkja1nUnCjANvN68sa&#10;S+2vfKShikYkCIcSFdgYu1LKUFtyGOa+I07eyfcOY5K9kbrHa4K7Vn5k2ad02HBasNjRt6X6XF2c&#10;ggLlW86ncTgXR3SHfGlstzBKTSfjbgUi0hif4Uf7Ryv4yuH/S/oB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LBYjwgAAANsAAAAPAAAAAAAAAAAAAAAAAJgCAABkcnMvZG93&#10;bnJldi54bWxQSwUGAAAAAAQABAD1AAAAhwMAAAAA&#10;" path="m,1038l,2411,4102,3432,4102,,,1038xe" fillcolor="#c7e9f2 [820]" stroked="f">
                <v:fill opacity="46003f"/>
                <v:path arrowok="t" o:connecttype="custom" o:connectlocs="0,1038;0,2411;4102,3432;4102,0;0,1038" o:connectangles="0,0,0,0,0"/>
              </v:shape>
            </v:group>
            <v:rect id="Rectangle 14" o:spid="_x0000_s1038" style="position:absolute;left:1800;top:1440;width:8639;height:6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AyecUA&#10;AADbAAAADwAAAGRycy9kb3ducmV2LnhtbESP0WrCQBRE3wv+w3KFvpRmYy2pjVlFrIXom9EPuGZv&#10;k2j2bshuNf37bqHg4zAzZ5hsOZhWXKl3jWUFkygGQVxa3XCl4Hj4fJ6BcB5ZY2uZFPyQg+Vi9JBh&#10;qu2N93QtfCUChF2KCmrvu1RKV9Zk0EW2Iw7el+0N+iD7SuoebwFuWvkSx4k02HBYqLGjdU3lpfg2&#10;Cra7191xncvz5b35eMrfilieko1Sj+NhNQfhafD38H871wpmU/j7En6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UDJ5xQAAANsAAAAPAAAAAAAAAAAAAAAAAJgCAABkcnMv&#10;ZG93bnJldi54bWxQSwUGAAAAAAQABAD1AAAAigMAAAAA&#10;" filled="f" stroked="f">
              <v:textbox style="mso-next-textbox:#Rectangle 14;mso-fit-shape-to-text:t">
                <w:txbxContent>
                  <w:p w:rsidR="002B4FEE" w:rsidRPr="00EE4083" w:rsidRDefault="002B4FEE" w:rsidP="00DF28F3">
                    <w:pPr>
                      <w:tabs>
                        <w:tab w:val="left" w:pos="2127"/>
                      </w:tabs>
                      <w:rPr>
                        <w:szCs w:val="32"/>
                      </w:rPr>
                    </w:pPr>
                  </w:p>
                </w:txbxContent>
              </v:textbox>
            </v:rect>
            <v:rect id="Rectangle 15" o:spid="_x0000_s1039" style="position:absolute;left:6494;top:11161;width:4998;height:29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mqDcUA&#10;AADbAAAADwAAAGRycy9kb3ducmV2LnhtbESP0WrCQBRE3wv+w3ILfSl10yJWU9cgqULqW1M/4Jq9&#10;TVKzd0N2TeLfu0LBx2FmzjCrZDSN6KlztWUFr9MIBHFhdc2lgsPP7mUBwnlkjY1lUnAhB8l68rDC&#10;WNuBv6nPfSkChF2MCirv21hKV1Rk0E1tSxy8X9sZ9EF2pdQdDgFuGvkWRXNpsOawUGFLaUXFKT8b&#10;BV/72f6QZvLvtKw/n7P3PJLH+Vapp8dx8wHC0+jv4f92phUsZnD7En6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uaoNxQAAANsAAAAPAAAAAAAAAAAAAAAAAJgCAABkcnMv&#10;ZG93bnJldi54bWxQSwUGAAAAAAQABAD1AAAAigMAAAAA&#10;" filled="f" stroked="f">
              <v:textbox style="mso-next-textbox:#Rectangle 15;mso-fit-shape-to-text:t">
                <w:txbxContent>
                  <w:p w:rsidR="002B4FEE" w:rsidRPr="00F16F8D" w:rsidRDefault="002B4FEE" w:rsidP="004574CF">
                    <w:pPr>
                      <w:rPr>
                        <w:rFonts w:cs="Arial"/>
                        <w:color w:val="21798E" w:themeColor="accent1" w:themeShade="BF"/>
                        <w:sz w:val="88"/>
                        <w:szCs w:val="88"/>
                      </w:rPr>
                    </w:pPr>
                    <w:r>
                      <w:rPr>
                        <w:rFonts w:cs="Arial"/>
                        <w:color w:val="21798E" w:themeColor="accent1" w:themeShade="BF"/>
                        <w:sz w:val="88"/>
                        <w:szCs w:val="88"/>
                      </w:rPr>
                      <w:t>August 2014</w:t>
                    </w:r>
                  </w:p>
                </w:txbxContent>
              </v:textbox>
            </v:rect>
            <v:rect id="Rectangle 16" o:spid="_x0000_s1040" style="position:absolute;left:1800;top:2294;width:8638;height:726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q9VsIA&#10;AADbAAAADwAAAGRycy9kb3ducmV2LnhtbESP3YrCMBSE7xd8h3AE79ZURZFqFFFEhV3Bnwc4Nse2&#10;2JyUJGp9e7Ow4OUwM98w03ljKvEg50vLCnrdBARxZnXJuYLzaf09BuEDssbKMil4kYf5rPU1xVTb&#10;Jx/ocQy5iBD2KSooQqhTKX1WkEHftTVx9K7WGQxRulxqh88IN5XsJ8lIGiw5LhRY07Kg7Ha8GwWD&#10;n/3e/a5u61GyOu/Yuma5uRyU6rSbxQREoCZ8wv/trVYwHsLfl/gD5Ow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r1WwgAAANsAAAAPAAAAAAAAAAAAAAAAAJgCAABkcnMvZG93&#10;bnJldi54bWxQSwUGAAAAAAQABAD1AAAAhwMAAAAA&#10;" filled="f" stroked="f">
              <v:textbox style="mso-next-textbox:#Rectangle 16">
                <w:txbxContent>
                  <w:sdt>
                    <w:sdtPr>
                      <w:rPr>
                        <w:rFonts w:eastAsia="Times New Roman" w:cs="Arial"/>
                        <w:b/>
                        <w:bCs/>
                        <w:color w:val="464646" w:themeColor="text2"/>
                        <w:sz w:val="96"/>
                        <w:szCs w:val="72"/>
                      </w:rPr>
                      <w:alias w:val="Title"/>
                      <w:id w:val="20356878"/>
                      <w:dataBinding w:prefixMappings="xmlns:ns0='http://schemas.openxmlformats.org/package/2006/metadata/core-properties' xmlns:ns1='http://purl.org/dc/elements/1.1/'" w:xpath="/ns0:coreProperties[1]/ns1:title[1]" w:storeItemID="{6C3C8BC8-F283-45AE-878A-BAB7291924A1}"/>
                      <w:text/>
                    </w:sdtPr>
                    <w:sdtContent>
                      <w:p w:rsidR="002B4FEE" w:rsidRDefault="002B4FEE" w:rsidP="00DF28F3">
                        <w:pPr>
                          <w:spacing w:after="0"/>
                          <w:rPr>
                            <w:b/>
                            <w:bCs/>
                            <w:color w:val="464646" w:themeColor="text2"/>
                            <w:sz w:val="72"/>
                            <w:szCs w:val="72"/>
                          </w:rPr>
                        </w:pPr>
                        <w:r w:rsidRPr="00DF28F3">
                          <w:rPr>
                            <w:rFonts w:eastAsia="Times New Roman" w:cs="Arial"/>
                            <w:b/>
                            <w:bCs/>
                            <w:color w:val="464646" w:themeColor="text2"/>
                            <w:sz w:val="96"/>
                            <w:szCs w:val="72"/>
                          </w:rPr>
                          <w:t>Weston Area Health NHS Trust</w:t>
                        </w:r>
                      </w:p>
                    </w:sdtContent>
                  </w:sdt>
                  <w:sdt>
                    <w:sdtPr>
                      <w:rPr>
                        <w:rFonts w:eastAsia="Times New Roman" w:cs="Arial"/>
                        <w:b/>
                        <w:bCs/>
                        <w:color w:val="2DA2BF" w:themeColor="accent1"/>
                        <w:sz w:val="44"/>
                        <w:szCs w:val="40"/>
                      </w:rPr>
                      <w:alias w:val="Subtitle"/>
                      <w:id w:val="20356879"/>
                      <w:dataBinding w:prefixMappings="xmlns:ns0='http://schemas.openxmlformats.org/package/2006/metadata/core-properties' xmlns:ns1='http://purl.org/dc/elements/1.1/'" w:xpath="/ns0:coreProperties[1]/ns1:subject[1]" w:storeItemID="{6C3C8BC8-F283-45AE-878A-BAB7291924A1}"/>
                      <w:text/>
                    </w:sdtPr>
                    <w:sdtContent>
                      <w:p w:rsidR="002B4FEE" w:rsidRDefault="002B4FEE" w:rsidP="00DF28F3">
                        <w:pPr>
                          <w:rPr>
                            <w:b/>
                            <w:bCs/>
                            <w:color w:val="2DA2BF" w:themeColor="accent1"/>
                            <w:sz w:val="40"/>
                            <w:szCs w:val="40"/>
                          </w:rPr>
                        </w:pPr>
                        <w:r>
                          <w:rPr>
                            <w:rFonts w:eastAsia="Times New Roman" w:cs="Arial"/>
                            <w:b/>
                            <w:bCs/>
                            <w:color w:val="2DA2BF" w:themeColor="accent1"/>
                            <w:sz w:val="44"/>
                            <w:szCs w:val="40"/>
                          </w:rPr>
                          <w:t xml:space="preserve">Integrated Performance </w:t>
                        </w:r>
                        <w:r w:rsidRPr="00DF28F3">
                          <w:rPr>
                            <w:rFonts w:eastAsia="Times New Roman" w:cs="Arial"/>
                            <w:b/>
                            <w:bCs/>
                            <w:color w:val="2DA2BF" w:themeColor="accent1"/>
                            <w:sz w:val="44"/>
                            <w:szCs w:val="40"/>
                          </w:rPr>
                          <w:t>Report</w:t>
                        </w:r>
                      </w:p>
                    </w:sdtContent>
                  </w:sdt>
                  <w:p w:rsidR="002B4FEE" w:rsidRDefault="002B4FEE" w:rsidP="00DF28F3">
                    <w:pPr>
                      <w:rPr>
                        <w:b/>
                        <w:bCs/>
                        <w:color w:val="808080" w:themeColor="text1" w:themeTint="7F"/>
                        <w:sz w:val="32"/>
                        <w:szCs w:val="32"/>
                      </w:rPr>
                    </w:pPr>
                  </w:p>
                  <w:p w:rsidR="002B4FEE" w:rsidRDefault="002B4FEE" w:rsidP="00DF28F3">
                    <w:pPr>
                      <w:rPr>
                        <w:b/>
                        <w:bCs/>
                        <w:color w:val="808080" w:themeColor="text1" w:themeTint="7F"/>
                        <w:sz w:val="32"/>
                        <w:szCs w:val="32"/>
                      </w:rPr>
                    </w:pPr>
                  </w:p>
                </w:txbxContent>
              </v:textbox>
            </v:rect>
            <w10:wrap anchorx="page" anchory="margin"/>
          </v:group>
        </w:pict>
      </w:r>
      <w:r w:rsidR="007C67AE">
        <w:t xml:space="preserve"> </w:t>
      </w:r>
    </w:p>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Pr="00DF28F3" w:rsidRDefault="00DF28F3" w:rsidP="00DF28F3"/>
    <w:p w:rsidR="00DF28F3" w:rsidRDefault="00DF28F3" w:rsidP="00DF28F3">
      <w:pPr>
        <w:tabs>
          <w:tab w:val="left" w:pos="6072"/>
        </w:tabs>
      </w:pPr>
    </w:p>
    <w:p w:rsidR="00D1431F" w:rsidRPr="00E719C3" w:rsidRDefault="00D1431F" w:rsidP="00E719C3">
      <w:pPr>
        <w:pStyle w:val="Heading1"/>
        <w:rPr>
          <w:sz w:val="48"/>
        </w:rPr>
      </w:pPr>
      <w:bookmarkStart w:id="0" w:name="_Toc381084844"/>
      <w:bookmarkStart w:id="1" w:name="_Toc381084845"/>
      <w:r w:rsidRPr="004D4738">
        <w:rPr>
          <w:sz w:val="56"/>
        </w:rPr>
        <w:lastRenderedPageBreak/>
        <w:t>Section 1 Executive Summary</w:t>
      </w:r>
      <w:bookmarkEnd w:id="0"/>
    </w:p>
    <w:p w:rsidR="006204A0" w:rsidRPr="004A6B5F" w:rsidRDefault="005866E8" w:rsidP="0059504E">
      <w:pPr>
        <w:rPr>
          <w:rFonts w:cstheme="minorHAnsi"/>
          <w:color w:val="000000" w:themeColor="text1"/>
          <w:sz w:val="12"/>
          <w:szCs w:val="24"/>
        </w:rPr>
      </w:pPr>
      <w:r w:rsidRPr="005866E8">
        <w:rPr>
          <w:rFonts w:cstheme="minorHAnsi"/>
          <w:noProof/>
          <w:color w:val="000000" w:themeColor="text1"/>
          <w:sz w:val="24"/>
          <w:szCs w:val="24"/>
        </w:rPr>
        <w:pict>
          <v:roundrect id="AutoShape 23" o:spid="_x0000_s1045" style="position:absolute;margin-left:-22.6pt;margin-top:6.2pt;width:549.2pt;height:650.5pt;z-index:-25160704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" fillcolor="white [3201]" strokecolor="#79cbdf [1940]" strokeweight="1pt">
            <v:fill color2="#a6dcea [1300]" focus="100%" type="gradient"/>
            <v:shadow on="t" color="#16505e [1604]" opacity=".5" offset="1pt"/>
            <v:textbox>
              <w:txbxContent>
                <w:p w:rsidR="002B4FEE" w:rsidRPr="007712AA" w:rsidRDefault="002B4FEE" w:rsidP="007712AA">
                  <w:pPr>
                    <w:pStyle w:val="NoSpacing"/>
                    <w:jc w:val="both"/>
                  </w:pPr>
                  <w:r w:rsidRPr="007712AA">
                    <w:t xml:space="preserve">On the 10th July the Trust undertook a ‘Celebration of Success’ awards ceremony to recognise staff for their outstanding work and their positive contribution to patient care.  Finalists and winners were nominated and judged by their fellow colleagues across the Trust.  The calibre of the winners demonstrated the many positive changes that have happened in the Trust over the last 12 months.  </w:t>
                  </w:r>
                </w:p>
                <w:p w:rsidR="002B4FEE" w:rsidRPr="007712AA" w:rsidRDefault="002B4FEE" w:rsidP="007712AA">
                  <w:pPr>
                    <w:pStyle w:val="NoSpacing"/>
                    <w:jc w:val="both"/>
                  </w:pPr>
                </w:p>
                <w:p w:rsidR="002B4FEE" w:rsidRPr="007712AA" w:rsidRDefault="002B4FEE" w:rsidP="007712AA">
                  <w:pPr>
                    <w:pStyle w:val="NoSpacing"/>
                    <w:jc w:val="both"/>
                  </w:pPr>
                  <w:r w:rsidRPr="007712AA">
                    <w:t xml:space="preserve">Despite the significant shift in performance experienced by the Trust over the past 12 months, July proved to be a challenging month for the Trust against a number of key targets.  Whilst in June the Trust achieved the four hour standard for the seventh consecutive month.  In July the Trust experienced a step change in activity volumes, flows and acuity which resulted in the failure to achieve the target.  This change also impacted on the Trusts ability to achieve the Stroke target in July as a result of the pressures on the Trust bed base.  Both areas are being monitored closely and the necessary actions have been put in place.   Despite the challenges in these areas the Trust continue to experience improvements in Cancer where in quarter </w:t>
                  </w:r>
                  <w:r>
                    <w:t>one</w:t>
                  </w:r>
                  <w:r w:rsidRPr="007712AA">
                    <w:t xml:space="preserve"> the two week wait, 31 day and 62 day targets were achieved.   </w:t>
                  </w:r>
                </w:p>
                <w:p w:rsidR="002B4FEE" w:rsidRPr="007712AA" w:rsidRDefault="002B4FEE" w:rsidP="007712AA">
                  <w:pPr>
                    <w:pStyle w:val="NoSpacing"/>
                    <w:jc w:val="both"/>
                  </w:pPr>
                </w:p>
                <w:p w:rsidR="002B4FEE" w:rsidRPr="007712AA" w:rsidRDefault="002B4FEE" w:rsidP="007712AA">
                  <w:pPr>
                    <w:pStyle w:val="NoSpacing"/>
                    <w:jc w:val="both"/>
                  </w:pPr>
                  <w:r w:rsidRPr="007712AA">
                    <w:t>The strategic focus on optimising the patient’s clinical pathway has led to improvements across a number of key quality areas including average LOS, Friends and Family Test response rate and net promoter, VTE risk assessment, Clostridium Difficile and SHMI.  However, the Trust still has further improvements to make.  In July there was an incidence of MRSA and the Trust has undertaken a full review and clear actions are in place to minimise the chance of reoccurrence.</w:t>
                  </w:r>
                </w:p>
                <w:p w:rsidR="002B4FEE" w:rsidRPr="007712AA" w:rsidRDefault="002B4FEE" w:rsidP="007712AA">
                  <w:pPr>
                    <w:pStyle w:val="NoSpacing"/>
                    <w:jc w:val="both"/>
                  </w:pPr>
                </w:p>
                <w:p w:rsidR="002B4FEE" w:rsidRPr="007712AA" w:rsidRDefault="002B4FEE" w:rsidP="007712AA">
                  <w:pPr>
                    <w:pStyle w:val="NoSpacing"/>
                    <w:jc w:val="both"/>
                  </w:pPr>
                  <w:r w:rsidRPr="007712AA">
                    <w:t>In July the Trust financial position is in line with plan with a year to date deficit of £1,478,000</w:t>
                  </w:r>
                  <w:r>
                    <w:t>.</w:t>
                  </w:r>
                  <w:r w:rsidRPr="007712AA">
                    <w:t xml:space="preserve">  </w:t>
                  </w:r>
                </w:p>
                <w:p w:rsidR="002B4FEE" w:rsidRPr="007712AA" w:rsidRDefault="002B4FEE" w:rsidP="007712AA">
                  <w:pPr>
                    <w:pStyle w:val="NoSpacing"/>
                    <w:rPr>
                      <w:sz w:val="22"/>
                      <w:szCs w:val="22"/>
                    </w:rPr>
                  </w:pPr>
                  <w:r>
                    <w:rPr>
                      <w:sz w:val="22"/>
                      <w:szCs w:val="22"/>
                    </w:rPr>
                    <w:t xml:space="preserve">  </w:t>
                  </w:r>
                </w:p>
                <w:p w:rsidR="002B4FEE" w:rsidRDefault="002B4FEE" w:rsidP="007712AA">
                  <w:pPr>
                    <w:ind w:firstLine="720"/>
                  </w:pPr>
                </w:p>
              </w:txbxContent>
            </v:textbox>
          </v:roundrect>
        </w:pict>
      </w:r>
    </w:p>
    <w:p w:rsidR="006807D0" w:rsidRDefault="006807D0" w:rsidP="0059504E">
      <w:pPr>
        <w:autoSpaceDE w:val="0"/>
        <w:autoSpaceDN w:val="0"/>
        <w:adjustRightInd w:val="0"/>
        <w:spacing w:after="0" w:line="240" w:lineRule="auto"/>
        <w:rPr>
          <w:rFonts w:cstheme="minorHAnsi"/>
          <w:color w:val="000000" w:themeColor="text1"/>
          <w:sz w:val="24"/>
          <w:szCs w:val="24"/>
        </w:rPr>
      </w:pPr>
      <w:r>
        <w:rPr>
          <w:rFonts w:cstheme="minorHAnsi"/>
          <w:color w:val="000000" w:themeColor="text1"/>
          <w:sz w:val="24"/>
          <w:szCs w:val="24"/>
        </w:rPr>
        <w:t xml:space="preserve">   </w:t>
      </w:r>
    </w:p>
    <w:p w:rsidR="006807D0" w:rsidRDefault="006807D0" w:rsidP="0059504E">
      <w:pPr>
        <w:autoSpaceDE w:val="0"/>
        <w:autoSpaceDN w:val="0"/>
        <w:adjustRightInd w:val="0"/>
        <w:spacing w:after="0" w:line="240" w:lineRule="auto"/>
        <w:rPr>
          <w:rFonts w:cstheme="minorHAnsi"/>
          <w:color w:val="000000" w:themeColor="text1"/>
          <w:sz w:val="24"/>
          <w:szCs w:val="24"/>
        </w:rPr>
      </w:pPr>
    </w:p>
    <w:p w:rsidR="00020FB5" w:rsidRPr="00020FB5" w:rsidRDefault="00020FB5" w:rsidP="00020FB5">
      <w:pPr>
        <w:pStyle w:val="NoSpacing"/>
        <w:jc w:val="both"/>
      </w:pPr>
    </w:p>
    <w:p w:rsidR="00020FB5" w:rsidRPr="00020FB5" w:rsidRDefault="00020FB5" w:rsidP="00020FB5">
      <w:pPr>
        <w:pStyle w:val="NoSpacing"/>
        <w:jc w:val="both"/>
      </w:pPr>
    </w:p>
    <w:p w:rsidR="00020FB5" w:rsidRPr="00020FB5" w:rsidRDefault="00020FB5" w:rsidP="007712AA">
      <w:pPr>
        <w:pStyle w:val="NoSpacing"/>
        <w:tabs>
          <w:tab w:val="left" w:pos="1139"/>
        </w:tabs>
        <w:jc w:val="both"/>
      </w:pPr>
    </w:p>
    <w:p w:rsidR="007712AA" w:rsidRDefault="007712AA" w:rsidP="00020FB5">
      <w:pPr>
        <w:pStyle w:val="NoSpacing"/>
      </w:pPr>
    </w:p>
    <w:p w:rsidR="007712AA" w:rsidRPr="00020FB5" w:rsidRDefault="007712AA" w:rsidP="00020FB5">
      <w:pPr>
        <w:pStyle w:val="NoSpacing"/>
      </w:pPr>
    </w:p>
    <w:p w:rsidR="002B47C5" w:rsidRPr="00020FB5" w:rsidRDefault="002B47C5">
      <w:pPr>
        <w:rPr>
          <w:rFonts w:asciiTheme="majorHAnsi" w:eastAsiaTheme="majorEastAsia" w:hAnsiTheme="majorHAnsi" w:cstheme="majorBidi"/>
          <w:b/>
          <w:bCs/>
          <w:color w:val="21798E" w:themeColor="accent1" w:themeShade="BF"/>
          <w:sz w:val="24"/>
          <w:szCs w:val="24"/>
        </w:rPr>
      </w:pPr>
      <w:r w:rsidRPr="00020FB5">
        <w:rPr>
          <w:sz w:val="24"/>
          <w:szCs w:val="24"/>
        </w:rPr>
        <w:br w:type="page"/>
      </w:r>
    </w:p>
    <w:p w:rsidR="00AD3959" w:rsidRPr="00F5473A" w:rsidRDefault="00AD3959" w:rsidP="00CB6E44">
      <w:pPr>
        <w:pStyle w:val="Heading1"/>
        <w:numPr>
          <w:ilvl w:val="0"/>
          <w:numId w:val="8"/>
        </w:numPr>
      </w:pPr>
      <w:r w:rsidRPr="00F5473A">
        <w:lastRenderedPageBreak/>
        <w:t>Monitor Scorecard</w:t>
      </w:r>
    </w:p>
    <w:bookmarkEnd w:id="1"/>
    <w:p w:rsidR="00BC46F0" w:rsidRPr="002B47C5" w:rsidRDefault="00BC46F0" w:rsidP="00BC46F0">
      <w:pPr>
        <w:rPr>
          <w:sz w:val="2"/>
          <w:highlight w:val="yellow"/>
        </w:rPr>
      </w:pPr>
    </w:p>
    <w:p w:rsidR="00BC46F0" w:rsidRPr="002B47C5" w:rsidRDefault="000C7E16" w:rsidP="006D5B37">
      <w:pPr>
        <w:jc w:val="center"/>
        <w:rPr>
          <w:noProof/>
          <w:highlight w:val="yellow"/>
        </w:rPr>
      </w:pPr>
      <w:r w:rsidRPr="000C7E16">
        <w:rPr>
          <w:noProof/>
        </w:rPr>
        <w:drawing>
          <wp:inline distT="0" distB="0" distL="0" distR="0">
            <wp:extent cx="6645910" cy="5765252"/>
            <wp:effectExtent l="19050" t="0" r="254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645910" cy="5765252"/>
                    </a:xfrm>
                    <a:prstGeom prst="rect">
                      <a:avLst/>
                    </a:prstGeom>
                    <a:noFill/>
                    <a:ln w="9525">
                      <a:noFill/>
                      <a:miter lim="800000"/>
                      <a:headEnd/>
                      <a:tailEnd/>
                    </a:ln>
                  </pic:spPr>
                </pic:pic>
              </a:graphicData>
            </a:graphic>
          </wp:inline>
        </w:drawing>
      </w:r>
    </w:p>
    <w:p w:rsidR="00BC46F0" w:rsidRPr="002B47C5" w:rsidRDefault="000C7E16" w:rsidP="00BC46F0">
      <w:pPr>
        <w:jc w:val="center"/>
        <w:rPr>
          <w:noProof/>
          <w:highlight w:val="yellow"/>
        </w:rPr>
      </w:pPr>
      <w:r w:rsidRPr="000C7E16">
        <w:rPr>
          <w:noProof/>
        </w:rPr>
        <w:drawing>
          <wp:inline distT="0" distB="0" distL="0" distR="0">
            <wp:extent cx="3732028" cy="1467293"/>
            <wp:effectExtent l="0" t="0" r="0" b="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3732517" cy="1467485"/>
                    </a:xfrm>
                    <a:prstGeom prst="rect">
                      <a:avLst/>
                    </a:prstGeom>
                    <a:noFill/>
                    <a:ln w="9525">
                      <a:noFill/>
                      <a:miter lim="800000"/>
                      <a:headEnd/>
                      <a:tailEnd/>
                    </a:ln>
                  </pic:spPr>
                </pic:pic>
              </a:graphicData>
            </a:graphic>
          </wp:inline>
        </w:drawing>
      </w:r>
      <w:r w:rsidR="00BC46F0" w:rsidRPr="002B47C5">
        <w:rPr>
          <w:noProof/>
          <w:highlight w:val="yellow"/>
        </w:rPr>
        <w:br w:type="page"/>
      </w:r>
    </w:p>
    <w:p w:rsidR="00BC46F0" w:rsidRPr="002B47C5" w:rsidRDefault="00BC46F0" w:rsidP="004B67E7">
      <w:pPr>
        <w:pStyle w:val="ListParagraph"/>
        <w:numPr>
          <w:ilvl w:val="1"/>
          <w:numId w:val="2"/>
        </w:numPr>
        <w:rPr>
          <w:rStyle w:val="Heading2Char"/>
          <w:highlight w:val="yellow"/>
        </w:rPr>
        <w:sectPr w:rsidR="00BC46F0" w:rsidRPr="002B47C5" w:rsidSect="00BC46F0">
          <w:headerReference w:type="default" r:id="rId10"/>
          <w:footerReference w:type="default" r:id="rId11"/>
          <w:pgSz w:w="11906" w:h="16838"/>
          <w:pgMar w:top="720" w:right="720" w:bottom="720" w:left="720" w:header="708" w:footer="708" w:gutter="0"/>
          <w:cols w:space="708"/>
          <w:docGrid w:linePitch="360"/>
        </w:sectPr>
      </w:pPr>
      <w:bookmarkStart w:id="2" w:name="_Toc381084846"/>
    </w:p>
    <w:p w:rsidR="00852390" w:rsidRPr="00852390" w:rsidRDefault="00A77EA2" w:rsidP="00852390">
      <w:pPr>
        <w:pStyle w:val="ListParagraph"/>
        <w:numPr>
          <w:ilvl w:val="1"/>
          <w:numId w:val="2"/>
        </w:numPr>
        <w:rPr>
          <w:rStyle w:val="Heading2Char"/>
        </w:rPr>
      </w:pPr>
      <w:r w:rsidRPr="00497711">
        <w:rPr>
          <w:rStyle w:val="Heading2Char"/>
        </w:rPr>
        <w:lastRenderedPageBreak/>
        <w:t>Summary Scorecard</w:t>
      </w:r>
      <w:bookmarkEnd w:id="2"/>
      <w:r w:rsidR="004F5DCA" w:rsidRPr="004F5DCA">
        <w:rPr>
          <w:rStyle w:val="Heading2Char"/>
          <w:b w:val="0"/>
          <w:bCs w:val="0"/>
        </w:rPr>
        <w:t xml:space="preserve"> </w:t>
      </w:r>
    </w:p>
    <w:p w:rsidR="00852390" w:rsidRPr="00116145" w:rsidRDefault="00477CC7" w:rsidP="00852390">
      <w:pPr>
        <w:rPr>
          <w:rStyle w:val="Heading2Char"/>
        </w:rPr>
      </w:pPr>
      <w:r w:rsidRPr="00477CC7">
        <w:rPr>
          <w:noProof/>
          <w:szCs w:val="26"/>
        </w:rPr>
        <w:drawing>
          <wp:inline distT="0" distB="0" distL="0" distR="0">
            <wp:extent cx="9781110" cy="4914900"/>
            <wp:effectExtent l="1905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9777730" cy="4913202"/>
                    </a:xfrm>
                    <a:prstGeom prst="rect">
                      <a:avLst/>
                    </a:prstGeom>
                    <a:noFill/>
                    <a:ln w="9525">
                      <a:noFill/>
                      <a:miter lim="800000"/>
                      <a:headEnd/>
                      <a:tailEnd/>
                    </a:ln>
                  </pic:spPr>
                </pic:pic>
              </a:graphicData>
            </a:graphic>
          </wp:inline>
        </w:drawing>
      </w:r>
    </w:p>
    <w:p w:rsidR="004F5DCA" w:rsidRDefault="008D1232" w:rsidP="00827B0C">
      <w:pPr>
        <w:rPr>
          <w:rFonts w:asciiTheme="majorHAnsi" w:eastAsiaTheme="majorEastAsia" w:hAnsiTheme="majorHAnsi" w:cstheme="majorBidi"/>
          <w:b/>
          <w:bCs/>
          <w:color w:val="2DA2BF" w:themeColor="accent1"/>
          <w:sz w:val="26"/>
          <w:szCs w:val="26"/>
          <w:highlight w:val="yellow"/>
        </w:rPr>
      </w:pPr>
      <w:r w:rsidRPr="008D1232">
        <w:rPr>
          <w:noProof/>
          <w:szCs w:val="26"/>
        </w:rPr>
        <w:lastRenderedPageBreak/>
        <w:drawing>
          <wp:inline distT="0" distB="0" distL="0" distR="0">
            <wp:extent cx="9777730" cy="5855926"/>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9777730" cy="5855926"/>
                    </a:xfrm>
                    <a:prstGeom prst="rect">
                      <a:avLst/>
                    </a:prstGeom>
                    <a:noFill/>
                    <a:ln w="9525">
                      <a:noFill/>
                      <a:miter lim="800000"/>
                      <a:headEnd/>
                      <a:tailEnd/>
                    </a:ln>
                  </pic:spPr>
                </pic:pic>
              </a:graphicData>
            </a:graphic>
          </wp:inline>
        </w:drawing>
      </w:r>
    </w:p>
    <w:p w:rsidR="00713381" w:rsidRPr="004F5DCA" w:rsidRDefault="00477CC7" w:rsidP="004F5DCA">
      <w:pPr>
        <w:rPr>
          <w:rFonts w:asciiTheme="majorHAnsi" w:eastAsiaTheme="majorEastAsia" w:hAnsiTheme="majorHAnsi" w:cstheme="majorBidi"/>
          <w:b/>
          <w:bCs/>
          <w:color w:val="2DA2BF" w:themeColor="accent1"/>
          <w:sz w:val="26"/>
          <w:szCs w:val="26"/>
          <w:highlight w:val="yellow"/>
        </w:rPr>
      </w:pPr>
      <w:r w:rsidRPr="00477CC7">
        <w:rPr>
          <w:noProof/>
        </w:rPr>
        <w:lastRenderedPageBreak/>
        <w:drawing>
          <wp:inline distT="0" distB="0" distL="0" distR="0">
            <wp:extent cx="9777730" cy="5736268"/>
            <wp:effectExtent l="19050" t="0" r="0"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9777730" cy="5736268"/>
                    </a:xfrm>
                    <a:prstGeom prst="rect">
                      <a:avLst/>
                    </a:prstGeom>
                    <a:noFill/>
                    <a:ln w="9525">
                      <a:noFill/>
                      <a:miter lim="800000"/>
                      <a:headEnd/>
                      <a:tailEnd/>
                    </a:ln>
                  </pic:spPr>
                </pic:pic>
              </a:graphicData>
            </a:graphic>
          </wp:inline>
        </w:drawing>
      </w:r>
      <w:r w:rsidR="00713381" w:rsidRPr="009648EB">
        <w:rPr>
          <w:b/>
          <w:noProof/>
          <w:color w:val="21798E" w:themeColor="accent1" w:themeShade="BF"/>
          <w:sz w:val="16"/>
        </w:rPr>
        <w:t xml:space="preserve">Data reported in arrears - * </w:t>
      </w:r>
    </w:p>
    <w:p w:rsidR="00AC2D84" w:rsidRDefault="00477CC7">
      <w:pPr>
        <w:rPr>
          <w:noProof/>
        </w:rPr>
      </w:pPr>
      <w:r w:rsidRPr="00477CC7">
        <w:rPr>
          <w:noProof/>
        </w:rPr>
        <w:lastRenderedPageBreak/>
        <w:drawing>
          <wp:inline distT="0" distB="0" distL="0" distR="0">
            <wp:extent cx="9777730" cy="5594047"/>
            <wp:effectExtent l="1905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srcRect/>
                    <a:stretch>
                      <a:fillRect/>
                    </a:stretch>
                  </pic:blipFill>
                  <pic:spPr bwMode="auto">
                    <a:xfrm>
                      <a:off x="0" y="0"/>
                      <a:ext cx="9777730" cy="5594047"/>
                    </a:xfrm>
                    <a:prstGeom prst="rect">
                      <a:avLst/>
                    </a:prstGeom>
                    <a:noFill/>
                    <a:ln w="9525">
                      <a:noFill/>
                      <a:miter lim="800000"/>
                      <a:headEnd/>
                      <a:tailEnd/>
                    </a:ln>
                  </pic:spPr>
                </pic:pic>
              </a:graphicData>
            </a:graphic>
          </wp:inline>
        </w:drawing>
      </w:r>
    </w:p>
    <w:p w:rsidR="00CD5059" w:rsidRDefault="00477CC7">
      <w:pPr>
        <w:rPr>
          <w:noProof/>
        </w:rPr>
        <w:sectPr w:rsidR="00CD5059" w:rsidSect="00BC46F0">
          <w:pgSz w:w="16838" w:h="11906" w:orient="landscape"/>
          <w:pgMar w:top="720" w:right="720" w:bottom="720" w:left="720" w:header="708" w:footer="708" w:gutter="0"/>
          <w:cols w:space="708"/>
          <w:docGrid w:linePitch="360"/>
        </w:sectPr>
      </w:pPr>
      <w:r w:rsidRPr="00477CC7">
        <w:rPr>
          <w:noProof/>
        </w:rPr>
        <w:lastRenderedPageBreak/>
        <w:drawing>
          <wp:inline distT="0" distB="0" distL="0" distR="0">
            <wp:extent cx="9777730" cy="5599973"/>
            <wp:effectExtent l="19050" t="0" r="0" b="0"/>
            <wp:docPr id="4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srcRect/>
                    <a:stretch>
                      <a:fillRect/>
                    </a:stretch>
                  </pic:blipFill>
                  <pic:spPr bwMode="auto">
                    <a:xfrm>
                      <a:off x="0" y="0"/>
                      <a:ext cx="9777730" cy="5599973"/>
                    </a:xfrm>
                    <a:prstGeom prst="rect">
                      <a:avLst/>
                    </a:prstGeom>
                    <a:noFill/>
                    <a:ln w="9525">
                      <a:noFill/>
                      <a:miter lim="800000"/>
                      <a:headEnd/>
                      <a:tailEnd/>
                    </a:ln>
                  </pic:spPr>
                </pic:pic>
              </a:graphicData>
            </a:graphic>
          </wp:inline>
        </w:drawing>
      </w:r>
    </w:p>
    <w:p w:rsidR="00293B7D" w:rsidRPr="00AA6E36" w:rsidRDefault="00D6526F" w:rsidP="00293B7D">
      <w:pPr>
        <w:pStyle w:val="Heading1"/>
        <w:rPr>
          <w:sz w:val="52"/>
        </w:rPr>
      </w:pPr>
      <w:bookmarkStart w:id="3" w:name="_Toc362959116"/>
      <w:bookmarkStart w:id="4" w:name="_Toc381084847"/>
      <w:bookmarkStart w:id="5" w:name="_Toc362959130"/>
      <w:r>
        <w:rPr>
          <w:sz w:val="56"/>
        </w:rPr>
        <w:lastRenderedPageBreak/>
        <w:t>Section 2</w:t>
      </w:r>
      <w:r w:rsidR="00293B7D" w:rsidRPr="00AA6E36">
        <w:rPr>
          <w:sz w:val="56"/>
        </w:rPr>
        <w:t xml:space="preserve"> Quality &amp; Patient Safety</w:t>
      </w:r>
      <w:bookmarkEnd w:id="3"/>
      <w:bookmarkEnd w:id="4"/>
    </w:p>
    <w:p w:rsidR="00293B7D" w:rsidRPr="00210748" w:rsidRDefault="005866E8" w:rsidP="00D6526F">
      <w:pPr>
        <w:pStyle w:val="Heading2"/>
      </w:pPr>
      <w:r>
        <w:rPr>
          <w:noProof/>
        </w:rPr>
        <w:pict>
          <v:roundrect id="AutoShape 17" o:spid="_x0000_s1044" style="position:absolute;margin-left:-12.2pt;margin-top:.25pt;width:540.65pt;height:276.9pt;z-index:-2516142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" fillcolor="white [3201]" strokecolor="#79cbdf [1940]" strokeweight="1pt">
            <v:fill color2="#a6dcea [1300]" focus="100%" type="gradient"/>
            <v:shadow on="t" color="#16505e [1604]" opacity=".5" offset="1pt"/>
          </v:roundrect>
        </w:pict>
      </w:r>
      <w:bookmarkStart w:id="6" w:name="_Toc362959117"/>
      <w:bookmarkStart w:id="7" w:name="_Toc381084848"/>
      <w:r w:rsidR="00D6526F">
        <w:t>Quality and Patient Safety</w:t>
      </w:r>
      <w:r w:rsidR="00293B7D" w:rsidRPr="00210748">
        <w:t xml:space="preserve"> Summary Headlines</w:t>
      </w:r>
      <w:bookmarkEnd w:id="6"/>
      <w:bookmarkEnd w:id="7"/>
    </w:p>
    <w:p w:rsidR="00DF3238" w:rsidRPr="00DF3238" w:rsidRDefault="00DF3238" w:rsidP="00DF3238">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sz w:val="24"/>
          <w:szCs w:val="24"/>
        </w:rPr>
      </w:pPr>
      <w:bookmarkStart w:id="8" w:name="_Toc362959118"/>
      <w:bookmarkStart w:id="9" w:name="_Toc381084849"/>
      <w:r w:rsidRPr="00453958">
        <w:rPr>
          <w:rFonts w:cs="Arial"/>
          <w:sz w:val="24"/>
          <w:szCs w:val="24"/>
        </w:rPr>
        <w:t>The latest iteration of the Summary Hospital Mortality Index indicates that mortality within the Trust is as expected given the age and co-morbidities of the patients treated</w:t>
      </w:r>
      <w:r>
        <w:rPr>
          <w:rFonts w:cs="Arial"/>
          <w:sz w:val="24"/>
          <w:szCs w:val="24"/>
        </w:rPr>
        <w:t xml:space="preserve">.  </w:t>
      </w:r>
    </w:p>
    <w:p w:rsidR="00DF3238" w:rsidRPr="00453958" w:rsidRDefault="00DF3238" w:rsidP="00DF3238">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sz w:val="24"/>
          <w:szCs w:val="24"/>
        </w:rPr>
      </w:pPr>
      <w:r>
        <w:rPr>
          <w:rFonts w:cs="Arial"/>
          <w:sz w:val="24"/>
          <w:szCs w:val="24"/>
        </w:rPr>
        <w:t>The level of f</w:t>
      </w:r>
      <w:r w:rsidRPr="00453958">
        <w:rPr>
          <w:rFonts w:cs="Arial"/>
          <w:sz w:val="24"/>
          <w:szCs w:val="24"/>
        </w:rPr>
        <w:t xml:space="preserve">alls </w:t>
      </w:r>
      <w:r>
        <w:rPr>
          <w:rFonts w:cs="Arial"/>
          <w:sz w:val="24"/>
          <w:szCs w:val="24"/>
        </w:rPr>
        <w:t>remains above the previous financial year however has reduced in June and July.  The Trust has a number of actions in place in key clinical areas to further address the level of falls.</w:t>
      </w:r>
    </w:p>
    <w:p w:rsidR="00DF3238" w:rsidRPr="00D56A6C" w:rsidRDefault="00DF3238" w:rsidP="00DF3238">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sz w:val="24"/>
          <w:szCs w:val="24"/>
        </w:rPr>
      </w:pPr>
      <w:r w:rsidRPr="00D56A6C">
        <w:rPr>
          <w:rFonts w:cs="Arial"/>
          <w:sz w:val="24"/>
          <w:szCs w:val="24"/>
        </w:rPr>
        <w:t>Year to date the Trust remains in line with target for M</w:t>
      </w:r>
      <w:r>
        <w:rPr>
          <w:rFonts w:cs="Arial"/>
          <w:sz w:val="24"/>
          <w:szCs w:val="24"/>
        </w:rPr>
        <w:t>SSA and Clostridium D</w:t>
      </w:r>
      <w:r w:rsidRPr="00D56A6C">
        <w:rPr>
          <w:rFonts w:cs="Arial"/>
          <w:sz w:val="24"/>
          <w:szCs w:val="24"/>
        </w:rPr>
        <w:t xml:space="preserve">ifficile.  However, a case of MRSA was identified in July and has been fully investigated.    </w:t>
      </w:r>
    </w:p>
    <w:p w:rsidR="00DF3238" w:rsidRDefault="00DF3238" w:rsidP="00DF3238">
      <w:pPr>
        <w:pStyle w:val="ListParagraph"/>
        <w:widowControl w:val="0"/>
        <w:numPr>
          <w:ilvl w:val="0"/>
          <w:numId w:val="3"/>
        </w:numPr>
        <w:tabs>
          <w:tab w:val="left" w:pos="1273"/>
        </w:tabs>
        <w:autoSpaceDE w:val="0"/>
        <w:autoSpaceDN w:val="0"/>
        <w:adjustRightInd w:val="0"/>
        <w:spacing w:before="240" w:after="0" w:line="240" w:lineRule="auto"/>
        <w:ind w:left="426" w:hanging="426"/>
        <w:contextualSpacing w:val="0"/>
        <w:jc w:val="both"/>
      </w:pPr>
      <w:r w:rsidRPr="00323552">
        <w:rPr>
          <w:rFonts w:cs="Arial"/>
          <w:sz w:val="24"/>
          <w:szCs w:val="24"/>
        </w:rPr>
        <w:t>In June the Trust improved performance and achieved the national target of 95% with 98.4% of appropriate patients receiving a VTE risk assessment</w:t>
      </w:r>
      <w:r>
        <w:rPr>
          <w:rFonts w:cs="Arial"/>
          <w:sz w:val="24"/>
          <w:szCs w:val="24"/>
        </w:rPr>
        <w:t>.</w:t>
      </w:r>
    </w:p>
    <w:p w:rsidR="00DF3238" w:rsidRPr="00DF3238" w:rsidRDefault="00DF3238" w:rsidP="00D6526F">
      <w:pPr>
        <w:pStyle w:val="Heading2"/>
        <w:rPr>
          <w:sz w:val="12"/>
        </w:rPr>
      </w:pPr>
    </w:p>
    <w:p w:rsidR="00D6526F" w:rsidRPr="00D6526F" w:rsidRDefault="00D6526F" w:rsidP="00D6526F">
      <w:pPr>
        <w:pStyle w:val="Heading2"/>
      </w:pPr>
      <w:r>
        <w:t>2.</w:t>
      </w:r>
      <w:r w:rsidRPr="00D6526F">
        <w:t>1. Patient Story</w:t>
      </w:r>
    </w:p>
    <w:p w:rsidR="00D6526F" w:rsidRPr="00E920FC" w:rsidRDefault="00D6526F" w:rsidP="00D6526F">
      <w:pPr>
        <w:jc w:val="both"/>
        <w:rPr>
          <w:b/>
          <w:sz w:val="2"/>
        </w:rPr>
      </w:pPr>
    </w:p>
    <w:p w:rsidR="00936240" w:rsidRDefault="00936240" w:rsidP="00936240">
      <w:pPr>
        <w:jc w:val="both"/>
        <w:rPr>
          <w:b/>
          <w:sz w:val="24"/>
          <w:szCs w:val="24"/>
        </w:rPr>
      </w:pPr>
      <w:bookmarkStart w:id="10" w:name="_Toc362959119"/>
      <w:bookmarkEnd w:id="8"/>
      <w:bookmarkEnd w:id="9"/>
      <w:r>
        <w:rPr>
          <w:b/>
          <w:sz w:val="24"/>
          <w:szCs w:val="24"/>
        </w:rPr>
        <w:t>Patient Story from the Radiology</w:t>
      </w:r>
      <w:r w:rsidRPr="002B47C5">
        <w:rPr>
          <w:b/>
          <w:sz w:val="24"/>
          <w:szCs w:val="24"/>
        </w:rPr>
        <w:t xml:space="preserve"> department </w:t>
      </w:r>
    </w:p>
    <w:p w:rsidR="00936240" w:rsidRPr="002B47C5" w:rsidRDefault="00936240" w:rsidP="00936240">
      <w:pPr>
        <w:jc w:val="both"/>
        <w:rPr>
          <w:rFonts w:cs="Arial"/>
          <w:sz w:val="24"/>
          <w:szCs w:val="24"/>
        </w:rPr>
      </w:pPr>
      <w:r w:rsidRPr="002B47C5">
        <w:rPr>
          <w:rFonts w:cs="Arial"/>
          <w:sz w:val="24"/>
          <w:szCs w:val="24"/>
        </w:rPr>
        <w:t>The story relates to</w:t>
      </w:r>
      <w:r>
        <w:rPr>
          <w:rFonts w:cs="Arial"/>
          <w:sz w:val="24"/>
          <w:szCs w:val="24"/>
        </w:rPr>
        <w:t xml:space="preserve"> a patient who had a </w:t>
      </w:r>
      <w:r w:rsidRPr="002B47C5">
        <w:rPr>
          <w:sz w:val="24"/>
          <w:szCs w:val="24"/>
        </w:rPr>
        <w:t>Magnetic Resonance Imaging</w:t>
      </w:r>
      <w:r w:rsidRPr="002B47C5">
        <w:rPr>
          <w:rFonts w:cs="Arial"/>
          <w:sz w:val="24"/>
          <w:szCs w:val="24"/>
        </w:rPr>
        <w:t xml:space="preserve"> </w:t>
      </w:r>
      <w:r>
        <w:rPr>
          <w:rFonts w:cs="Arial"/>
          <w:sz w:val="24"/>
          <w:szCs w:val="24"/>
        </w:rPr>
        <w:t>(</w:t>
      </w:r>
      <w:r w:rsidRPr="002B47C5">
        <w:rPr>
          <w:rFonts w:cs="Arial"/>
          <w:sz w:val="24"/>
          <w:szCs w:val="24"/>
        </w:rPr>
        <w:t>MRI</w:t>
      </w:r>
      <w:r>
        <w:rPr>
          <w:rFonts w:cs="Arial"/>
          <w:sz w:val="24"/>
          <w:szCs w:val="24"/>
        </w:rPr>
        <w:t>)</w:t>
      </w:r>
      <w:r w:rsidRPr="002B47C5">
        <w:rPr>
          <w:rFonts w:cs="Arial"/>
          <w:sz w:val="24"/>
          <w:szCs w:val="24"/>
        </w:rPr>
        <w:t xml:space="preserve"> scan with a pre-existing condition unrelated to the reas</w:t>
      </w:r>
      <w:r>
        <w:rPr>
          <w:rFonts w:cs="Arial"/>
          <w:sz w:val="24"/>
          <w:szCs w:val="24"/>
        </w:rPr>
        <w:t xml:space="preserve">on for the scan.  The patient </w:t>
      </w:r>
      <w:r w:rsidRPr="002B47C5">
        <w:rPr>
          <w:rFonts w:cs="Arial"/>
          <w:sz w:val="24"/>
          <w:szCs w:val="24"/>
        </w:rPr>
        <w:t xml:space="preserve">had a very poor experience at the time of their examination and this had continued to affect the symptoms of a pre existing condition, then and now.  </w:t>
      </w:r>
    </w:p>
    <w:p w:rsidR="00936240" w:rsidRPr="002B47C5" w:rsidRDefault="00936240" w:rsidP="00936240">
      <w:pPr>
        <w:jc w:val="both"/>
        <w:rPr>
          <w:rFonts w:cs="Arial"/>
          <w:sz w:val="24"/>
          <w:szCs w:val="24"/>
        </w:rPr>
      </w:pPr>
      <w:r w:rsidRPr="002B47C5">
        <w:rPr>
          <w:rFonts w:cs="Arial"/>
          <w:sz w:val="24"/>
          <w:szCs w:val="24"/>
        </w:rPr>
        <w:t xml:space="preserve">The patient had not </w:t>
      </w:r>
      <w:r>
        <w:rPr>
          <w:rFonts w:cs="Arial"/>
          <w:sz w:val="24"/>
          <w:szCs w:val="24"/>
        </w:rPr>
        <w:t xml:space="preserve">previously </w:t>
      </w:r>
      <w:r w:rsidRPr="002B47C5">
        <w:rPr>
          <w:rFonts w:cs="Arial"/>
          <w:sz w:val="24"/>
          <w:szCs w:val="24"/>
        </w:rPr>
        <w:t>had an MRI scan and had little knowledge or understanding of what the examination entailed, and had received no information describing the examination prior to arriving.  What the patient found particularly distressing was the volume of noise generated by the scanner.</w:t>
      </w:r>
      <w:r w:rsidR="00DF3238">
        <w:rPr>
          <w:rFonts w:cs="Arial"/>
          <w:sz w:val="24"/>
          <w:szCs w:val="24"/>
        </w:rPr>
        <w:t xml:space="preserve"> </w:t>
      </w:r>
      <w:r w:rsidRPr="002B47C5">
        <w:rPr>
          <w:rFonts w:cs="Arial"/>
          <w:sz w:val="24"/>
          <w:szCs w:val="24"/>
        </w:rPr>
        <w:t xml:space="preserve"> Had they known or been told about this they would have informed staff that they suffered with tinnitus and expressed concerns of how noise affects their condition.   The scan left the patient feeling physically sick and very distressed because of how it had exacerbated the tinnitus.  We received a letter from the patient and responded. The patient found the letter of response lacking in both understanding and empathy for the distress caused. </w:t>
      </w:r>
      <w:r>
        <w:rPr>
          <w:rFonts w:cs="Arial"/>
          <w:sz w:val="24"/>
          <w:szCs w:val="24"/>
        </w:rPr>
        <w:lastRenderedPageBreak/>
        <w:t>When the investigator met with the patient i</w:t>
      </w:r>
      <w:r w:rsidRPr="002B47C5">
        <w:rPr>
          <w:rFonts w:cs="Arial"/>
          <w:sz w:val="24"/>
          <w:szCs w:val="24"/>
        </w:rPr>
        <w:t>t was very clear that the system had failed them by not providing essential information at all stages:</w:t>
      </w:r>
    </w:p>
    <w:p w:rsidR="00936240" w:rsidRPr="002B47C5" w:rsidRDefault="00936240" w:rsidP="00936240">
      <w:pPr>
        <w:pStyle w:val="ListParagraph"/>
        <w:numPr>
          <w:ilvl w:val="0"/>
          <w:numId w:val="19"/>
        </w:numPr>
        <w:rPr>
          <w:sz w:val="24"/>
          <w:szCs w:val="24"/>
        </w:rPr>
      </w:pPr>
      <w:r w:rsidRPr="002B47C5">
        <w:rPr>
          <w:sz w:val="24"/>
          <w:szCs w:val="24"/>
        </w:rPr>
        <w:t>omission of MRI scan leaflet or postal notification of appointment</w:t>
      </w:r>
    </w:p>
    <w:p w:rsidR="00936240" w:rsidRPr="002B47C5" w:rsidRDefault="00936240" w:rsidP="00936240">
      <w:pPr>
        <w:pStyle w:val="ListParagraph"/>
        <w:numPr>
          <w:ilvl w:val="0"/>
          <w:numId w:val="19"/>
        </w:numPr>
        <w:rPr>
          <w:sz w:val="24"/>
          <w:szCs w:val="24"/>
        </w:rPr>
      </w:pPr>
      <w:r w:rsidRPr="002B47C5">
        <w:rPr>
          <w:sz w:val="24"/>
          <w:szCs w:val="24"/>
        </w:rPr>
        <w:t>assessment of pre examination form information</w:t>
      </w:r>
    </w:p>
    <w:p w:rsidR="00936240" w:rsidRPr="002B47C5" w:rsidRDefault="00936240" w:rsidP="00936240">
      <w:pPr>
        <w:pStyle w:val="ListParagraph"/>
        <w:numPr>
          <w:ilvl w:val="0"/>
          <w:numId w:val="19"/>
        </w:numPr>
        <w:rPr>
          <w:sz w:val="24"/>
          <w:szCs w:val="24"/>
        </w:rPr>
      </w:pPr>
      <w:r w:rsidRPr="002B47C5">
        <w:rPr>
          <w:sz w:val="24"/>
          <w:szCs w:val="24"/>
        </w:rPr>
        <w:t>omission of laminated scan information on booking into the department</w:t>
      </w:r>
    </w:p>
    <w:p w:rsidR="00936240" w:rsidRPr="002B47C5" w:rsidRDefault="00936240" w:rsidP="00936240">
      <w:pPr>
        <w:pStyle w:val="ListParagraph"/>
        <w:numPr>
          <w:ilvl w:val="0"/>
          <w:numId w:val="19"/>
        </w:numPr>
        <w:rPr>
          <w:sz w:val="24"/>
          <w:szCs w:val="24"/>
        </w:rPr>
      </w:pPr>
      <w:r w:rsidRPr="002B47C5">
        <w:rPr>
          <w:sz w:val="24"/>
          <w:szCs w:val="24"/>
        </w:rPr>
        <w:t>incomplete face-to-face discussion with the radiographer immediately prior to the scan.</w:t>
      </w:r>
    </w:p>
    <w:p w:rsidR="00936240" w:rsidRPr="002B47C5" w:rsidRDefault="00936240" w:rsidP="00936240">
      <w:pPr>
        <w:rPr>
          <w:sz w:val="24"/>
          <w:szCs w:val="24"/>
        </w:rPr>
      </w:pPr>
      <w:r w:rsidRPr="002B47C5">
        <w:rPr>
          <w:sz w:val="24"/>
          <w:szCs w:val="24"/>
        </w:rPr>
        <w:t xml:space="preserve">The patient did not receive any information until the face-to-face </w:t>
      </w:r>
      <w:r>
        <w:rPr>
          <w:sz w:val="24"/>
          <w:szCs w:val="24"/>
        </w:rPr>
        <w:t xml:space="preserve">discussion, </w:t>
      </w:r>
      <w:r w:rsidRPr="002B47C5">
        <w:rPr>
          <w:sz w:val="24"/>
          <w:szCs w:val="24"/>
        </w:rPr>
        <w:t>and then not enough to enable them to give</w:t>
      </w:r>
      <w:r>
        <w:rPr>
          <w:sz w:val="24"/>
          <w:szCs w:val="24"/>
        </w:rPr>
        <w:t xml:space="preserve"> full</w:t>
      </w:r>
      <w:r w:rsidRPr="002B47C5">
        <w:rPr>
          <w:sz w:val="24"/>
          <w:szCs w:val="24"/>
        </w:rPr>
        <w:t xml:space="preserve"> informed consent for the examination. The patient also felt “not everything that could have been done for me was”. This failure was acknowledged and as a way of learning from this patient’s experience, they were asked if they would like to be involved in the creation of new patient information leaflets and a re-evaluation of the Radiology department information, which the patient agreed to do.</w:t>
      </w:r>
    </w:p>
    <w:p w:rsidR="00936240" w:rsidRPr="002B47C5" w:rsidRDefault="00936240" w:rsidP="00936240">
      <w:pPr>
        <w:rPr>
          <w:sz w:val="24"/>
          <w:szCs w:val="24"/>
        </w:rPr>
      </w:pPr>
      <w:r w:rsidRPr="002B47C5">
        <w:rPr>
          <w:sz w:val="24"/>
          <w:szCs w:val="24"/>
        </w:rPr>
        <w:t xml:space="preserve">The patient also felt let down by the Trust due to the length of time it took to respond to the complaint.  They were originally told the complaint would be dealt with in 30 days but received two further letters advising the deadline would not be met.  There was no real explanation for this and it left the patient feeling very hurt, they said ‘it was as if I didn’t matter to them’.  </w:t>
      </w:r>
    </w:p>
    <w:p w:rsidR="00936240" w:rsidRPr="002B47C5" w:rsidRDefault="00936240" w:rsidP="00936240">
      <w:pPr>
        <w:rPr>
          <w:i/>
          <w:sz w:val="24"/>
          <w:szCs w:val="24"/>
        </w:rPr>
      </w:pPr>
      <w:r w:rsidRPr="002B47C5">
        <w:rPr>
          <w:sz w:val="24"/>
          <w:szCs w:val="24"/>
        </w:rPr>
        <w:t>The wording within the response letter that the delays were caused by ‘</w:t>
      </w:r>
      <w:r w:rsidRPr="002B47C5">
        <w:rPr>
          <w:i/>
          <w:sz w:val="24"/>
          <w:szCs w:val="24"/>
        </w:rPr>
        <w:t>an</w:t>
      </w:r>
      <w:r w:rsidRPr="002B47C5">
        <w:rPr>
          <w:sz w:val="24"/>
          <w:szCs w:val="24"/>
        </w:rPr>
        <w:t xml:space="preserve"> </w:t>
      </w:r>
      <w:r w:rsidRPr="002B47C5">
        <w:rPr>
          <w:i/>
          <w:sz w:val="24"/>
          <w:szCs w:val="24"/>
        </w:rPr>
        <w:t xml:space="preserve">internal failure within the planned care division’, </w:t>
      </w:r>
      <w:r w:rsidRPr="002B47C5">
        <w:rPr>
          <w:sz w:val="24"/>
          <w:szCs w:val="24"/>
        </w:rPr>
        <w:t>were considered</w:t>
      </w:r>
      <w:r w:rsidRPr="002B47C5">
        <w:rPr>
          <w:i/>
          <w:sz w:val="24"/>
          <w:szCs w:val="24"/>
        </w:rPr>
        <w:t xml:space="preserve"> </w:t>
      </w:r>
      <w:r w:rsidRPr="002B47C5">
        <w:rPr>
          <w:sz w:val="24"/>
          <w:szCs w:val="24"/>
        </w:rPr>
        <w:t>to be both impersonal and lacking any real meaning by the patient  and surprise was expressed that the letter was signed by the Chief Executive when he did not actually write it.</w:t>
      </w:r>
    </w:p>
    <w:p w:rsidR="00936240" w:rsidRPr="002B47C5" w:rsidRDefault="00936240" w:rsidP="00936240">
      <w:pPr>
        <w:rPr>
          <w:sz w:val="24"/>
          <w:szCs w:val="24"/>
        </w:rPr>
      </w:pPr>
      <w:r w:rsidRPr="002B47C5">
        <w:rPr>
          <w:sz w:val="24"/>
          <w:szCs w:val="24"/>
        </w:rPr>
        <w:t xml:space="preserve">It has since been explained to the patient that the Trust is currently making a number of changes to the complaints process as a response to both local and National directives and that there are some areas within this process that need to be improved; in particular how timely the responses are and also in providing better information to patients about the reasons why a </w:t>
      </w:r>
      <w:r>
        <w:rPr>
          <w:sz w:val="24"/>
          <w:szCs w:val="24"/>
        </w:rPr>
        <w:t>complaint</w:t>
      </w:r>
      <w:r w:rsidRPr="002B47C5">
        <w:rPr>
          <w:sz w:val="24"/>
          <w:szCs w:val="24"/>
        </w:rPr>
        <w:t xml:space="preserve"> response has been delayed. </w:t>
      </w:r>
    </w:p>
    <w:p w:rsidR="00936240" w:rsidRPr="002B47C5" w:rsidRDefault="00936240" w:rsidP="00936240">
      <w:pPr>
        <w:rPr>
          <w:sz w:val="24"/>
          <w:szCs w:val="24"/>
        </w:rPr>
      </w:pPr>
      <w:r w:rsidRPr="002B47C5">
        <w:rPr>
          <w:sz w:val="24"/>
          <w:szCs w:val="24"/>
        </w:rPr>
        <w:t xml:space="preserve">The ‘internal failings’ within the planned care division were due to a lack of resources and staffing pressures over that time period which meant the processing of complaints was much slower than normal.  It is acknowledged that this wording does not communicate the actual nature of the problem and it is recognised that this situation </w:t>
      </w:r>
      <w:r w:rsidRPr="002B47C5">
        <w:rPr>
          <w:sz w:val="24"/>
          <w:szCs w:val="24"/>
        </w:rPr>
        <w:lastRenderedPageBreak/>
        <w:t>needs to be addressed and resolved quickly to prevent other patients facing delays in response.</w:t>
      </w:r>
    </w:p>
    <w:p w:rsidR="00936240" w:rsidRPr="002B47C5" w:rsidRDefault="00936240" w:rsidP="00936240">
      <w:pPr>
        <w:rPr>
          <w:sz w:val="24"/>
          <w:szCs w:val="24"/>
        </w:rPr>
      </w:pPr>
      <w:r w:rsidRPr="002B47C5">
        <w:rPr>
          <w:sz w:val="24"/>
          <w:szCs w:val="24"/>
        </w:rPr>
        <w:t xml:space="preserve">The importance of the Chief Executive signing off each complaint letter as a demonstration of his personal interest and commitment to his awareness of all complaints was discussed and upheld as due process, during the face-to-face meeting with the patient.   The patient understood this, but strongly felt that the Chief Executive should have recognised that the response did not contain an apology but did contain wording about delays that would mean nothing to the patient. </w:t>
      </w:r>
    </w:p>
    <w:p w:rsidR="00936240" w:rsidRPr="002B47C5" w:rsidRDefault="00936240" w:rsidP="00936240">
      <w:pPr>
        <w:rPr>
          <w:b/>
          <w:sz w:val="24"/>
          <w:szCs w:val="24"/>
        </w:rPr>
      </w:pPr>
      <w:r w:rsidRPr="002B47C5">
        <w:rPr>
          <w:b/>
          <w:sz w:val="24"/>
          <w:szCs w:val="24"/>
        </w:rPr>
        <w:t>ACTIONS</w:t>
      </w:r>
    </w:p>
    <w:p w:rsidR="00936240" w:rsidRPr="002B47C5" w:rsidRDefault="00936240" w:rsidP="00936240">
      <w:pPr>
        <w:rPr>
          <w:sz w:val="24"/>
          <w:szCs w:val="24"/>
        </w:rPr>
      </w:pPr>
      <w:r w:rsidRPr="002B47C5">
        <w:rPr>
          <w:sz w:val="24"/>
          <w:szCs w:val="24"/>
        </w:rPr>
        <w:t>At the June MRI (Magnetic Resonance Imaging) staff meeting</w:t>
      </w:r>
      <w:r>
        <w:rPr>
          <w:sz w:val="24"/>
          <w:szCs w:val="24"/>
        </w:rPr>
        <w:t>, an</w:t>
      </w:r>
      <w:r w:rsidRPr="002B47C5">
        <w:rPr>
          <w:sz w:val="24"/>
          <w:szCs w:val="24"/>
        </w:rPr>
        <w:t xml:space="preserve"> account of the patient</w:t>
      </w:r>
      <w:r>
        <w:rPr>
          <w:sz w:val="24"/>
          <w:szCs w:val="24"/>
        </w:rPr>
        <w:t>’s experience</w:t>
      </w:r>
      <w:r w:rsidRPr="002B47C5">
        <w:rPr>
          <w:sz w:val="24"/>
          <w:szCs w:val="24"/>
        </w:rPr>
        <w:t xml:space="preserve"> was given and the following actions were taken:</w:t>
      </w:r>
    </w:p>
    <w:p w:rsidR="00936240" w:rsidRPr="002B47C5" w:rsidRDefault="00936240" w:rsidP="00936240">
      <w:pPr>
        <w:rPr>
          <w:sz w:val="24"/>
          <w:szCs w:val="24"/>
        </w:rPr>
      </w:pPr>
      <w:r w:rsidRPr="002B47C5">
        <w:rPr>
          <w:sz w:val="24"/>
          <w:szCs w:val="24"/>
        </w:rPr>
        <w:t>A simple draft leaflet entitled; ‘</w:t>
      </w:r>
      <w:r w:rsidRPr="002B47C5">
        <w:rPr>
          <w:i/>
          <w:sz w:val="24"/>
          <w:szCs w:val="24"/>
        </w:rPr>
        <w:t>What Does the Scan involve</w:t>
      </w:r>
      <w:r w:rsidRPr="002B47C5">
        <w:rPr>
          <w:sz w:val="24"/>
          <w:szCs w:val="24"/>
        </w:rPr>
        <w:t xml:space="preserve">?’ has been developed for patients and sent to the patient to review and give feedback on.   </w:t>
      </w:r>
    </w:p>
    <w:p w:rsidR="00936240" w:rsidRPr="002B47C5" w:rsidRDefault="00936240" w:rsidP="00936240">
      <w:pPr>
        <w:rPr>
          <w:sz w:val="24"/>
          <w:szCs w:val="24"/>
        </w:rPr>
      </w:pPr>
      <w:r w:rsidRPr="002B47C5">
        <w:rPr>
          <w:sz w:val="24"/>
          <w:szCs w:val="24"/>
        </w:rPr>
        <w:t xml:space="preserve">A check list for MRI Radiographers to work from has been developed to standardise the information given out by them immediately prior to the scan with greater emphasis placed on describing the noise levels within the scanner. The patient has been sent this as evidence of the department implementing change directly as a result of their feedback. </w:t>
      </w:r>
    </w:p>
    <w:p w:rsidR="00936240" w:rsidRPr="002B47C5" w:rsidRDefault="00936240" w:rsidP="00936240">
      <w:pPr>
        <w:rPr>
          <w:sz w:val="24"/>
          <w:szCs w:val="24"/>
        </w:rPr>
      </w:pPr>
      <w:r w:rsidRPr="002B47C5">
        <w:rPr>
          <w:sz w:val="24"/>
          <w:szCs w:val="24"/>
        </w:rPr>
        <w:t xml:space="preserve">The patient has also been </w:t>
      </w:r>
      <w:r>
        <w:rPr>
          <w:sz w:val="24"/>
          <w:szCs w:val="24"/>
        </w:rPr>
        <w:t>asked to comment on</w:t>
      </w:r>
      <w:r w:rsidRPr="002B47C5">
        <w:rPr>
          <w:sz w:val="24"/>
          <w:szCs w:val="24"/>
        </w:rPr>
        <w:t xml:space="preserve"> the </w:t>
      </w:r>
      <w:r>
        <w:rPr>
          <w:sz w:val="24"/>
          <w:szCs w:val="24"/>
        </w:rPr>
        <w:t xml:space="preserve">recently produced </w:t>
      </w:r>
      <w:r w:rsidRPr="002B47C5">
        <w:rPr>
          <w:sz w:val="24"/>
          <w:szCs w:val="24"/>
        </w:rPr>
        <w:t xml:space="preserve">MRI leaflet given to patients once they have arrived which describes how MRI works and what they can expect from their examination. The MRI department are awaiting feedback from the patient as to whether this is the correct level of information to give to patients. </w:t>
      </w:r>
    </w:p>
    <w:p w:rsidR="00936240" w:rsidRPr="002B47C5" w:rsidRDefault="00936240" w:rsidP="00936240">
      <w:pPr>
        <w:rPr>
          <w:sz w:val="24"/>
          <w:szCs w:val="24"/>
        </w:rPr>
      </w:pPr>
      <w:r w:rsidRPr="002B47C5">
        <w:rPr>
          <w:sz w:val="24"/>
          <w:szCs w:val="24"/>
        </w:rPr>
        <w:t xml:space="preserve">This particular case is being reviewed with a view to identifying ways of improving the efficiency and timeliness of dealing with complaints within the Planned Care Division. The quality of response letters are also being reviewed by the Complaints Team. </w:t>
      </w:r>
    </w:p>
    <w:p w:rsidR="00936240" w:rsidRPr="002B47C5" w:rsidRDefault="00936240" w:rsidP="00936240">
      <w:pPr>
        <w:rPr>
          <w:b/>
          <w:sz w:val="24"/>
          <w:szCs w:val="24"/>
        </w:rPr>
      </w:pPr>
      <w:r w:rsidRPr="002B47C5">
        <w:rPr>
          <w:b/>
          <w:sz w:val="24"/>
          <w:szCs w:val="24"/>
        </w:rPr>
        <w:t>ACTIONS</w:t>
      </w:r>
      <w:r>
        <w:rPr>
          <w:b/>
          <w:sz w:val="24"/>
          <w:szCs w:val="24"/>
        </w:rPr>
        <w:t xml:space="preserve"> FROM PREVIOUS PATIENT STORY</w:t>
      </w:r>
    </w:p>
    <w:p w:rsidR="00936240" w:rsidRDefault="00936240" w:rsidP="00936240">
      <w:pPr>
        <w:rPr>
          <w:sz w:val="24"/>
          <w:szCs w:val="24"/>
        </w:rPr>
      </w:pPr>
      <w:r w:rsidRPr="00CD68BF">
        <w:rPr>
          <w:sz w:val="24"/>
          <w:szCs w:val="24"/>
        </w:rPr>
        <w:t xml:space="preserve">In May 2014 the Trust Board heard a family’s experience of Child and Adolescent Mental Health Services (CAMHS).  In addressing the issues raised by this </w:t>
      </w:r>
      <w:r>
        <w:rPr>
          <w:sz w:val="24"/>
          <w:szCs w:val="24"/>
        </w:rPr>
        <w:t>experience, the CAHMS team has established an autism strategy group and i</w:t>
      </w:r>
      <w:r w:rsidRPr="00CD68BF">
        <w:rPr>
          <w:sz w:val="24"/>
          <w:szCs w:val="24"/>
        </w:rPr>
        <w:t xml:space="preserve">mplemented a new Social </w:t>
      </w:r>
      <w:r w:rsidRPr="00CD68BF">
        <w:rPr>
          <w:sz w:val="24"/>
          <w:szCs w:val="24"/>
        </w:rPr>
        <w:lastRenderedPageBreak/>
        <w:t xml:space="preserve">Communication and Autism Multi-professional Pathway (SCAMP). </w:t>
      </w:r>
      <w:r>
        <w:rPr>
          <w:sz w:val="24"/>
          <w:szCs w:val="24"/>
        </w:rPr>
        <w:t xml:space="preserve"> </w:t>
      </w:r>
      <w:r w:rsidRPr="00CD68BF">
        <w:rPr>
          <w:sz w:val="24"/>
          <w:szCs w:val="24"/>
        </w:rPr>
        <w:t>The strategy group which designed this pathway is multi-agency and also includes a parent representative.</w:t>
      </w:r>
      <w:r>
        <w:rPr>
          <w:rFonts w:cs="Tahoma"/>
          <w:color w:val="000000"/>
        </w:rPr>
        <w:t xml:space="preserve">  </w:t>
      </w:r>
      <w:r w:rsidRPr="00CD68BF">
        <w:rPr>
          <w:sz w:val="24"/>
          <w:szCs w:val="24"/>
        </w:rPr>
        <w:t xml:space="preserve"> </w:t>
      </w:r>
    </w:p>
    <w:p w:rsidR="00936240" w:rsidRDefault="00936240" w:rsidP="00936240">
      <w:pPr>
        <w:rPr>
          <w:sz w:val="24"/>
          <w:szCs w:val="24"/>
        </w:rPr>
      </w:pPr>
      <w:r w:rsidRPr="00CD68BF">
        <w:rPr>
          <w:sz w:val="24"/>
          <w:szCs w:val="24"/>
        </w:rPr>
        <w:t>After initial assessments and interventions have been completed, one member of the team, acting as a case manager, collates all relevant information and presents the case to a panel of multi-disciplinary team members.  This may result in an opinion that autism is not indicated or further information gathering.  Once all the required information is available, a professional outcome meeting is held, at which the ongoing case holder is identified and feedback given to the family.  Parents also receive written details of any other appointments made as a result of the case discussion with this letter giving explanations of what these assessments are for and what they entail.  This changed pathway has streamlined the process for parents, giving one key point of contact and has improved both verbal and written information.</w:t>
      </w:r>
      <w:r>
        <w:rPr>
          <w:sz w:val="24"/>
          <w:szCs w:val="24"/>
        </w:rPr>
        <w:t xml:space="preserve">  </w:t>
      </w:r>
    </w:p>
    <w:p w:rsidR="00936240" w:rsidRPr="00CD68BF" w:rsidRDefault="00936240" w:rsidP="00936240">
      <w:pPr>
        <w:rPr>
          <w:sz w:val="24"/>
          <w:szCs w:val="24"/>
        </w:rPr>
      </w:pPr>
      <w:r w:rsidRPr="00CD68BF">
        <w:rPr>
          <w:sz w:val="24"/>
          <w:szCs w:val="24"/>
        </w:rPr>
        <w:t xml:space="preserve">The team </w:t>
      </w:r>
      <w:r>
        <w:rPr>
          <w:sz w:val="24"/>
          <w:szCs w:val="24"/>
        </w:rPr>
        <w:t xml:space="preserve">continue to address the remaining </w:t>
      </w:r>
      <w:r w:rsidRPr="00CD68BF">
        <w:rPr>
          <w:sz w:val="24"/>
          <w:szCs w:val="24"/>
        </w:rPr>
        <w:t>patients who were on the previous pathway as well as processing new referrals through the new system which became operational in April 2014.</w:t>
      </w:r>
      <w:r>
        <w:rPr>
          <w:sz w:val="24"/>
          <w:szCs w:val="24"/>
        </w:rPr>
        <w:t xml:space="preserve">  </w:t>
      </w:r>
      <w:r w:rsidRPr="00CD68BF">
        <w:rPr>
          <w:sz w:val="24"/>
          <w:szCs w:val="24"/>
        </w:rPr>
        <w:t xml:space="preserve">An audit on the outcome of the new system is to be undertaken </w:t>
      </w:r>
      <w:r>
        <w:rPr>
          <w:sz w:val="24"/>
          <w:szCs w:val="24"/>
        </w:rPr>
        <w:t>later this year.</w:t>
      </w:r>
    </w:p>
    <w:p w:rsidR="007D17C5" w:rsidRPr="00C340A3" w:rsidRDefault="007D17C5" w:rsidP="00477CC7">
      <w:pPr>
        <w:pStyle w:val="Heading2"/>
        <w:jc w:val="both"/>
      </w:pPr>
      <w:r w:rsidRPr="00C340A3">
        <w:t>2.2 Registration with Care Quality Commission (CQC)</w:t>
      </w:r>
    </w:p>
    <w:p w:rsidR="00936240" w:rsidRPr="00C340A3" w:rsidRDefault="00936240" w:rsidP="00936240">
      <w:pPr>
        <w:jc w:val="both"/>
        <w:rPr>
          <w:sz w:val="24"/>
        </w:rPr>
      </w:pPr>
      <w:bookmarkStart w:id="11" w:name="_Toc381084850"/>
      <w:r w:rsidRPr="00C340A3">
        <w:rPr>
          <w:sz w:val="24"/>
        </w:rPr>
        <w:t>The Trust is compliant with all five of the CQC’s essential core standards of:</w:t>
      </w:r>
    </w:p>
    <w:p w:rsidR="00936240" w:rsidRPr="00C340A3" w:rsidRDefault="00936240" w:rsidP="00936240">
      <w:pPr>
        <w:pStyle w:val="ListParagraph"/>
        <w:numPr>
          <w:ilvl w:val="0"/>
          <w:numId w:val="12"/>
        </w:numPr>
        <w:jc w:val="both"/>
        <w:rPr>
          <w:sz w:val="24"/>
        </w:rPr>
      </w:pPr>
      <w:r w:rsidRPr="00C340A3">
        <w:rPr>
          <w:sz w:val="24"/>
        </w:rPr>
        <w:t>Treating people with respect and involving them in their care</w:t>
      </w:r>
    </w:p>
    <w:p w:rsidR="00936240" w:rsidRPr="00C340A3" w:rsidRDefault="00936240" w:rsidP="00936240">
      <w:pPr>
        <w:pStyle w:val="ListParagraph"/>
        <w:numPr>
          <w:ilvl w:val="0"/>
          <w:numId w:val="12"/>
        </w:numPr>
        <w:jc w:val="both"/>
        <w:rPr>
          <w:sz w:val="24"/>
        </w:rPr>
      </w:pPr>
      <w:r w:rsidRPr="00C340A3">
        <w:rPr>
          <w:sz w:val="24"/>
        </w:rPr>
        <w:t>Providing care, treatment and support the meets people’s needs</w:t>
      </w:r>
    </w:p>
    <w:p w:rsidR="00936240" w:rsidRPr="00C340A3" w:rsidRDefault="00936240" w:rsidP="00936240">
      <w:pPr>
        <w:pStyle w:val="ListParagraph"/>
        <w:numPr>
          <w:ilvl w:val="0"/>
          <w:numId w:val="12"/>
        </w:numPr>
        <w:jc w:val="both"/>
        <w:rPr>
          <w:sz w:val="24"/>
        </w:rPr>
      </w:pPr>
      <w:r w:rsidRPr="00C340A3">
        <w:rPr>
          <w:sz w:val="24"/>
        </w:rPr>
        <w:t>Caring for people safely and protecting them from harm</w:t>
      </w:r>
    </w:p>
    <w:p w:rsidR="00936240" w:rsidRPr="00C340A3" w:rsidRDefault="00936240" w:rsidP="00936240">
      <w:pPr>
        <w:pStyle w:val="ListParagraph"/>
        <w:numPr>
          <w:ilvl w:val="0"/>
          <w:numId w:val="12"/>
        </w:numPr>
        <w:jc w:val="both"/>
        <w:rPr>
          <w:sz w:val="24"/>
        </w:rPr>
      </w:pPr>
      <w:r w:rsidRPr="00C340A3">
        <w:rPr>
          <w:sz w:val="24"/>
        </w:rPr>
        <w:t>Staffing</w:t>
      </w:r>
    </w:p>
    <w:p w:rsidR="00936240" w:rsidRPr="00C340A3" w:rsidRDefault="00936240" w:rsidP="00936240">
      <w:pPr>
        <w:pStyle w:val="ListParagraph"/>
        <w:numPr>
          <w:ilvl w:val="0"/>
          <w:numId w:val="12"/>
        </w:numPr>
        <w:jc w:val="both"/>
        <w:rPr>
          <w:sz w:val="24"/>
        </w:rPr>
      </w:pPr>
      <w:r w:rsidRPr="00C340A3">
        <w:rPr>
          <w:sz w:val="24"/>
        </w:rPr>
        <w:t>Quality &amp; suitability of management</w:t>
      </w:r>
    </w:p>
    <w:p w:rsidR="00936240" w:rsidRPr="00C340A3" w:rsidRDefault="00936240" w:rsidP="00936240">
      <w:pPr>
        <w:jc w:val="both"/>
        <w:rPr>
          <w:sz w:val="24"/>
        </w:rPr>
      </w:pPr>
      <w:r w:rsidRPr="00C340A3">
        <w:rPr>
          <w:sz w:val="24"/>
        </w:rPr>
        <w:t>The July 2014 Intelligent Monitoring Report, produced by the Care Quality Commission, places the Trust in priority banding 6 for inspection, with a banding of 1 being high priority for inspection and 6 being low priority for inspection, based on analysis of a number of quality and safety measures.</w:t>
      </w:r>
    </w:p>
    <w:p w:rsidR="00936240" w:rsidRDefault="00936240" w:rsidP="00936240">
      <w:pPr>
        <w:jc w:val="both"/>
        <w:rPr>
          <w:sz w:val="24"/>
        </w:rPr>
      </w:pPr>
      <w:r w:rsidRPr="00C14E6D">
        <w:rPr>
          <w:sz w:val="24"/>
        </w:rPr>
        <w:t>Quarterly monitoring of our</w:t>
      </w:r>
      <w:r>
        <w:rPr>
          <w:sz w:val="24"/>
        </w:rPr>
        <w:t xml:space="preserve"> compliance with CQC standards o</w:t>
      </w:r>
      <w:r w:rsidRPr="00C14E6D">
        <w:rPr>
          <w:sz w:val="24"/>
        </w:rPr>
        <w:t>ccurs via reporting to our Quality &amp; Governance Committee.</w:t>
      </w:r>
    </w:p>
    <w:p w:rsidR="00936240" w:rsidRDefault="00936240" w:rsidP="00936240">
      <w:pPr>
        <w:jc w:val="both"/>
        <w:rPr>
          <w:sz w:val="24"/>
        </w:rPr>
        <w:sectPr w:rsidR="00936240" w:rsidSect="00D6526F">
          <w:pgSz w:w="11906" w:h="16838"/>
          <w:pgMar w:top="720" w:right="720" w:bottom="720" w:left="720" w:header="709" w:footer="709" w:gutter="0"/>
          <w:cols w:space="708"/>
          <w:docGrid w:linePitch="360"/>
        </w:sectPr>
      </w:pPr>
      <w:r>
        <w:rPr>
          <w:sz w:val="24"/>
        </w:rPr>
        <w:t xml:space="preserve">     </w:t>
      </w:r>
      <w:r w:rsidRPr="00C14E6D">
        <w:rPr>
          <w:sz w:val="24"/>
        </w:rPr>
        <w:t xml:space="preserve"> </w:t>
      </w:r>
    </w:p>
    <w:p w:rsidR="007A3101" w:rsidRDefault="007D17C5" w:rsidP="007A3101">
      <w:pPr>
        <w:pStyle w:val="Heading2"/>
      </w:pPr>
      <w:r w:rsidRPr="007A3101">
        <w:lastRenderedPageBreak/>
        <w:t>2.3 Nursing Metrics</w:t>
      </w:r>
      <w:bookmarkEnd w:id="11"/>
    </w:p>
    <w:p w:rsidR="00936240" w:rsidRPr="007A3101" w:rsidRDefault="00936240" w:rsidP="00936240">
      <w:pPr>
        <w:jc w:val="both"/>
        <w:rPr>
          <w:sz w:val="24"/>
          <w:szCs w:val="24"/>
        </w:rPr>
      </w:pPr>
      <w:bookmarkStart w:id="12" w:name="_Toc381084851"/>
      <w:r w:rsidRPr="007A3101">
        <w:rPr>
          <w:sz w:val="24"/>
          <w:szCs w:val="24"/>
        </w:rPr>
        <w:t xml:space="preserve">Providing a safe and caring environment for patients is a key aim for the Trust.  To support this, the following section brings together nurse staffing metrics with </w:t>
      </w:r>
      <w:r>
        <w:rPr>
          <w:sz w:val="24"/>
          <w:szCs w:val="24"/>
        </w:rPr>
        <w:t xml:space="preserve">high level </w:t>
      </w:r>
      <w:r w:rsidRPr="007A3101">
        <w:rPr>
          <w:sz w:val="24"/>
          <w:szCs w:val="24"/>
        </w:rPr>
        <w:t>care sensitive outcome indicators</w:t>
      </w:r>
      <w:r>
        <w:rPr>
          <w:sz w:val="24"/>
          <w:szCs w:val="24"/>
        </w:rPr>
        <w:t xml:space="preserve">.  </w:t>
      </w:r>
      <w:r w:rsidRPr="007A3101">
        <w:rPr>
          <w:sz w:val="24"/>
          <w:szCs w:val="24"/>
        </w:rPr>
        <w:t>This enables triangulation of the available data to ensure the Trust board is aware of nurse staffing issues and the impact on patients, and receives assurance over actions to address nurse staffing matters. </w:t>
      </w:r>
      <w:r>
        <w:rPr>
          <w:sz w:val="24"/>
          <w:szCs w:val="24"/>
        </w:rPr>
        <w:t>Recruitment</w:t>
      </w:r>
      <w:r w:rsidRPr="007A3101">
        <w:rPr>
          <w:sz w:val="24"/>
          <w:szCs w:val="24"/>
        </w:rPr>
        <w:t xml:space="preserve"> of staff into </w:t>
      </w:r>
      <w:r>
        <w:rPr>
          <w:sz w:val="24"/>
          <w:szCs w:val="24"/>
        </w:rPr>
        <w:t xml:space="preserve">Surgical Assessment and Clinical Decision Unit and reallocation of former Cheddar Ward staff have supported a reduction in nurse </w:t>
      </w:r>
      <w:r w:rsidRPr="007A3101">
        <w:rPr>
          <w:sz w:val="24"/>
          <w:szCs w:val="24"/>
        </w:rPr>
        <w:t xml:space="preserve">vacancies (WTE) </w:t>
      </w:r>
      <w:r>
        <w:rPr>
          <w:sz w:val="24"/>
          <w:szCs w:val="24"/>
        </w:rPr>
        <w:t>across</w:t>
      </w:r>
      <w:r w:rsidRPr="007A3101">
        <w:rPr>
          <w:sz w:val="24"/>
          <w:szCs w:val="24"/>
        </w:rPr>
        <w:t xml:space="preserve"> the Trust to 23.8 </w:t>
      </w:r>
      <w:r>
        <w:rPr>
          <w:sz w:val="24"/>
          <w:szCs w:val="24"/>
        </w:rPr>
        <w:t>in</w:t>
      </w:r>
      <w:r w:rsidRPr="007A3101">
        <w:rPr>
          <w:sz w:val="24"/>
          <w:szCs w:val="24"/>
        </w:rPr>
        <w:t xml:space="preserve"> July from a high of 54.98 in April. </w:t>
      </w:r>
      <w:r>
        <w:rPr>
          <w:sz w:val="24"/>
          <w:szCs w:val="24"/>
        </w:rPr>
        <w:t>This is the first month that training compliance and the percentage of new harm free care (measured by the patient safety thermometer monthly prevalence survey) are reported.  The level of new harm free care is consistent with the national benchmark and the training compliance for ward nurses reflects the cross Trust compliance level.  Both Hutton and Kewstoke wards are receiving intensive support from the Senior Nursing Team.</w:t>
      </w:r>
    </w:p>
    <w:bookmarkEnd w:id="12"/>
    <w:p w:rsidR="00AA1962" w:rsidRDefault="007152BE" w:rsidP="00293B7D">
      <w:pPr>
        <w:rPr>
          <w:b/>
        </w:rPr>
      </w:pPr>
      <w:r w:rsidRPr="007A3101">
        <w:rPr>
          <w:b/>
        </w:rPr>
        <w:t>Figure 1</w:t>
      </w:r>
      <w:r w:rsidR="00E80899" w:rsidRPr="007A3101">
        <w:rPr>
          <w:b/>
        </w:rPr>
        <w:t>:</w:t>
      </w:r>
    </w:p>
    <w:p w:rsidR="0083485A" w:rsidRDefault="00277C5A" w:rsidP="00293B7D">
      <w:pPr>
        <w:rPr>
          <w:b/>
        </w:rPr>
      </w:pPr>
      <w:r w:rsidRPr="00277C5A">
        <w:rPr>
          <w:noProof/>
        </w:rPr>
        <w:drawing>
          <wp:inline distT="0" distB="0" distL="0" distR="0">
            <wp:extent cx="9829800" cy="2419350"/>
            <wp:effectExtent l="19050" t="0" r="0" b="0"/>
            <wp:docPr id="5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stretch>
                      <a:fillRect/>
                    </a:stretch>
                  </pic:blipFill>
                  <pic:spPr>
                    <a:xfrm>
                      <a:off x="0" y="0"/>
                      <a:ext cx="9829800" cy="2419350"/>
                    </a:xfrm>
                    <a:prstGeom prst="rect">
                      <a:avLst/>
                    </a:prstGeom>
                  </pic:spPr>
                </pic:pic>
              </a:graphicData>
            </a:graphic>
          </wp:inline>
        </w:drawing>
      </w:r>
    </w:p>
    <w:p w:rsidR="002B4FEE" w:rsidRDefault="002B4FEE" w:rsidP="00293B7D">
      <w:pPr>
        <w:rPr>
          <w:b/>
        </w:rPr>
      </w:pPr>
    </w:p>
    <w:p w:rsidR="007A3101" w:rsidRDefault="007152BE" w:rsidP="00BE0AD5">
      <w:pPr>
        <w:rPr>
          <w:b/>
        </w:rPr>
      </w:pPr>
      <w:bookmarkStart w:id="13" w:name="_Toc368381431"/>
      <w:bookmarkStart w:id="14" w:name="_Toc362959123"/>
      <w:bookmarkEnd w:id="10"/>
      <w:r w:rsidRPr="007A3101">
        <w:rPr>
          <w:b/>
        </w:rPr>
        <w:t>Figure 2</w:t>
      </w:r>
      <w:r w:rsidR="00AA1962" w:rsidRPr="007A3101">
        <w:rPr>
          <w:b/>
        </w:rPr>
        <w:t>:</w:t>
      </w:r>
    </w:p>
    <w:p w:rsidR="0083485A" w:rsidRDefault="00277C5A" w:rsidP="00BE0AD5">
      <w:pPr>
        <w:rPr>
          <w:b/>
        </w:rPr>
      </w:pPr>
      <w:r w:rsidRPr="00277C5A">
        <w:rPr>
          <w:noProof/>
        </w:rPr>
        <w:drawing>
          <wp:inline distT="0" distB="0" distL="0" distR="0">
            <wp:extent cx="9753600" cy="1943100"/>
            <wp:effectExtent l="19050" t="0" r="0" b="0"/>
            <wp:docPr id="5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9793527" cy="1951054"/>
                    </a:xfrm>
                    <a:prstGeom prst="rect">
                      <a:avLst/>
                    </a:prstGeom>
                  </pic:spPr>
                </pic:pic>
              </a:graphicData>
            </a:graphic>
          </wp:inline>
        </w:drawing>
      </w:r>
    </w:p>
    <w:p w:rsidR="00AA1962" w:rsidRDefault="007152BE" w:rsidP="00AA1962">
      <w:pPr>
        <w:jc w:val="both"/>
        <w:rPr>
          <w:b/>
        </w:rPr>
      </w:pPr>
      <w:r w:rsidRPr="007A3101">
        <w:rPr>
          <w:b/>
        </w:rPr>
        <w:t>Figure 3</w:t>
      </w:r>
      <w:r w:rsidR="00AA1962" w:rsidRPr="007A3101">
        <w:rPr>
          <w:b/>
        </w:rPr>
        <w:t>:</w:t>
      </w:r>
    </w:p>
    <w:p w:rsidR="002B4FEE" w:rsidRDefault="00277C5A" w:rsidP="00AA1962">
      <w:pPr>
        <w:jc w:val="both"/>
        <w:rPr>
          <w:b/>
        </w:rPr>
      </w:pPr>
      <w:r w:rsidRPr="00277C5A">
        <w:rPr>
          <w:noProof/>
        </w:rPr>
        <w:drawing>
          <wp:inline distT="0" distB="0" distL="0" distR="0">
            <wp:extent cx="9753600" cy="1828800"/>
            <wp:effectExtent l="19050" t="0" r="0" b="0"/>
            <wp:docPr id="5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9787526" cy="1835161"/>
                    </a:xfrm>
                    <a:prstGeom prst="rect">
                      <a:avLst/>
                    </a:prstGeom>
                  </pic:spPr>
                </pic:pic>
              </a:graphicData>
            </a:graphic>
          </wp:inline>
        </w:drawing>
      </w:r>
    </w:p>
    <w:p w:rsidR="00095C85" w:rsidRDefault="00095C85" w:rsidP="00AA1962">
      <w:pPr>
        <w:jc w:val="both"/>
        <w:rPr>
          <w:b/>
        </w:rPr>
      </w:pPr>
    </w:p>
    <w:p w:rsidR="005B34D8" w:rsidRDefault="005B34D8" w:rsidP="00AA1962">
      <w:pPr>
        <w:rPr>
          <w:highlight w:val="yellow"/>
        </w:rPr>
      </w:pPr>
    </w:p>
    <w:p w:rsidR="00BE0AD5" w:rsidRPr="008346DA" w:rsidRDefault="00BE0AD5" w:rsidP="00BE0AD5">
      <w:pPr>
        <w:jc w:val="center"/>
        <w:rPr>
          <w:highlight w:val="yellow"/>
        </w:rPr>
        <w:sectPr w:rsidR="00BE0AD5" w:rsidRPr="008346DA" w:rsidSect="00A534A7">
          <w:pgSz w:w="16838" w:h="11906" w:orient="landscape"/>
          <w:pgMar w:top="720" w:right="720" w:bottom="720" w:left="720" w:header="708" w:footer="708" w:gutter="0"/>
          <w:cols w:space="708"/>
          <w:docGrid w:linePitch="360"/>
        </w:sectPr>
      </w:pPr>
    </w:p>
    <w:bookmarkEnd w:id="13"/>
    <w:p w:rsidR="007D17C5" w:rsidRDefault="007D17C5" w:rsidP="007D17C5">
      <w:pPr>
        <w:pStyle w:val="Heading2"/>
      </w:pPr>
      <w:r>
        <w:lastRenderedPageBreak/>
        <w:t xml:space="preserve">2.4 Incident Reporting </w:t>
      </w:r>
    </w:p>
    <w:p w:rsidR="007D17C5" w:rsidRPr="002B7250" w:rsidRDefault="007D17C5" w:rsidP="007D17C5">
      <w:pPr>
        <w:pStyle w:val="NoSpacing"/>
        <w:rPr>
          <w:sz w:val="8"/>
        </w:rPr>
      </w:pPr>
    </w:p>
    <w:p w:rsidR="001272A6" w:rsidRPr="00B8132A" w:rsidRDefault="001272A6" w:rsidP="001272A6">
      <w:pPr>
        <w:jc w:val="both"/>
        <w:rPr>
          <w:sz w:val="24"/>
        </w:rPr>
      </w:pPr>
      <w:r w:rsidRPr="00B8132A">
        <w:rPr>
          <w:sz w:val="24"/>
        </w:rPr>
        <w:t xml:space="preserve">Incident reporting systems and policies are integral to patient safety and enable the Trust to analyse the type, frequency and severity of incidents that occur. The Trust’s open and honest reporting demonstrates a commitment to our patients and their safety.   The information arising from these reports is used to make active changes to improve our provision of quality care and to safeguard the wellbeing of our staff and patients. </w:t>
      </w:r>
    </w:p>
    <w:p w:rsidR="001272A6" w:rsidRPr="00B8132A" w:rsidRDefault="001272A6" w:rsidP="001272A6">
      <w:pPr>
        <w:jc w:val="both"/>
        <w:rPr>
          <w:sz w:val="24"/>
        </w:rPr>
      </w:pPr>
      <w:r w:rsidRPr="00B8132A">
        <w:rPr>
          <w:i/>
          <w:sz w:val="24"/>
        </w:rPr>
        <w:t xml:space="preserve">Figure </w:t>
      </w:r>
      <w:r>
        <w:rPr>
          <w:i/>
          <w:sz w:val="24"/>
        </w:rPr>
        <w:t>4</w:t>
      </w:r>
      <w:r w:rsidRPr="00B8132A">
        <w:rPr>
          <w:sz w:val="24"/>
        </w:rPr>
        <w:t xml:space="preserve"> depicts the number of patient incidents reported each month, compared to previous years. </w:t>
      </w:r>
    </w:p>
    <w:p w:rsidR="00B8132A" w:rsidRPr="009C417C" w:rsidRDefault="005613CF" w:rsidP="00B8132A">
      <w:pPr>
        <w:jc w:val="both"/>
        <w:rPr>
          <w:rFonts w:cs="Arial"/>
          <w:b/>
        </w:rPr>
      </w:pPr>
      <w:r>
        <w:rPr>
          <w:rFonts w:cs="Arial"/>
          <w:b/>
        </w:rPr>
        <w:t>Figure 4</w:t>
      </w:r>
      <w:r w:rsidR="00B8132A" w:rsidRPr="009C417C">
        <w:rPr>
          <w:rFonts w:cs="Arial"/>
          <w:b/>
        </w:rPr>
        <w:t>:</w:t>
      </w:r>
    </w:p>
    <w:p w:rsidR="00B8132A" w:rsidRDefault="002F6ED6" w:rsidP="00B8132A">
      <w:pPr>
        <w:jc w:val="center"/>
        <w:rPr>
          <w:sz w:val="20"/>
        </w:rPr>
      </w:pPr>
      <w:r w:rsidRPr="002F6ED6">
        <w:rPr>
          <w:noProof/>
        </w:rPr>
        <w:drawing>
          <wp:inline distT="0" distB="0" distL="0" distR="0">
            <wp:extent cx="5771429" cy="3523810"/>
            <wp:effectExtent l="19050" t="0" r="721" b="0"/>
            <wp:docPr id="1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771429" cy="3523810"/>
                    </a:xfrm>
                    <a:prstGeom prst="rect">
                      <a:avLst/>
                    </a:prstGeom>
                  </pic:spPr>
                </pic:pic>
              </a:graphicData>
            </a:graphic>
          </wp:inline>
        </w:drawing>
      </w:r>
    </w:p>
    <w:p w:rsidR="001272A6" w:rsidRPr="002F6ED6" w:rsidRDefault="001272A6" w:rsidP="001272A6">
      <w:pPr>
        <w:jc w:val="both"/>
        <w:rPr>
          <w:sz w:val="24"/>
        </w:rPr>
      </w:pPr>
      <w:bookmarkStart w:id="15" w:name="_Toc376512012"/>
      <w:r w:rsidRPr="002F6ED6">
        <w:rPr>
          <w:sz w:val="24"/>
        </w:rPr>
        <w:t>Since February 2014 the reporting of incidents within the Trust has remained fairly stable, with the number of reported incidents fluctuating between 350 to 400 per month, apart from April when there was a slight dip in numbers (312).  There were a total of 711 patient incidents reported in June/July, 361 in June and 350 in July and the top 3 themes of incidents were pressure ulcers, falls and medication.  On closer inspection there is a rise for June/July around incidents reported under the categories of: a) clinical assessments, 39 compared to 16 for April/May, b) Consent, Confidentiality or Communication, 33 compared to 20 for April/May.  Further analysis shows the following:</w:t>
      </w:r>
    </w:p>
    <w:p w:rsidR="001272A6" w:rsidRDefault="001272A6" w:rsidP="001272A6">
      <w:pPr>
        <w:spacing w:after="0" w:line="240" w:lineRule="auto"/>
        <w:jc w:val="both"/>
        <w:rPr>
          <w:rFonts w:cs="Arial"/>
        </w:rPr>
      </w:pPr>
    </w:p>
    <w:p w:rsidR="001272A6" w:rsidRPr="002F6ED6" w:rsidRDefault="001272A6" w:rsidP="001272A6">
      <w:pPr>
        <w:pStyle w:val="ListParagraph"/>
        <w:numPr>
          <w:ilvl w:val="0"/>
          <w:numId w:val="21"/>
        </w:numPr>
        <w:spacing w:after="0" w:line="240" w:lineRule="auto"/>
        <w:jc w:val="both"/>
        <w:rPr>
          <w:rFonts w:cs="Arial"/>
          <w:sz w:val="24"/>
        </w:rPr>
      </w:pPr>
      <w:r w:rsidRPr="002F6ED6">
        <w:rPr>
          <w:rFonts w:cs="Arial"/>
          <w:sz w:val="24"/>
        </w:rPr>
        <w:lastRenderedPageBreak/>
        <w:t xml:space="preserve">With regards to clinical assessment – There was in an increase in incidents reported under Laboratory investigations and other assessments (17 compared to 9 in April/May).  Further review of incidents revealed no identified theme.  </w:t>
      </w:r>
    </w:p>
    <w:p w:rsidR="001272A6" w:rsidRDefault="001272A6" w:rsidP="001272A6">
      <w:pPr>
        <w:pStyle w:val="ListParagraph"/>
        <w:numPr>
          <w:ilvl w:val="0"/>
          <w:numId w:val="21"/>
        </w:numPr>
        <w:spacing w:after="0" w:line="240" w:lineRule="auto"/>
        <w:jc w:val="both"/>
        <w:rPr>
          <w:rFonts w:cs="Arial"/>
        </w:rPr>
      </w:pPr>
      <w:r w:rsidRPr="002F6ED6">
        <w:rPr>
          <w:rFonts w:cs="Arial"/>
          <w:sz w:val="24"/>
        </w:rPr>
        <w:t>With regards to consent/confidentiality or communication – There has been</w:t>
      </w:r>
      <w:r>
        <w:rPr>
          <w:rFonts w:cs="Arial"/>
          <w:sz w:val="24"/>
        </w:rPr>
        <w:t xml:space="preserve"> an</w:t>
      </w:r>
      <w:r w:rsidRPr="002F6ED6">
        <w:rPr>
          <w:rFonts w:cs="Arial"/>
          <w:sz w:val="24"/>
        </w:rPr>
        <w:t xml:space="preserve"> increase in incidents reported under communication between staff, teams and departments (25 compared to 14 in April/May).  Further review of incidents revealed no </w:t>
      </w:r>
      <w:r>
        <w:rPr>
          <w:rFonts w:cs="Arial"/>
          <w:sz w:val="24"/>
        </w:rPr>
        <w:t>overall</w:t>
      </w:r>
      <w:r w:rsidRPr="002F6ED6">
        <w:rPr>
          <w:rFonts w:cs="Arial"/>
          <w:sz w:val="24"/>
        </w:rPr>
        <w:t xml:space="preserve"> theme</w:t>
      </w:r>
      <w:r>
        <w:rPr>
          <w:rFonts w:cs="Arial"/>
        </w:rPr>
        <w:t xml:space="preserve">.  </w:t>
      </w:r>
    </w:p>
    <w:p w:rsidR="001272A6" w:rsidRDefault="001272A6" w:rsidP="001272A6">
      <w:pPr>
        <w:pStyle w:val="ListParagraph"/>
        <w:spacing w:after="0" w:line="240" w:lineRule="auto"/>
        <w:jc w:val="both"/>
        <w:rPr>
          <w:rFonts w:cs="Arial"/>
        </w:rPr>
      </w:pPr>
    </w:p>
    <w:p w:rsidR="001272A6" w:rsidRPr="002F6ED6" w:rsidRDefault="001272A6" w:rsidP="001272A6">
      <w:pPr>
        <w:spacing w:after="0" w:line="240" w:lineRule="auto"/>
        <w:jc w:val="both"/>
        <w:rPr>
          <w:rFonts w:cs="Arial"/>
          <w:sz w:val="24"/>
        </w:rPr>
      </w:pPr>
      <w:r w:rsidRPr="002F6ED6">
        <w:rPr>
          <w:rFonts w:cs="Arial"/>
          <w:sz w:val="24"/>
        </w:rPr>
        <w:t>A total of 202 pressure sores were reported in June and July (total number of community and hospital acquired), accounting for 28% of all patient incidents.  The Trust reported 34 hospital acquired pressure sores, which is down from 44 reported the previous 2 months. There has been an increase in hospital reported grade 3 and 4 pressure ulcers, with 5 being reported (previous 2 months 3 ulcers were reported).  On closer inspection 2 of these pressure ulcers were previously attributed to community acquired and were</w:t>
      </w:r>
      <w:r>
        <w:rPr>
          <w:rFonts w:cs="Arial"/>
          <w:sz w:val="24"/>
        </w:rPr>
        <w:t xml:space="preserve"> originally</w:t>
      </w:r>
      <w:r w:rsidRPr="002F6ED6">
        <w:rPr>
          <w:rFonts w:cs="Arial"/>
          <w:sz w:val="24"/>
        </w:rPr>
        <w:t xml:space="preserve"> reported in February and May 2014, but further investigation deemed them to be hospital acquired.  All relevant external organisations were notified in June/July and a full investigation was commenced.  The Trust commissioned a Peer Review of pressure ulcer management which was undertaken by local organisations in July.  Preliminary feedback is encouraging however a draft report </w:t>
      </w:r>
      <w:r>
        <w:rPr>
          <w:rFonts w:cs="Arial"/>
          <w:sz w:val="24"/>
        </w:rPr>
        <w:t>is expected</w:t>
      </w:r>
      <w:r w:rsidRPr="002F6ED6">
        <w:rPr>
          <w:rFonts w:cs="Arial"/>
          <w:sz w:val="24"/>
        </w:rPr>
        <w:t xml:space="preserve"> </w:t>
      </w:r>
      <w:r>
        <w:rPr>
          <w:rFonts w:cs="Arial"/>
          <w:sz w:val="24"/>
        </w:rPr>
        <w:t>in</w:t>
      </w:r>
      <w:r w:rsidRPr="002F6ED6">
        <w:rPr>
          <w:rFonts w:cs="Arial"/>
          <w:sz w:val="24"/>
        </w:rPr>
        <w:t xml:space="preserve"> August.  </w:t>
      </w:r>
    </w:p>
    <w:p w:rsidR="001272A6" w:rsidRPr="002F6ED6" w:rsidRDefault="001272A6" w:rsidP="001272A6">
      <w:pPr>
        <w:spacing w:after="0" w:line="240" w:lineRule="auto"/>
        <w:jc w:val="both"/>
        <w:rPr>
          <w:rFonts w:cs="Arial"/>
          <w:sz w:val="24"/>
        </w:rPr>
      </w:pPr>
    </w:p>
    <w:p w:rsidR="001272A6" w:rsidRPr="002F6ED6" w:rsidRDefault="001272A6" w:rsidP="001272A6">
      <w:pPr>
        <w:spacing w:after="0" w:line="240" w:lineRule="auto"/>
        <w:jc w:val="both"/>
        <w:rPr>
          <w:sz w:val="24"/>
        </w:rPr>
      </w:pPr>
      <w:r w:rsidRPr="002F6ED6">
        <w:rPr>
          <w:sz w:val="24"/>
        </w:rPr>
        <w:t>110 slips, trips, falls &amp; collisions were reported in June and July, which is slightly down on the numbers reported in April and May (122).  Of the 110 reported incidents, 3 warranted a full investigation and have been reported as a serious incident.</w:t>
      </w:r>
    </w:p>
    <w:p w:rsidR="001272A6" w:rsidRPr="002F6ED6" w:rsidRDefault="001272A6" w:rsidP="001272A6">
      <w:pPr>
        <w:spacing w:after="0" w:line="240" w:lineRule="auto"/>
        <w:jc w:val="both"/>
        <w:rPr>
          <w:sz w:val="24"/>
        </w:rPr>
      </w:pPr>
    </w:p>
    <w:p w:rsidR="001272A6" w:rsidRPr="002F6ED6" w:rsidRDefault="001272A6" w:rsidP="001272A6">
      <w:pPr>
        <w:spacing w:after="0" w:line="240" w:lineRule="auto"/>
        <w:jc w:val="both"/>
        <w:rPr>
          <w:sz w:val="24"/>
        </w:rPr>
      </w:pPr>
      <w:r w:rsidRPr="002F6ED6">
        <w:rPr>
          <w:sz w:val="24"/>
        </w:rPr>
        <w:t>76 medication incidents were reported in June/July, slightly up from 73 in April/May. These errors included administration (meaning medication administered orally or intravenously) from a clinical area (such as ward areas), medication error during the prescription process and preparation of medicines/dispensing in pharmacy.  Further review shows that the Emergency department reporting of medication incidents has decreased from 11 in April/May to 4 in June/July and Harptree ward has increased from 5 to 12.  On further review no trend can be identified but there were 2 incidents reported around a drug being used on the ward that fell outside of normal protocol.</w:t>
      </w:r>
    </w:p>
    <w:p w:rsidR="002F6ED6" w:rsidRDefault="002F6ED6">
      <w:pPr>
        <w:rPr>
          <w:rFonts w:asciiTheme="majorHAnsi" w:eastAsiaTheme="majorEastAsia" w:hAnsiTheme="majorHAnsi" w:cstheme="majorBidi"/>
          <w:b/>
          <w:bCs/>
          <w:color w:val="2DA2BF" w:themeColor="accent1"/>
          <w:sz w:val="24"/>
        </w:rPr>
      </w:pPr>
      <w:r>
        <w:rPr>
          <w:sz w:val="24"/>
        </w:rPr>
        <w:br w:type="page"/>
      </w:r>
    </w:p>
    <w:p w:rsidR="00B8132A" w:rsidRPr="00F416C1" w:rsidRDefault="002F6ED6" w:rsidP="00B8132A">
      <w:pPr>
        <w:pStyle w:val="Heading3"/>
        <w:jc w:val="both"/>
        <w:rPr>
          <w:sz w:val="24"/>
        </w:rPr>
      </w:pPr>
      <w:r>
        <w:rPr>
          <w:sz w:val="24"/>
        </w:rPr>
        <w:lastRenderedPageBreak/>
        <w:t>2.4</w:t>
      </w:r>
      <w:r w:rsidR="00B8132A">
        <w:rPr>
          <w:sz w:val="24"/>
        </w:rPr>
        <w:t>.1 Daily Situation Report</w:t>
      </w:r>
      <w:bookmarkEnd w:id="15"/>
      <w:r w:rsidR="00B8132A">
        <w:rPr>
          <w:sz w:val="24"/>
        </w:rPr>
        <w:t xml:space="preserve"> </w:t>
      </w:r>
    </w:p>
    <w:p w:rsidR="001272A6" w:rsidRPr="002F6ED6" w:rsidRDefault="001272A6" w:rsidP="001272A6">
      <w:pPr>
        <w:spacing w:after="0" w:line="20" w:lineRule="atLeast"/>
        <w:jc w:val="both"/>
        <w:rPr>
          <w:rFonts w:cs="Arial"/>
          <w:sz w:val="24"/>
        </w:rPr>
      </w:pPr>
      <w:r w:rsidRPr="002F6ED6">
        <w:rPr>
          <w:sz w:val="24"/>
        </w:rPr>
        <w:t>The daily situation report (SitRep) continues to be circulated by the Quality Improvement Team on a daily basis</w:t>
      </w:r>
      <w:r w:rsidRPr="002F6ED6">
        <w:rPr>
          <w:rFonts w:cs="Arial"/>
          <w:sz w:val="24"/>
        </w:rPr>
        <w:t xml:space="preserve">.  Data is presented to help operational leads focus on any areas of concern. </w:t>
      </w:r>
    </w:p>
    <w:p w:rsidR="001272A6" w:rsidRPr="0076097B" w:rsidRDefault="001272A6" w:rsidP="001272A6">
      <w:pPr>
        <w:spacing w:after="0" w:line="20" w:lineRule="atLeast"/>
        <w:jc w:val="both"/>
        <w:rPr>
          <w:rFonts w:cs="Arial"/>
          <w:color w:val="000000"/>
          <w:sz w:val="16"/>
        </w:rPr>
      </w:pPr>
    </w:p>
    <w:p w:rsidR="001272A6" w:rsidRPr="002F6ED6" w:rsidRDefault="001272A6" w:rsidP="001272A6">
      <w:pPr>
        <w:spacing w:after="0" w:line="20" w:lineRule="atLeast"/>
        <w:jc w:val="both"/>
        <w:rPr>
          <w:rFonts w:cs="Arial"/>
          <w:sz w:val="24"/>
        </w:rPr>
      </w:pPr>
      <w:r w:rsidRPr="002F6ED6">
        <w:rPr>
          <w:rFonts w:cs="Arial"/>
          <w:color w:val="000000"/>
          <w:sz w:val="24"/>
        </w:rPr>
        <w:t>Since March 2014 the Quality Improvement Team (QIT) has implemented a Safety News Flash bulletin, which is an urgent email communication to all staff to highlight a particular trend or concern on the day that it is noted by the Quality Improvement Team from the SitRep</w:t>
      </w:r>
      <w:r w:rsidRPr="002F6ED6">
        <w:rPr>
          <w:rFonts w:cs="Arial"/>
          <w:sz w:val="24"/>
        </w:rPr>
        <w:t xml:space="preserve">.  During June/July 3 safety news flashes were </w:t>
      </w:r>
      <w:r>
        <w:rPr>
          <w:rFonts w:cs="Arial"/>
          <w:sz w:val="24"/>
        </w:rPr>
        <w:t xml:space="preserve"> issued</w:t>
      </w:r>
      <w:r w:rsidRPr="002F6ED6">
        <w:rPr>
          <w:rFonts w:cs="Arial"/>
          <w:sz w:val="24"/>
        </w:rPr>
        <w:t xml:space="preserve">: </w:t>
      </w:r>
    </w:p>
    <w:p w:rsidR="001272A6" w:rsidRPr="002F6ED6" w:rsidRDefault="001272A6" w:rsidP="001272A6">
      <w:pPr>
        <w:spacing w:after="0" w:line="20" w:lineRule="atLeast"/>
        <w:jc w:val="both"/>
        <w:rPr>
          <w:rFonts w:cs="Arial"/>
          <w:sz w:val="24"/>
        </w:rPr>
      </w:pPr>
    </w:p>
    <w:p w:rsidR="001272A6" w:rsidRPr="002F6ED6" w:rsidRDefault="001272A6" w:rsidP="001272A6">
      <w:pPr>
        <w:pStyle w:val="ListParagraph"/>
        <w:numPr>
          <w:ilvl w:val="0"/>
          <w:numId w:val="22"/>
        </w:numPr>
        <w:spacing w:after="0" w:line="20" w:lineRule="atLeast"/>
        <w:jc w:val="both"/>
        <w:rPr>
          <w:rFonts w:cs="Arial"/>
          <w:sz w:val="24"/>
        </w:rPr>
      </w:pPr>
      <w:r w:rsidRPr="002F6ED6">
        <w:rPr>
          <w:rFonts w:cs="Arial"/>
          <w:sz w:val="24"/>
        </w:rPr>
        <w:t>Number to call for the crash team (2222)</w:t>
      </w:r>
    </w:p>
    <w:p w:rsidR="001272A6" w:rsidRPr="002F6ED6" w:rsidRDefault="001272A6" w:rsidP="001272A6">
      <w:pPr>
        <w:pStyle w:val="ListParagraph"/>
        <w:numPr>
          <w:ilvl w:val="0"/>
          <w:numId w:val="22"/>
        </w:numPr>
        <w:spacing w:after="0" w:line="20" w:lineRule="atLeast"/>
        <w:jc w:val="both"/>
        <w:rPr>
          <w:rFonts w:cs="Arial"/>
          <w:sz w:val="24"/>
        </w:rPr>
      </w:pPr>
      <w:r w:rsidRPr="002F6ED6">
        <w:rPr>
          <w:rFonts w:cs="Arial"/>
          <w:sz w:val="24"/>
        </w:rPr>
        <w:t>Importance of incident reporting</w:t>
      </w:r>
    </w:p>
    <w:p w:rsidR="001272A6" w:rsidRPr="002F6ED6" w:rsidRDefault="001272A6" w:rsidP="001272A6">
      <w:pPr>
        <w:pStyle w:val="ListParagraph"/>
        <w:numPr>
          <w:ilvl w:val="0"/>
          <w:numId w:val="22"/>
        </w:numPr>
        <w:spacing w:after="0" w:line="20" w:lineRule="atLeast"/>
        <w:jc w:val="both"/>
        <w:rPr>
          <w:rFonts w:cs="Arial"/>
          <w:sz w:val="24"/>
        </w:rPr>
      </w:pPr>
      <w:r w:rsidRPr="002F6ED6">
        <w:rPr>
          <w:rFonts w:cs="Arial"/>
          <w:sz w:val="24"/>
        </w:rPr>
        <w:t>Patients receiving air not oxygen</w:t>
      </w:r>
    </w:p>
    <w:p w:rsidR="002F6ED6" w:rsidRPr="0076097B" w:rsidRDefault="002F6ED6" w:rsidP="00B8132A">
      <w:pPr>
        <w:rPr>
          <w:rFonts w:asciiTheme="majorHAnsi" w:hAnsiTheme="majorHAnsi"/>
          <w:b/>
          <w:color w:val="2DA2BF" w:themeColor="accent1"/>
          <w:sz w:val="12"/>
        </w:rPr>
      </w:pPr>
    </w:p>
    <w:p w:rsidR="00B8132A" w:rsidRPr="009739DD" w:rsidRDefault="006D207F" w:rsidP="00B8132A">
      <w:pPr>
        <w:rPr>
          <w:rFonts w:asciiTheme="majorHAnsi" w:hAnsiTheme="majorHAnsi"/>
          <w:b/>
          <w:color w:val="2DA2BF" w:themeColor="accent1"/>
        </w:rPr>
      </w:pPr>
      <w:r>
        <w:rPr>
          <w:rFonts w:asciiTheme="majorHAnsi" w:hAnsiTheme="majorHAnsi"/>
          <w:b/>
          <w:color w:val="2DA2BF" w:themeColor="accent1"/>
          <w:sz w:val="24"/>
        </w:rPr>
        <w:t>2.4</w:t>
      </w:r>
      <w:r w:rsidR="00B8132A" w:rsidRPr="009739DD">
        <w:rPr>
          <w:rFonts w:asciiTheme="majorHAnsi" w:hAnsiTheme="majorHAnsi"/>
          <w:b/>
          <w:color w:val="2DA2BF" w:themeColor="accent1"/>
          <w:sz w:val="24"/>
        </w:rPr>
        <w:t>.2 Staff Incidents</w:t>
      </w:r>
    </w:p>
    <w:p w:rsidR="001272A6" w:rsidRPr="002F6ED6" w:rsidRDefault="001272A6" w:rsidP="001272A6">
      <w:pPr>
        <w:jc w:val="both"/>
        <w:rPr>
          <w:rFonts w:cs="Arial"/>
          <w:sz w:val="24"/>
        </w:rPr>
      </w:pPr>
      <w:r w:rsidRPr="002F6ED6">
        <w:rPr>
          <w:rFonts w:cs="Arial"/>
          <w:sz w:val="24"/>
        </w:rPr>
        <w:t xml:space="preserve">The Trust Health and Safety Committee reviews incident trends and receives reports on incidents reported under the Reporting of Injuries, Diseases and Dangerous Occurrences Regulations (RIDDOR) 1995. </w:t>
      </w:r>
      <w:r w:rsidRPr="002F6ED6">
        <w:rPr>
          <w:rFonts w:cs="Arial"/>
          <w:i/>
          <w:sz w:val="24"/>
        </w:rPr>
        <w:t xml:space="preserve">Figure </w:t>
      </w:r>
      <w:r>
        <w:rPr>
          <w:rFonts w:cs="Arial"/>
          <w:i/>
          <w:sz w:val="24"/>
        </w:rPr>
        <w:t>5</w:t>
      </w:r>
      <w:r w:rsidRPr="002F6ED6">
        <w:rPr>
          <w:rFonts w:cs="Arial"/>
          <w:i/>
          <w:sz w:val="24"/>
        </w:rPr>
        <w:t xml:space="preserve"> </w:t>
      </w:r>
      <w:r w:rsidRPr="002F6ED6">
        <w:rPr>
          <w:rFonts w:cs="Arial"/>
          <w:sz w:val="24"/>
        </w:rPr>
        <w:t xml:space="preserve">depicts the number of staff incidents reported each month, compared to previous years. </w:t>
      </w:r>
    </w:p>
    <w:p w:rsidR="00B8132A" w:rsidRPr="00DA773A" w:rsidRDefault="005613CF" w:rsidP="00B8132A">
      <w:pPr>
        <w:jc w:val="both"/>
        <w:rPr>
          <w:b/>
        </w:rPr>
      </w:pPr>
      <w:r>
        <w:rPr>
          <w:rFonts w:cs="Arial"/>
          <w:b/>
        </w:rPr>
        <w:t>Figure 5</w:t>
      </w:r>
      <w:r w:rsidR="00B8132A" w:rsidRPr="00DA773A">
        <w:rPr>
          <w:rFonts w:cs="Arial"/>
          <w:b/>
        </w:rPr>
        <w:t>:</w:t>
      </w:r>
    </w:p>
    <w:p w:rsidR="00B8132A" w:rsidRPr="00761A73" w:rsidRDefault="002F6ED6" w:rsidP="00B8132A">
      <w:pPr>
        <w:jc w:val="center"/>
      </w:pPr>
      <w:r w:rsidRPr="002F6ED6">
        <w:rPr>
          <w:noProof/>
        </w:rPr>
        <w:drawing>
          <wp:inline distT="0" distB="0" distL="0" distR="0">
            <wp:extent cx="5885715" cy="3561905"/>
            <wp:effectExtent l="19050" t="0" r="735" b="0"/>
            <wp:docPr id="2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885715" cy="3561905"/>
                    </a:xfrm>
                    <a:prstGeom prst="rect">
                      <a:avLst/>
                    </a:prstGeom>
                  </pic:spPr>
                </pic:pic>
              </a:graphicData>
            </a:graphic>
          </wp:inline>
        </w:drawing>
      </w:r>
    </w:p>
    <w:p w:rsidR="001272A6" w:rsidRPr="002F6ED6" w:rsidRDefault="001272A6" w:rsidP="001272A6">
      <w:pPr>
        <w:spacing w:after="0" w:line="240" w:lineRule="auto"/>
        <w:jc w:val="both"/>
        <w:rPr>
          <w:sz w:val="24"/>
        </w:rPr>
      </w:pPr>
      <w:r w:rsidRPr="002F6ED6">
        <w:rPr>
          <w:sz w:val="24"/>
        </w:rPr>
        <w:lastRenderedPageBreak/>
        <w:t>There were 32 staff incidents reported in June and 49 incidents reported in July, a total of 81 compared to 66 reported in April/May.  Incidents reported involving abuse of staff has decreased from 27 incidents in April/May to 22 in June/July.  There has been an increase in staff incidents reported under a) Accident that may result in personal injury, up from 27 to 35 b) Medical equipment/devices, up from 0 to 6.  Further analysis shows the following:</w:t>
      </w:r>
    </w:p>
    <w:p w:rsidR="001272A6" w:rsidRPr="002F6ED6" w:rsidRDefault="001272A6" w:rsidP="001272A6">
      <w:pPr>
        <w:spacing w:after="0" w:line="240" w:lineRule="auto"/>
        <w:jc w:val="both"/>
        <w:rPr>
          <w:sz w:val="24"/>
        </w:rPr>
      </w:pPr>
    </w:p>
    <w:p w:rsidR="001272A6" w:rsidRPr="002F6ED6" w:rsidRDefault="001272A6" w:rsidP="001272A6">
      <w:pPr>
        <w:pStyle w:val="ListParagraph"/>
        <w:numPr>
          <w:ilvl w:val="0"/>
          <w:numId w:val="23"/>
        </w:numPr>
        <w:spacing w:after="0" w:line="240" w:lineRule="auto"/>
        <w:jc w:val="both"/>
        <w:rPr>
          <w:sz w:val="24"/>
        </w:rPr>
      </w:pPr>
      <w:r w:rsidRPr="002F6ED6">
        <w:rPr>
          <w:sz w:val="24"/>
        </w:rPr>
        <w:t xml:space="preserve">Accident that may result in personal injury – There was an increase incidents around staff falls, from 8 to 12 and accidents caused by other means, from 6 to 9.  </w:t>
      </w:r>
      <w:r w:rsidRPr="002F6ED6">
        <w:rPr>
          <w:rFonts w:cs="Arial"/>
          <w:sz w:val="24"/>
        </w:rPr>
        <w:t xml:space="preserve">Further review of incidents revealed no identified theme.  </w:t>
      </w:r>
    </w:p>
    <w:p w:rsidR="001272A6" w:rsidRPr="002F6ED6" w:rsidRDefault="001272A6" w:rsidP="001272A6">
      <w:pPr>
        <w:pStyle w:val="ListParagraph"/>
        <w:numPr>
          <w:ilvl w:val="0"/>
          <w:numId w:val="23"/>
        </w:numPr>
        <w:spacing w:after="0" w:line="240" w:lineRule="auto"/>
        <w:jc w:val="both"/>
        <w:rPr>
          <w:sz w:val="24"/>
        </w:rPr>
      </w:pPr>
      <w:r w:rsidRPr="002F6ED6">
        <w:rPr>
          <w:rFonts w:cs="Arial"/>
          <w:sz w:val="24"/>
        </w:rPr>
        <w:t>Medical equipment/devices - Further review of incidents revealed no identified theme.</w:t>
      </w:r>
    </w:p>
    <w:p w:rsidR="00B8132A" w:rsidRPr="005D377C" w:rsidRDefault="00B8132A" w:rsidP="00B8132A">
      <w:pPr>
        <w:rPr>
          <w:color w:val="000000"/>
        </w:rPr>
      </w:pPr>
    </w:p>
    <w:p w:rsidR="00B8132A" w:rsidRPr="00EA75E1" w:rsidRDefault="006D207F" w:rsidP="00B8132A">
      <w:pPr>
        <w:pStyle w:val="Heading3"/>
        <w:rPr>
          <w:sz w:val="20"/>
        </w:rPr>
      </w:pPr>
      <w:bookmarkStart w:id="16" w:name="_Toc376512013"/>
      <w:r>
        <w:rPr>
          <w:sz w:val="24"/>
        </w:rPr>
        <w:t>2.4</w:t>
      </w:r>
      <w:r w:rsidR="00B8132A">
        <w:rPr>
          <w:sz w:val="24"/>
        </w:rPr>
        <w:t>.3 Serious Incidents (SIRI</w:t>
      </w:r>
      <w:r w:rsidR="00B8132A" w:rsidRPr="00B92233">
        <w:rPr>
          <w:sz w:val="24"/>
        </w:rPr>
        <w:t>s)</w:t>
      </w:r>
      <w:bookmarkEnd w:id="16"/>
    </w:p>
    <w:p w:rsidR="001272A6" w:rsidRPr="002F6ED6" w:rsidRDefault="001272A6" w:rsidP="001272A6">
      <w:pPr>
        <w:rPr>
          <w:rFonts w:asciiTheme="majorHAnsi" w:eastAsiaTheme="majorEastAsia" w:hAnsiTheme="majorHAnsi" w:cstheme="majorBidi"/>
          <w:b/>
          <w:bCs/>
          <w:color w:val="2DA2BF" w:themeColor="accent1"/>
          <w:sz w:val="28"/>
        </w:rPr>
      </w:pPr>
      <w:r w:rsidRPr="002F6ED6">
        <w:rPr>
          <w:rFonts w:cstheme="minorHAnsi"/>
          <w:sz w:val="24"/>
        </w:rPr>
        <w:t xml:space="preserve">A Serious Incident is defined in the </w:t>
      </w:r>
      <w:hyperlink r:id="rId22" w:history="1">
        <w:r w:rsidRPr="002F6ED6">
          <w:rPr>
            <w:rStyle w:val="Hyperlink"/>
            <w:rFonts w:cstheme="minorHAnsi"/>
            <w:color w:val="0070C0"/>
            <w:sz w:val="24"/>
          </w:rPr>
          <w:t>http://www.england.nhs.uk/ourwork/patientsafety/</w:t>
        </w:r>
      </w:hyperlink>
      <w:r w:rsidRPr="002F6ED6">
        <w:rPr>
          <w:rFonts w:cstheme="minorHAnsi"/>
          <w:sz w:val="24"/>
        </w:rPr>
        <w:t xml:space="preserve"> (2013) as an incident that occurred in relation to NHS-funded services and care resulting in: </w:t>
      </w:r>
    </w:p>
    <w:p w:rsidR="001272A6" w:rsidRPr="002F6ED6" w:rsidRDefault="001272A6" w:rsidP="001272A6">
      <w:pPr>
        <w:numPr>
          <w:ilvl w:val="0"/>
          <w:numId w:val="14"/>
        </w:numPr>
        <w:spacing w:before="100" w:beforeAutospacing="1" w:after="100" w:afterAutospacing="1"/>
        <w:jc w:val="both"/>
        <w:rPr>
          <w:rFonts w:cstheme="minorHAnsi"/>
          <w:sz w:val="24"/>
        </w:rPr>
      </w:pPr>
      <w:r w:rsidRPr="002F6ED6">
        <w:rPr>
          <w:rFonts w:cstheme="minorHAnsi"/>
          <w:sz w:val="24"/>
        </w:rPr>
        <w:t>Unexpected or avoidable death of one or more patients, staff, visitors, or members of the public.</w:t>
      </w:r>
    </w:p>
    <w:p w:rsidR="001272A6" w:rsidRPr="002F6ED6" w:rsidRDefault="001272A6" w:rsidP="001272A6">
      <w:pPr>
        <w:numPr>
          <w:ilvl w:val="0"/>
          <w:numId w:val="14"/>
        </w:numPr>
        <w:spacing w:before="100" w:beforeAutospacing="1" w:after="100" w:afterAutospacing="1"/>
        <w:jc w:val="both"/>
        <w:rPr>
          <w:rFonts w:cstheme="minorHAnsi"/>
          <w:sz w:val="24"/>
        </w:rPr>
      </w:pPr>
      <w:r w:rsidRPr="002F6ED6">
        <w:rPr>
          <w:rFonts w:cstheme="minorHAnsi"/>
          <w:sz w:val="24"/>
        </w:rPr>
        <w:t>Serious harm to one or more patients, staff, visitors, or members of the public or when the outcome requires life saving intervention, major surgical/medical intervention, permanent harm or will shorten life expectancy or result in prolonged pain or psychological harm (this includes incidents graded under the NPSA definition of severe harm)</w:t>
      </w:r>
    </w:p>
    <w:p w:rsidR="001272A6" w:rsidRPr="002F6ED6" w:rsidRDefault="001272A6" w:rsidP="001272A6">
      <w:pPr>
        <w:numPr>
          <w:ilvl w:val="0"/>
          <w:numId w:val="14"/>
        </w:numPr>
        <w:spacing w:before="100" w:beforeAutospacing="1" w:after="100" w:afterAutospacing="1"/>
        <w:jc w:val="both"/>
        <w:rPr>
          <w:rFonts w:cstheme="minorHAnsi"/>
          <w:sz w:val="24"/>
        </w:rPr>
      </w:pPr>
      <w:r w:rsidRPr="002F6ED6">
        <w:rPr>
          <w:rFonts w:cstheme="minorHAnsi"/>
          <w:sz w:val="24"/>
        </w:rPr>
        <w:t>A scenario that prevents or threatens to prevent a provider organisations ability to continue to deliver healthcare services, for example, acute or potential loss of personal/organisational information, damage to property, reputation or the environment, IT failure or incidents in population programmes like screening and immunisation where harm potentially may extend to a large population.</w:t>
      </w:r>
    </w:p>
    <w:p w:rsidR="001272A6" w:rsidRPr="002F6ED6" w:rsidRDefault="001272A6" w:rsidP="001272A6">
      <w:pPr>
        <w:numPr>
          <w:ilvl w:val="0"/>
          <w:numId w:val="14"/>
        </w:numPr>
        <w:spacing w:before="100" w:beforeAutospacing="1" w:after="100" w:afterAutospacing="1"/>
        <w:jc w:val="both"/>
        <w:rPr>
          <w:rFonts w:cstheme="minorHAnsi"/>
          <w:sz w:val="24"/>
        </w:rPr>
      </w:pPr>
      <w:r w:rsidRPr="002F6ED6">
        <w:rPr>
          <w:rFonts w:cstheme="minorHAnsi"/>
          <w:sz w:val="24"/>
        </w:rPr>
        <w:t xml:space="preserve">Allegations of abuse </w:t>
      </w:r>
    </w:p>
    <w:p w:rsidR="001272A6" w:rsidRPr="002F6ED6" w:rsidRDefault="001272A6" w:rsidP="001272A6">
      <w:pPr>
        <w:numPr>
          <w:ilvl w:val="0"/>
          <w:numId w:val="14"/>
        </w:numPr>
        <w:spacing w:before="100" w:beforeAutospacing="1" w:after="100" w:afterAutospacing="1"/>
        <w:jc w:val="both"/>
        <w:rPr>
          <w:rFonts w:cstheme="minorHAnsi"/>
          <w:sz w:val="24"/>
        </w:rPr>
      </w:pPr>
      <w:r w:rsidRPr="002F6ED6">
        <w:rPr>
          <w:rFonts w:cstheme="minorHAnsi"/>
          <w:sz w:val="24"/>
        </w:rPr>
        <w:t>Adverse media coverage or public concern about the organisation or the wider NHS.</w:t>
      </w:r>
    </w:p>
    <w:p w:rsidR="001272A6" w:rsidRPr="002F6ED6" w:rsidRDefault="001272A6" w:rsidP="001272A6">
      <w:pPr>
        <w:numPr>
          <w:ilvl w:val="0"/>
          <w:numId w:val="14"/>
        </w:numPr>
        <w:spacing w:before="100" w:beforeAutospacing="1" w:after="100" w:afterAutospacing="1"/>
        <w:jc w:val="both"/>
        <w:rPr>
          <w:rFonts w:cstheme="minorHAnsi"/>
          <w:sz w:val="24"/>
        </w:rPr>
      </w:pPr>
      <w:r w:rsidRPr="002F6ED6">
        <w:rPr>
          <w:rFonts w:cstheme="minorHAnsi"/>
          <w:sz w:val="24"/>
        </w:rPr>
        <w:t xml:space="preserve">One of the core set of Never Events </w:t>
      </w:r>
    </w:p>
    <w:p w:rsidR="001272A6" w:rsidRPr="002F6ED6" w:rsidRDefault="001272A6" w:rsidP="001272A6">
      <w:pPr>
        <w:rPr>
          <w:rFonts w:cstheme="minorHAnsi"/>
          <w:sz w:val="24"/>
        </w:rPr>
      </w:pPr>
      <w:r w:rsidRPr="002F6ED6">
        <w:rPr>
          <w:rFonts w:cstheme="minorHAnsi"/>
          <w:i/>
          <w:sz w:val="24"/>
        </w:rPr>
        <w:lastRenderedPageBreak/>
        <w:t xml:space="preserve">Figure </w:t>
      </w:r>
      <w:r>
        <w:rPr>
          <w:rFonts w:cstheme="minorHAnsi"/>
          <w:i/>
          <w:sz w:val="24"/>
        </w:rPr>
        <w:t>6</w:t>
      </w:r>
      <w:r w:rsidRPr="002F6ED6">
        <w:rPr>
          <w:rFonts w:cstheme="minorHAnsi"/>
          <w:sz w:val="24"/>
        </w:rPr>
        <w:t xml:space="preserve"> depicts the number of serious incidents reported to the Trust </w:t>
      </w:r>
    </w:p>
    <w:p w:rsidR="001272A6" w:rsidRPr="00DA773A" w:rsidRDefault="001272A6" w:rsidP="001272A6">
      <w:pPr>
        <w:rPr>
          <w:b/>
        </w:rPr>
      </w:pPr>
      <w:r>
        <w:rPr>
          <w:b/>
        </w:rPr>
        <w:t>Figure 6</w:t>
      </w:r>
      <w:r w:rsidRPr="00DA773A">
        <w:rPr>
          <w:b/>
        </w:rPr>
        <w:t>:</w:t>
      </w:r>
    </w:p>
    <w:p w:rsidR="00B8132A" w:rsidRDefault="002F6ED6" w:rsidP="00B8132A">
      <w:pPr>
        <w:jc w:val="center"/>
        <w:rPr>
          <w:rFonts w:cstheme="minorHAnsi"/>
          <w:sz w:val="20"/>
        </w:rPr>
      </w:pPr>
      <w:r w:rsidRPr="002F6ED6">
        <w:rPr>
          <w:noProof/>
        </w:rPr>
        <w:drawing>
          <wp:inline distT="0" distB="0" distL="0" distR="0">
            <wp:extent cx="5945815" cy="3551275"/>
            <wp:effectExtent l="19050" t="0" r="0" b="0"/>
            <wp:docPr id="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943600" cy="3549952"/>
                    </a:xfrm>
                    <a:prstGeom prst="rect">
                      <a:avLst/>
                    </a:prstGeom>
                  </pic:spPr>
                </pic:pic>
              </a:graphicData>
            </a:graphic>
          </wp:inline>
        </w:drawing>
      </w:r>
    </w:p>
    <w:p w:rsidR="001272A6" w:rsidRPr="002F6ED6" w:rsidRDefault="001272A6" w:rsidP="001272A6">
      <w:pPr>
        <w:jc w:val="both"/>
        <w:rPr>
          <w:rFonts w:cstheme="minorHAnsi"/>
          <w:sz w:val="24"/>
        </w:rPr>
      </w:pPr>
      <w:bookmarkStart w:id="17" w:name="_Toc381084854"/>
      <w:bookmarkEnd w:id="14"/>
      <w:r w:rsidRPr="002F6ED6">
        <w:rPr>
          <w:rFonts w:cstheme="minorHAnsi"/>
          <w:sz w:val="24"/>
        </w:rPr>
        <w:t>Resultant investigation reports are reviewed by the local Clinical Commissioning Group and, for the most serious cases, also reviewed by the NHS Trust Development Authority. Between the 1</w:t>
      </w:r>
      <w:r w:rsidRPr="002F6ED6">
        <w:rPr>
          <w:rFonts w:cstheme="minorHAnsi"/>
          <w:sz w:val="24"/>
          <w:vertAlign w:val="superscript"/>
        </w:rPr>
        <w:t>st</w:t>
      </w:r>
      <w:r w:rsidRPr="002F6ED6">
        <w:rPr>
          <w:rFonts w:cstheme="minorHAnsi"/>
          <w:sz w:val="24"/>
        </w:rPr>
        <w:t xml:space="preserve"> June and 31</w:t>
      </w:r>
      <w:r w:rsidRPr="002F6ED6">
        <w:rPr>
          <w:rFonts w:cstheme="minorHAnsi"/>
          <w:sz w:val="24"/>
          <w:vertAlign w:val="superscript"/>
        </w:rPr>
        <w:t>st</w:t>
      </w:r>
      <w:r w:rsidRPr="002F6ED6">
        <w:rPr>
          <w:rFonts w:cstheme="minorHAnsi"/>
          <w:sz w:val="24"/>
        </w:rPr>
        <w:t xml:space="preserve"> July 16 serious incidents (June 7 and July 9) were reported and an investigation commissioned.  </w:t>
      </w:r>
    </w:p>
    <w:p w:rsidR="001272A6" w:rsidRPr="002F6ED6" w:rsidRDefault="001272A6" w:rsidP="001272A6">
      <w:pPr>
        <w:rPr>
          <w:rFonts w:cstheme="minorHAnsi"/>
        </w:rPr>
      </w:pPr>
      <w:r w:rsidRPr="002F6ED6">
        <w:rPr>
          <w:rFonts w:cstheme="minorHAnsi"/>
          <w:sz w:val="24"/>
        </w:rPr>
        <w:t>The 17 investigations are classified as follows:</w:t>
      </w:r>
    </w:p>
    <w:tbl>
      <w:tblPr>
        <w:tblStyle w:val="MediumShading1-Accent15"/>
        <w:tblW w:w="0" w:type="auto"/>
        <w:tblLook w:val="04A0"/>
      </w:tblPr>
      <w:tblGrid>
        <w:gridCol w:w="7196"/>
        <w:gridCol w:w="1417"/>
        <w:gridCol w:w="1276"/>
      </w:tblGrid>
      <w:tr w:rsidR="001272A6" w:rsidTr="001272A6">
        <w:trPr>
          <w:cnfStyle w:val="100000000000"/>
        </w:trPr>
        <w:tc>
          <w:tcPr>
            <w:cnfStyle w:val="001000000000"/>
            <w:tcW w:w="7196" w:type="dxa"/>
          </w:tcPr>
          <w:p w:rsidR="001272A6" w:rsidRPr="00AA1C43" w:rsidRDefault="001272A6" w:rsidP="001272A6">
            <w:pPr>
              <w:rPr>
                <w:rFonts w:cstheme="minorHAnsi"/>
                <w:b w:val="0"/>
              </w:rPr>
            </w:pPr>
            <w:r w:rsidRPr="00AA1C43">
              <w:rPr>
                <w:rFonts w:cstheme="minorHAnsi"/>
                <w:b w:val="0"/>
              </w:rPr>
              <w:t>Category</w:t>
            </w:r>
          </w:p>
        </w:tc>
        <w:tc>
          <w:tcPr>
            <w:tcW w:w="1417" w:type="dxa"/>
          </w:tcPr>
          <w:p w:rsidR="001272A6" w:rsidRPr="00AA1C43" w:rsidRDefault="001272A6" w:rsidP="001272A6">
            <w:pPr>
              <w:jc w:val="center"/>
              <w:cnfStyle w:val="100000000000"/>
              <w:rPr>
                <w:rFonts w:cstheme="minorHAnsi"/>
                <w:b w:val="0"/>
              </w:rPr>
            </w:pPr>
            <w:r w:rsidRPr="00AA1C43">
              <w:rPr>
                <w:rFonts w:cstheme="minorHAnsi"/>
                <w:b w:val="0"/>
              </w:rPr>
              <w:t>Grade 1</w:t>
            </w:r>
          </w:p>
        </w:tc>
        <w:tc>
          <w:tcPr>
            <w:tcW w:w="1276" w:type="dxa"/>
          </w:tcPr>
          <w:p w:rsidR="001272A6" w:rsidRPr="00AA1C43" w:rsidRDefault="001272A6" w:rsidP="001272A6">
            <w:pPr>
              <w:jc w:val="center"/>
              <w:cnfStyle w:val="100000000000"/>
              <w:rPr>
                <w:rFonts w:cstheme="minorHAnsi"/>
                <w:b w:val="0"/>
              </w:rPr>
            </w:pPr>
            <w:r w:rsidRPr="00AA1C43">
              <w:rPr>
                <w:rFonts w:cstheme="minorHAnsi"/>
                <w:b w:val="0"/>
              </w:rPr>
              <w:t>Grade 2</w:t>
            </w:r>
          </w:p>
        </w:tc>
      </w:tr>
      <w:tr w:rsidR="001272A6" w:rsidRPr="00D20839" w:rsidTr="001272A6">
        <w:trPr>
          <w:cnfStyle w:val="000000100000"/>
        </w:trPr>
        <w:tc>
          <w:tcPr>
            <w:cnfStyle w:val="001000000000"/>
            <w:tcW w:w="7196" w:type="dxa"/>
          </w:tcPr>
          <w:p w:rsidR="001272A6" w:rsidRPr="00D20839" w:rsidRDefault="001272A6" w:rsidP="001272A6">
            <w:pPr>
              <w:rPr>
                <w:rFonts w:cstheme="minorHAnsi"/>
              </w:rPr>
            </w:pPr>
            <w:r w:rsidRPr="00D20839">
              <w:rPr>
                <w:rFonts w:cstheme="minorHAnsi"/>
              </w:rPr>
              <w:t>Operational (e.g. unit closure)</w:t>
            </w:r>
          </w:p>
        </w:tc>
        <w:tc>
          <w:tcPr>
            <w:tcW w:w="1417" w:type="dxa"/>
          </w:tcPr>
          <w:p w:rsidR="001272A6" w:rsidRPr="00D20839" w:rsidRDefault="001272A6" w:rsidP="001272A6">
            <w:pPr>
              <w:jc w:val="center"/>
              <w:cnfStyle w:val="000000100000"/>
              <w:rPr>
                <w:rFonts w:cstheme="minorHAnsi"/>
              </w:rPr>
            </w:pPr>
            <w:r>
              <w:rPr>
                <w:rFonts w:cstheme="minorHAnsi"/>
              </w:rPr>
              <w:t>1</w:t>
            </w:r>
          </w:p>
        </w:tc>
        <w:tc>
          <w:tcPr>
            <w:tcW w:w="1276" w:type="dxa"/>
          </w:tcPr>
          <w:p w:rsidR="001272A6" w:rsidRPr="00D20839" w:rsidRDefault="001272A6" w:rsidP="001272A6">
            <w:pPr>
              <w:jc w:val="center"/>
              <w:cnfStyle w:val="000000100000"/>
              <w:rPr>
                <w:rFonts w:cstheme="minorHAnsi"/>
              </w:rPr>
            </w:pPr>
            <w:r w:rsidRPr="00D20839">
              <w:rPr>
                <w:rFonts w:cstheme="minorHAnsi"/>
              </w:rPr>
              <w:t>0</w:t>
            </w:r>
          </w:p>
        </w:tc>
      </w:tr>
      <w:tr w:rsidR="001272A6" w:rsidRPr="00D20839" w:rsidTr="001272A6">
        <w:trPr>
          <w:cnfStyle w:val="000000010000"/>
        </w:trPr>
        <w:tc>
          <w:tcPr>
            <w:cnfStyle w:val="001000000000"/>
            <w:tcW w:w="7196" w:type="dxa"/>
          </w:tcPr>
          <w:p w:rsidR="001272A6" w:rsidRPr="00D20839" w:rsidRDefault="001272A6" w:rsidP="001272A6">
            <w:pPr>
              <w:rPr>
                <w:rFonts w:cstheme="minorHAnsi"/>
              </w:rPr>
            </w:pPr>
            <w:r w:rsidRPr="00D20839">
              <w:rPr>
                <w:rFonts w:cstheme="minorHAnsi"/>
              </w:rPr>
              <w:t>Adverse media attention</w:t>
            </w:r>
          </w:p>
        </w:tc>
        <w:tc>
          <w:tcPr>
            <w:tcW w:w="1417" w:type="dxa"/>
          </w:tcPr>
          <w:p w:rsidR="001272A6" w:rsidRPr="00D20839" w:rsidRDefault="001272A6" w:rsidP="001272A6">
            <w:pPr>
              <w:jc w:val="center"/>
              <w:cnfStyle w:val="000000010000"/>
              <w:rPr>
                <w:rFonts w:cstheme="minorHAnsi"/>
              </w:rPr>
            </w:pPr>
            <w:r w:rsidRPr="00D20839">
              <w:rPr>
                <w:rFonts w:cstheme="minorHAnsi"/>
              </w:rPr>
              <w:t>0</w:t>
            </w:r>
          </w:p>
        </w:tc>
        <w:tc>
          <w:tcPr>
            <w:tcW w:w="1276" w:type="dxa"/>
          </w:tcPr>
          <w:p w:rsidR="001272A6" w:rsidRPr="00D20839" w:rsidRDefault="001272A6" w:rsidP="001272A6">
            <w:pPr>
              <w:jc w:val="center"/>
              <w:cnfStyle w:val="000000010000"/>
              <w:rPr>
                <w:rFonts w:cstheme="minorHAnsi"/>
              </w:rPr>
            </w:pPr>
            <w:r w:rsidRPr="00D20839">
              <w:rPr>
                <w:rFonts w:cstheme="minorHAnsi"/>
              </w:rPr>
              <w:t>0</w:t>
            </w:r>
          </w:p>
        </w:tc>
      </w:tr>
      <w:tr w:rsidR="001272A6" w:rsidRPr="00D20839" w:rsidTr="001272A6">
        <w:trPr>
          <w:cnfStyle w:val="000000100000"/>
        </w:trPr>
        <w:tc>
          <w:tcPr>
            <w:cnfStyle w:val="001000000000"/>
            <w:tcW w:w="7196" w:type="dxa"/>
          </w:tcPr>
          <w:p w:rsidR="001272A6" w:rsidRPr="00D20839" w:rsidRDefault="001272A6" w:rsidP="001272A6">
            <w:pPr>
              <w:rPr>
                <w:rFonts w:cstheme="minorHAnsi"/>
              </w:rPr>
            </w:pPr>
            <w:r w:rsidRPr="00D20839">
              <w:rPr>
                <w:rFonts w:cstheme="minorHAnsi"/>
              </w:rPr>
              <w:t>Information Governance (e.g. loss of data)</w:t>
            </w:r>
          </w:p>
        </w:tc>
        <w:tc>
          <w:tcPr>
            <w:tcW w:w="1417" w:type="dxa"/>
          </w:tcPr>
          <w:p w:rsidR="001272A6" w:rsidRPr="00D20839" w:rsidRDefault="001272A6" w:rsidP="001272A6">
            <w:pPr>
              <w:jc w:val="center"/>
              <w:cnfStyle w:val="000000100000"/>
              <w:rPr>
                <w:rFonts w:cstheme="minorHAnsi"/>
              </w:rPr>
            </w:pPr>
            <w:r>
              <w:rPr>
                <w:rFonts w:cstheme="minorHAnsi"/>
              </w:rPr>
              <w:t>0</w:t>
            </w:r>
          </w:p>
        </w:tc>
        <w:tc>
          <w:tcPr>
            <w:tcW w:w="1276" w:type="dxa"/>
          </w:tcPr>
          <w:p w:rsidR="001272A6" w:rsidRPr="00D20839" w:rsidRDefault="001272A6" w:rsidP="001272A6">
            <w:pPr>
              <w:jc w:val="center"/>
              <w:cnfStyle w:val="000000100000"/>
              <w:rPr>
                <w:rFonts w:cstheme="minorHAnsi"/>
              </w:rPr>
            </w:pPr>
            <w:r w:rsidRPr="00D20839">
              <w:rPr>
                <w:rFonts w:cstheme="minorHAnsi"/>
              </w:rPr>
              <w:t>0</w:t>
            </w:r>
          </w:p>
        </w:tc>
      </w:tr>
      <w:tr w:rsidR="001272A6" w:rsidRPr="00D20839" w:rsidTr="001272A6">
        <w:trPr>
          <w:cnfStyle w:val="000000010000"/>
        </w:trPr>
        <w:tc>
          <w:tcPr>
            <w:cnfStyle w:val="001000000000"/>
            <w:tcW w:w="7196" w:type="dxa"/>
          </w:tcPr>
          <w:p w:rsidR="001272A6" w:rsidRPr="00D20839" w:rsidRDefault="001272A6" w:rsidP="001272A6">
            <w:pPr>
              <w:rPr>
                <w:rFonts w:cstheme="minorHAnsi"/>
              </w:rPr>
            </w:pPr>
            <w:r w:rsidRPr="00D20839">
              <w:rPr>
                <w:rFonts w:cstheme="minorHAnsi"/>
              </w:rPr>
              <w:t>Clinical Care of patient (e.g. pressure ulcer, delayed diagnosis, avoidable severe harm)</w:t>
            </w:r>
          </w:p>
        </w:tc>
        <w:tc>
          <w:tcPr>
            <w:tcW w:w="1417" w:type="dxa"/>
          </w:tcPr>
          <w:p w:rsidR="001272A6" w:rsidRPr="00D20839" w:rsidRDefault="001272A6" w:rsidP="001272A6">
            <w:pPr>
              <w:jc w:val="center"/>
              <w:cnfStyle w:val="000000010000"/>
              <w:rPr>
                <w:rFonts w:cstheme="minorHAnsi"/>
              </w:rPr>
            </w:pPr>
            <w:r>
              <w:rPr>
                <w:rFonts w:cstheme="minorHAnsi"/>
              </w:rPr>
              <w:t>13</w:t>
            </w:r>
          </w:p>
        </w:tc>
        <w:tc>
          <w:tcPr>
            <w:tcW w:w="1276" w:type="dxa"/>
          </w:tcPr>
          <w:p w:rsidR="001272A6" w:rsidRPr="00D20839" w:rsidRDefault="001272A6" w:rsidP="001272A6">
            <w:pPr>
              <w:jc w:val="center"/>
              <w:cnfStyle w:val="000000010000"/>
              <w:rPr>
                <w:rFonts w:cstheme="minorHAnsi"/>
              </w:rPr>
            </w:pPr>
            <w:r>
              <w:rPr>
                <w:rFonts w:cstheme="minorHAnsi"/>
              </w:rPr>
              <w:t>0</w:t>
            </w:r>
          </w:p>
        </w:tc>
      </w:tr>
      <w:tr w:rsidR="001272A6" w:rsidRPr="00D20839" w:rsidTr="001272A6">
        <w:trPr>
          <w:cnfStyle w:val="000000100000"/>
        </w:trPr>
        <w:tc>
          <w:tcPr>
            <w:cnfStyle w:val="001000000000"/>
            <w:tcW w:w="7196" w:type="dxa"/>
          </w:tcPr>
          <w:p w:rsidR="001272A6" w:rsidRPr="00D20839" w:rsidRDefault="001272A6" w:rsidP="001272A6">
            <w:pPr>
              <w:rPr>
                <w:rFonts w:cstheme="minorHAnsi"/>
              </w:rPr>
            </w:pPr>
            <w:r w:rsidRPr="00D20839">
              <w:rPr>
                <w:rFonts w:cstheme="minorHAnsi"/>
              </w:rPr>
              <w:t>Safeguarding (e.g. allegation of abuse)</w:t>
            </w:r>
          </w:p>
        </w:tc>
        <w:tc>
          <w:tcPr>
            <w:tcW w:w="1417" w:type="dxa"/>
          </w:tcPr>
          <w:p w:rsidR="001272A6" w:rsidRPr="00D20839" w:rsidRDefault="001272A6" w:rsidP="001272A6">
            <w:pPr>
              <w:jc w:val="center"/>
              <w:cnfStyle w:val="000000100000"/>
              <w:rPr>
                <w:rFonts w:cstheme="minorHAnsi"/>
              </w:rPr>
            </w:pPr>
            <w:r>
              <w:rPr>
                <w:rFonts w:cstheme="minorHAnsi"/>
              </w:rPr>
              <w:t>1</w:t>
            </w:r>
          </w:p>
        </w:tc>
        <w:tc>
          <w:tcPr>
            <w:tcW w:w="1276" w:type="dxa"/>
          </w:tcPr>
          <w:p w:rsidR="001272A6" w:rsidRPr="00D20839" w:rsidRDefault="001272A6" w:rsidP="001272A6">
            <w:pPr>
              <w:jc w:val="center"/>
              <w:cnfStyle w:val="000000100000"/>
              <w:rPr>
                <w:rFonts w:cstheme="minorHAnsi"/>
              </w:rPr>
            </w:pPr>
            <w:r>
              <w:rPr>
                <w:rFonts w:cstheme="minorHAnsi"/>
              </w:rPr>
              <w:t>0</w:t>
            </w:r>
          </w:p>
        </w:tc>
      </w:tr>
      <w:tr w:rsidR="001272A6" w:rsidRPr="00D20839" w:rsidTr="001272A6">
        <w:trPr>
          <w:cnfStyle w:val="000000010000"/>
        </w:trPr>
        <w:tc>
          <w:tcPr>
            <w:cnfStyle w:val="001000000000"/>
            <w:tcW w:w="7196" w:type="dxa"/>
          </w:tcPr>
          <w:p w:rsidR="001272A6" w:rsidRPr="00D20839" w:rsidRDefault="001272A6" w:rsidP="001272A6">
            <w:pPr>
              <w:rPr>
                <w:rFonts w:cstheme="minorHAnsi"/>
              </w:rPr>
            </w:pPr>
            <w:r w:rsidRPr="00D20839">
              <w:rPr>
                <w:rFonts w:cstheme="minorHAnsi"/>
              </w:rPr>
              <w:t>Avoidable severe harm to staff</w:t>
            </w:r>
          </w:p>
        </w:tc>
        <w:tc>
          <w:tcPr>
            <w:tcW w:w="1417" w:type="dxa"/>
          </w:tcPr>
          <w:p w:rsidR="001272A6" w:rsidRPr="00D20839" w:rsidRDefault="001272A6" w:rsidP="001272A6">
            <w:pPr>
              <w:jc w:val="center"/>
              <w:cnfStyle w:val="000000010000"/>
              <w:rPr>
                <w:rFonts w:cstheme="minorHAnsi"/>
              </w:rPr>
            </w:pPr>
            <w:r>
              <w:rPr>
                <w:rFonts w:cstheme="minorHAnsi"/>
              </w:rPr>
              <w:t>1</w:t>
            </w:r>
          </w:p>
        </w:tc>
        <w:tc>
          <w:tcPr>
            <w:tcW w:w="1276" w:type="dxa"/>
          </w:tcPr>
          <w:p w:rsidR="001272A6" w:rsidRPr="00D20839" w:rsidRDefault="001272A6" w:rsidP="001272A6">
            <w:pPr>
              <w:jc w:val="center"/>
              <w:cnfStyle w:val="000000010000"/>
              <w:rPr>
                <w:rFonts w:cstheme="minorHAnsi"/>
              </w:rPr>
            </w:pPr>
            <w:r w:rsidRPr="00D20839">
              <w:rPr>
                <w:rFonts w:cstheme="minorHAnsi"/>
              </w:rPr>
              <w:t>0</w:t>
            </w:r>
          </w:p>
        </w:tc>
      </w:tr>
    </w:tbl>
    <w:p w:rsidR="001272A6" w:rsidRPr="00976874" w:rsidRDefault="001272A6" w:rsidP="001272A6">
      <w:pPr>
        <w:jc w:val="both"/>
        <w:rPr>
          <w:sz w:val="2"/>
        </w:rPr>
      </w:pPr>
    </w:p>
    <w:p w:rsidR="001272A6" w:rsidRDefault="001272A6" w:rsidP="001272A6">
      <w:r>
        <w:rPr>
          <w:sz w:val="24"/>
          <w:szCs w:val="24"/>
        </w:rPr>
        <w:t xml:space="preserve">The Trust reported 1 never event (wrong site surgery) in July.  On return to the ward patient realised that the wrong site surgery had taken place and was returned to theatre immediately.  </w:t>
      </w:r>
    </w:p>
    <w:bookmarkEnd w:id="17"/>
    <w:p w:rsidR="00344A76" w:rsidRPr="00845DD2" w:rsidRDefault="00344A76" w:rsidP="00344A76">
      <w:pPr>
        <w:pStyle w:val="Heading2"/>
        <w:rPr>
          <w:sz w:val="28"/>
        </w:rPr>
      </w:pPr>
      <w:r w:rsidRPr="00845DD2">
        <w:rPr>
          <w:sz w:val="28"/>
        </w:rPr>
        <w:lastRenderedPageBreak/>
        <w:t>2.5 Inpatient Falls Data</w:t>
      </w:r>
    </w:p>
    <w:p w:rsidR="00344A76" w:rsidRPr="00845DD2" w:rsidRDefault="00344A76" w:rsidP="00344A76">
      <w:pPr>
        <w:pStyle w:val="NoSpacing"/>
        <w:rPr>
          <w:sz w:val="12"/>
        </w:rPr>
      </w:pPr>
    </w:p>
    <w:p w:rsidR="001272A6" w:rsidRPr="00845DD2" w:rsidRDefault="001272A6" w:rsidP="001272A6">
      <w:pPr>
        <w:jc w:val="both"/>
        <w:rPr>
          <w:sz w:val="24"/>
          <w:szCs w:val="24"/>
        </w:rPr>
      </w:pPr>
      <w:r w:rsidRPr="00845DD2">
        <w:rPr>
          <w:sz w:val="24"/>
          <w:szCs w:val="24"/>
        </w:rPr>
        <w:t>Patients fall in hospital for a variety of reasons. These reasons can encompass the following factors:</w:t>
      </w:r>
    </w:p>
    <w:p w:rsidR="001272A6" w:rsidRPr="00845DD2" w:rsidRDefault="001272A6" w:rsidP="001272A6">
      <w:pPr>
        <w:pStyle w:val="ListParagraph"/>
        <w:numPr>
          <w:ilvl w:val="0"/>
          <w:numId w:val="11"/>
        </w:numPr>
        <w:rPr>
          <w:sz w:val="24"/>
          <w:szCs w:val="24"/>
        </w:rPr>
      </w:pPr>
      <w:r w:rsidRPr="00845DD2">
        <w:rPr>
          <w:sz w:val="24"/>
          <w:szCs w:val="24"/>
        </w:rPr>
        <w:t xml:space="preserve">Chronic health conditions, such as </w:t>
      </w:r>
      <w:hyperlink r:id="rId24" w:history="1">
        <w:r w:rsidRPr="00845DD2">
          <w:rPr>
            <w:sz w:val="24"/>
            <w:szCs w:val="24"/>
          </w:rPr>
          <w:t>heart disease</w:t>
        </w:r>
      </w:hyperlink>
      <w:r w:rsidRPr="00845DD2">
        <w:rPr>
          <w:sz w:val="24"/>
          <w:szCs w:val="24"/>
        </w:rPr>
        <w:t>, </w:t>
      </w:r>
      <w:hyperlink r:id="rId25" w:history="1">
        <w:r w:rsidRPr="00845DD2">
          <w:rPr>
            <w:sz w:val="24"/>
            <w:szCs w:val="24"/>
          </w:rPr>
          <w:t>dementia</w:t>
        </w:r>
      </w:hyperlink>
      <w:r w:rsidRPr="00845DD2">
        <w:rPr>
          <w:sz w:val="24"/>
          <w:szCs w:val="24"/>
        </w:rPr>
        <w:t xml:space="preserve"> and </w:t>
      </w:r>
      <w:hyperlink r:id="rId26" w:history="1">
        <w:r w:rsidRPr="00845DD2">
          <w:rPr>
            <w:sz w:val="24"/>
            <w:szCs w:val="24"/>
          </w:rPr>
          <w:t>low blood pressure (hypotension)</w:t>
        </w:r>
      </w:hyperlink>
      <w:r w:rsidRPr="00845DD2">
        <w:rPr>
          <w:sz w:val="24"/>
          <w:szCs w:val="24"/>
        </w:rPr>
        <w:t xml:space="preserve">, which can cause </w:t>
      </w:r>
      <w:hyperlink r:id="rId27" w:history="1">
        <w:r w:rsidRPr="00845DD2">
          <w:rPr>
            <w:sz w:val="24"/>
            <w:szCs w:val="24"/>
          </w:rPr>
          <w:t>dizziness</w:t>
        </w:r>
      </w:hyperlink>
      <w:r w:rsidRPr="00845DD2">
        <w:rPr>
          <w:sz w:val="24"/>
          <w:szCs w:val="24"/>
        </w:rPr>
        <w:t xml:space="preserve">; </w:t>
      </w:r>
    </w:p>
    <w:p w:rsidR="001272A6" w:rsidRPr="00845DD2" w:rsidRDefault="001272A6" w:rsidP="001272A6">
      <w:pPr>
        <w:pStyle w:val="ListParagraph"/>
        <w:numPr>
          <w:ilvl w:val="0"/>
          <w:numId w:val="11"/>
        </w:numPr>
        <w:rPr>
          <w:sz w:val="24"/>
          <w:szCs w:val="24"/>
        </w:rPr>
      </w:pPr>
      <w:r w:rsidRPr="00845DD2">
        <w:rPr>
          <w:sz w:val="24"/>
          <w:szCs w:val="24"/>
        </w:rPr>
        <w:t xml:space="preserve">Impairments, such as poor vision or muscle weakness; </w:t>
      </w:r>
    </w:p>
    <w:p w:rsidR="001272A6" w:rsidRPr="00845DD2" w:rsidRDefault="001272A6" w:rsidP="001272A6">
      <w:pPr>
        <w:pStyle w:val="ListParagraph"/>
        <w:numPr>
          <w:ilvl w:val="0"/>
          <w:numId w:val="11"/>
        </w:numPr>
        <w:rPr>
          <w:sz w:val="24"/>
          <w:szCs w:val="24"/>
        </w:rPr>
      </w:pPr>
      <w:r w:rsidRPr="00845DD2">
        <w:rPr>
          <w:sz w:val="24"/>
          <w:szCs w:val="24"/>
        </w:rPr>
        <w:t>Disabilities that can affect balance.</w:t>
      </w:r>
    </w:p>
    <w:p w:rsidR="001272A6" w:rsidRPr="001272A6" w:rsidRDefault="001272A6" w:rsidP="001272A6">
      <w:pPr>
        <w:jc w:val="both"/>
        <w:rPr>
          <w:rFonts w:cstheme="minorHAnsi"/>
          <w:b/>
        </w:rPr>
      </w:pPr>
      <w:r>
        <w:rPr>
          <w:sz w:val="24"/>
        </w:rPr>
        <w:t>Through June and July</w:t>
      </w:r>
      <w:r w:rsidRPr="00845DD2">
        <w:rPr>
          <w:sz w:val="24"/>
        </w:rPr>
        <w:t xml:space="preserve"> 2014 the Trust has seen a reduction in the number of patient f</w:t>
      </w:r>
      <w:r>
        <w:rPr>
          <w:sz w:val="24"/>
        </w:rPr>
        <w:t>alls from 57 in May to 44 in June and 34 in July</w:t>
      </w:r>
      <w:r w:rsidRPr="00845DD2">
        <w:rPr>
          <w:sz w:val="24"/>
        </w:rPr>
        <w:t xml:space="preserve">.  </w:t>
      </w:r>
      <w:r>
        <w:rPr>
          <w:sz w:val="24"/>
        </w:rPr>
        <w:t>In July, Kewstoke ward and the Medical Admission Unit experienced the highest number of patient falls, with a rise also reported for Hutton ward</w:t>
      </w:r>
      <w:r w:rsidRPr="00845DD2">
        <w:rPr>
          <w:sz w:val="24"/>
        </w:rPr>
        <w:t>.  The proportion of patients who fell who were admitted to hospital due to a fall sustai</w:t>
      </w:r>
      <w:r>
        <w:rPr>
          <w:sz w:val="24"/>
        </w:rPr>
        <w:t xml:space="preserve">ned at home remained constant throughout June and July, </w:t>
      </w:r>
      <w:r w:rsidRPr="00845DD2">
        <w:rPr>
          <w:sz w:val="24"/>
        </w:rPr>
        <w:t>with</w:t>
      </w:r>
      <w:r>
        <w:rPr>
          <w:sz w:val="24"/>
        </w:rPr>
        <w:t xml:space="preserve"> the figure averaging 22.5%.</w:t>
      </w:r>
    </w:p>
    <w:p w:rsidR="001272A6" w:rsidRDefault="001272A6" w:rsidP="001272A6">
      <w:pPr>
        <w:rPr>
          <w:sz w:val="24"/>
        </w:rPr>
      </w:pPr>
      <w:r w:rsidRPr="00845DD2">
        <w:rPr>
          <w:sz w:val="24"/>
        </w:rPr>
        <w:t xml:space="preserve">During </w:t>
      </w:r>
      <w:r>
        <w:rPr>
          <w:sz w:val="24"/>
        </w:rPr>
        <w:t>June and July there were two incidents of falls where significant harm resulted.  One of these incidents is currently being reviewed to establish if the significant harm was caused by a fall or a collapse.  The second incident resulted in a patient suffering a fractured neck of femur and has been fully investigated.  Learning from this incident has been taken back to the relevant area.</w:t>
      </w:r>
      <w:r w:rsidRPr="00845DD2">
        <w:rPr>
          <w:sz w:val="24"/>
        </w:rPr>
        <w:t xml:space="preserve">    </w:t>
      </w:r>
    </w:p>
    <w:p w:rsidR="001272A6" w:rsidRDefault="001272A6" w:rsidP="001272A6">
      <w:pPr>
        <w:rPr>
          <w:sz w:val="24"/>
        </w:rPr>
      </w:pPr>
      <w:r>
        <w:rPr>
          <w:sz w:val="24"/>
        </w:rPr>
        <w:t>The percentage of patients who fell who had been assessed for risk of falls was 91.2%; the three patients that were not assessed were in the Emergency Department and Assessment Units and therefore fell before a full assessment of their falls risk could be undertaken.</w:t>
      </w:r>
    </w:p>
    <w:p w:rsidR="001272A6" w:rsidRDefault="001272A6" w:rsidP="001272A6">
      <w:pPr>
        <w:rPr>
          <w:sz w:val="24"/>
        </w:rPr>
      </w:pPr>
      <w:r>
        <w:rPr>
          <w:sz w:val="24"/>
        </w:rPr>
        <w:t xml:space="preserve">56% of </w:t>
      </w:r>
      <w:r w:rsidR="0076097B">
        <w:rPr>
          <w:sz w:val="24"/>
        </w:rPr>
        <w:t>patients</w:t>
      </w:r>
      <w:r>
        <w:rPr>
          <w:sz w:val="24"/>
        </w:rPr>
        <w:t xml:space="preserve"> who fell, had been admitted with a history of falls.  Five patients during this period fell more than once.</w:t>
      </w:r>
    </w:p>
    <w:p w:rsidR="00765BD2" w:rsidRDefault="00765BD2" w:rsidP="00765BD2">
      <w:pPr>
        <w:jc w:val="both"/>
        <w:rPr>
          <w:rFonts w:cstheme="minorHAnsi"/>
          <w:b/>
        </w:rPr>
      </w:pPr>
    </w:p>
    <w:p w:rsidR="00765BD2" w:rsidRDefault="00765BD2" w:rsidP="00765BD2">
      <w:pPr>
        <w:jc w:val="both"/>
        <w:rPr>
          <w:rFonts w:cstheme="minorHAnsi"/>
          <w:b/>
        </w:rPr>
      </w:pPr>
    </w:p>
    <w:p w:rsidR="00765BD2" w:rsidRDefault="00765BD2" w:rsidP="00765BD2">
      <w:pPr>
        <w:jc w:val="both"/>
        <w:rPr>
          <w:rFonts w:cstheme="minorHAnsi"/>
          <w:b/>
        </w:rPr>
      </w:pPr>
    </w:p>
    <w:p w:rsidR="00765BD2" w:rsidRDefault="00765BD2" w:rsidP="00765BD2">
      <w:pPr>
        <w:jc w:val="both"/>
        <w:rPr>
          <w:rFonts w:cstheme="minorHAnsi"/>
          <w:b/>
        </w:rPr>
      </w:pPr>
    </w:p>
    <w:p w:rsidR="00765BD2" w:rsidRDefault="00765BD2" w:rsidP="00765BD2">
      <w:pPr>
        <w:jc w:val="both"/>
        <w:rPr>
          <w:rFonts w:cstheme="minorHAnsi"/>
          <w:b/>
        </w:rPr>
      </w:pPr>
    </w:p>
    <w:p w:rsidR="00344A76" w:rsidRPr="00765BD2" w:rsidRDefault="005613CF" w:rsidP="00765BD2">
      <w:pPr>
        <w:jc w:val="both"/>
      </w:pPr>
      <w:r w:rsidRPr="00765BD2">
        <w:rPr>
          <w:rFonts w:cstheme="minorHAnsi"/>
          <w:b/>
        </w:rPr>
        <w:lastRenderedPageBreak/>
        <w:t>Figure 7</w:t>
      </w:r>
      <w:r w:rsidR="00344A76" w:rsidRPr="00765BD2">
        <w:rPr>
          <w:rFonts w:cstheme="minorHAnsi"/>
          <w:b/>
        </w:rPr>
        <w:t>:</w:t>
      </w:r>
    </w:p>
    <w:p w:rsidR="00344A76" w:rsidRPr="00976874" w:rsidRDefault="00EB0F11" w:rsidP="00344A76">
      <w:pPr>
        <w:pStyle w:val="Default"/>
        <w:spacing w:line="276" w:lineRule="auto"/>
        <w:jc w:val="center"/>
        <w:rPr>
          <w:rFonts w:asciiTheme="minorHAnsi" w:hAnsiTheme="minorHAnsi" w:cstheme="minorHAnsi"/>
          <w:b/>
          <w:sz w:val="12"/>
          <w:szCs w:val="22"/>
          <w:highlight w:val="yellow"/>
        </w:rPr>
      </w:pPr>
      <w:r w:rsidRPr="00EB0F11">
        <w:rPr>
          <w:noProof/>
          <w:szCs w:val="22"/>
        </w:rPr>
        <w:drawing>
          <wp:inline distT="0" distB="0" distL="0" distR="0">
            <wp:extent cx="4816458" cy="2428875"/>
            <wp:effectExtent l="19050" t="0" r="3192" b="0"/>
            <wp:docPr id="3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srcRect/>
                    <a:stretch>
                      <a:fillRect/>
                    </a:stretch>
                  </pic:blipFill>
                  <pic:spPr bwMode="auto">
                    <a:xfrm>
                      <a:off x="0" y="0"/>
                      <a:ext cx="4838574" cy="2440028"/>
                    </a:xfrm>
                    <a:prstGeom prst="rect">
                      <a:avLst/>
                    </a:prstGeom>
                    <a:noFill/>
                    <a:ln w="9525">
                      <a:noFill/>
                      <a:miter lim="800000"/>
                      <a:headEnd/>
                      <a:tailEnd/>
                    </a:ln>
                  </pic:spPr>
                </pic:pic>
              </a:graphicData>
            </a:graphic>
          </wp:inline>
        </w:drawing>
      </w:r>
    </w:p>
    <w:p w:rsidR="00344A76" w:rsidRDefault="00344A76" w:rsidP="00344A76">
      <w:pPr>
        <w:pStyle w:val="Default"/>
        <w:spacing w:line="276" w:lineRule="auto"/>
        <w:jc w:val="both"/>
        <w:rPr>
          <w:rFonts w:asciiTheme="minorHAnsi" w:hAnsiTheme="minorHAnsi" w:cstheme="minorHAnsi"/>
          <w:b/>
          <w:sz w:val="12"/>
          <w:szCs w:val="22"/>
          <w:highlight w:val="yellow"/>
        </w:rPr>
      </w:pPr>
    </w:p>
    <w:p w:rsidR="00E85C27" w:rsidRDefault="00E85C27" w:rsidP="00344A76">
      <w:pPr>
        <w:pStyle w:val="Default"/>
        <w:spacing w:line="276" w:lineRule="auto"/>
        <w:jc w:val="both"/>
        <w:rPr>
          <w:rFonts w:asciiTheme="minorHAnsi" w:hAnsiTheme="minorHAnsi" w:cstheme="minorHAnsi"/>
          <w:b/>
          <w:sz w:val="12"/>
          <w:szCs w:val="22"/>
          <w:highlight w:val="yellow"/>
        </w:rPr>
      </w:pPr>
    </w:p>
    <w:p w:rsidR="00E85C27" w:rsidRDefault="00C01581" w:rsidP="00C01581">
      <w:pPr>
        <w:pStyle w:val="Default"/>
        <w:spacing w:line="276" w:lineRule="auto"/>
        <w:jc w:val="center"/>
        <w:rPr>
          <w:rFonts w:asciiTheme="minorHAnsi" w:hAnsiTheme="minorHAnsi" w:cstheme="minorHAnsi"/>
          <w:b/>
          <w:sz w:val="12"/>
          <w:szCs w:val="22"/>
          <w:highlight w:val="yellow"/>
        </w:rPr>
      </w:pPr>
      <w:r w:rsidRPr="00C01581">
        <w:rPr>
          <w:noProof/>
        </w:rPr>
        <w:drawing>
          <wp:inline distT="0" distB="0" distL="0" distR="0">
            <wp:extent cx="4848225" cy="2400300"/>
            <wp:effectExtent l="19050" t="0" r="9525" b="0"/>
            <wp:docPr id="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cstate="print"/>
                    <a:srcRect/>
                    <a:stretch>
                      <a:fillRect/>
                    </a:stretch>
                  </pic:blipFill>
                  <pic:spPr bwMode="auto">
                    <a:xfrm>
                      <a:off x="0" y="0"/>
                      <a:ext cx="4848225" cy="2400300"/>
                    </a:xfrm>
                    <a:prstGeom prst="rect">
                      <a:avLst/>
                    </a:prstGeom>
                    <a:noFill/>
                    <a:ln w="9525">
                      <a:noFill/>
                      <a:miter lim="800000"/>
                      <a:headEnd/>
                      <a:tailEnd/>
                    </a:ln>
                  </pic:spPr>
                </pic:pic>
              </a:graphicData>
            </a:graphic>
          </wp:inline>
        </w:drawing>
      </w:r>
      <w:r w:rsidR="00E85C27">
        <w:rPr>
          <w:rFonts w:asciiTheme="minorHAnsi" w:hAnsiTheme="minorHAnsi" w:cstheme="minorHAnsi"/>
          <w:b/>
          <w:sz w:val="12"/>
          <w:szCs w:val="22"/>
          <w:highlight w:val="yellow"/>
        </w:rPr>
        <w:br w:type="textWrapping" w:clear="all"/>
      </w:r>
    </w:p>
    <w:p w:rsidR="00344A76" w:rsidRDefault="00344A76" w:rsidP="00344A76">
      <w:pPr>
        <w:pStyle w:val="Default"/>
        <w:spacing w:line="276" w:lineRule="auto"/>
        <w:jc w:val="both"/>
        <w:rPr>
          <w:rFonts w:asciiTheme="minorHAnsi" w:hAnsiTheme="minorHAnsi" w:cstheme="minorHAnsi"/>
          <w:b/>
          <w:sz w:val="12"/>
          <w:szCs w:val="22"/>
          <w:highlight w:val="yellow"/>
        </w:rPr>
      </w:pPr>
    </w:p>
    <w:p w:rsidR="00344A76" w:rsidRPr="00976874" w:rsidRDefault="00344A76" w:rsidP="00344A76">
      <w:pPr>
        <w:pStyle w:val="Default"/>
        <w:spacing w:line="276" w:lineRule="auto"/>
        <w:jc w:val="both"/>
        <w:rPr>
          <w:rFonts w:asciiTheme="minorHAnsi" w:hAnsiTheme="minorHAnsi" w:cstheme="minorHAnsi"/>
          <w:b/>
          <w:sz w:val="12"/>
          <w:szCs w:val="22"/>
          <w:highlight w:val="yellow"/>
        </w:rPr>
      </w:pPr>
    </w:p>
    <w:p w:rsidR="00344A76" w:rsidRPr="00976874" w:rsidRDefault="00344A76" w:rsidP="00344A76">
      <w:pPr>
        <w:pStyle w:val="Default"/>
        <w:jc w:val="both"/>
        <w:rPr>
          <w:rFonts w:asciiTheme="minorHAnsi" w:hAnsiTheme="minorHAnsi" w:cstheme="minorHAnsi"/>
          <w:sz w:val="4"/>
          <w:szCs w:val="20"/>
          <w:highlight w:val="yellow"/>
        </w:rPr>
      </w:pPr>
    </w:p>
    <w:p w:rsidR="00344A76" w:rsidRPr="007F7A67" w:rsidRDefault="00344A76" w:rsidP="00344A76">
      <w:pPr>
        <w:jc w:val="both"/>
        <w:rPr>
          <w:rFonts w:cstheme="minorHAnsi"/>
          <w:b/>
          <w:sz w:val="24"/>
        </w:rPr>
      </w:pPr>
      <w:r w:rsidRPr="007F7A67">
        <w:rPr>
          <w:rFonts w:cstheme="minorHAnsi"/>
          <w:b/>
          <w:sz w:val="24"/>
        </w:rPr>
        <w:t>Trust Actions:</w:t>
      </w:r>
    </w:p>
    <w:p w:rsidR="0082453D" w:rsidRDefault="0082453D" w:rsidP="0082453D">
      <w:pPr>
        <w:jc w:val="both"/>
        <w:rPr>
          <w:sz w:val="24"/>
          <w:szCs w:val="24"/>
        </w:rPr>
      </w:pPr>
      <w:r>
        <w:rPr>
          <w:sz w:val="24"/>
          <w:szCs w:val="24"/>
        </w:rPr>
        <w:t>Staff education regarding falls prevention remains an ongoing commitment.  Medical Admission Unit staff have been appraised of falls within their area and training has been implemented regarding preventative measures and what could have been implemented.</w:t>
      </w:r>
    </w:p>
    <w:p w:rsidR="0082453D" w:rsidRDefault="0082453D" w:rsidP="0082453D">
      <w:pPr>
        <w:jc w:val="both"/>
        <w:rPr>
          <w:sz w:val="24"/>
          <w:szCs w:val="24"/>
        </w:rPr>
      </w:pPr>
      <w:r>
        <w:rPr>
          <w:sz w:val="24"/>
          <w:szCs w:val="24"/>
        </w:rPr>
        <w:t>All nursing staff on wards where significant harm is a result of a fall will receive a letter of recommendations to follow, to reduce falls incidents.</w:t>
      </w:r>
    </w:p>
    <w:p w:rsidR="0082453D" w:rsidRDefault="0082453D" w:rsidP="0082453D">
      <w:pPr>
        <w:jc w:val="both"/>
        <w:rPr>
          <w:sz w:val="24"/>
          <w:szCs w:val="24"/>
        </w:rPr>
      </w:pPr>
      <w:r>
        <w:rPr>
          <w:sz w:val="24"/>
          <w:szCs w:val="24"/>
        </w:rPr>
        <w:t>All untrained staff on the Medical Admission Unit will attend an offsite training day on falls prevention.</w:t>
      </w:r>
    </w:p>
    <w:p w:rsidR="0082453D" w:rsidRDefault="0082453D" w:rsidP="0082453D">
      <w:pPr>
        <w:jc w:val="both"/>
        <w:rPr>
          <w:sz w:val="24"/>
          <w:szCs w:val="24"/>
        </w:rPr>
      </w:pPr>
      <w:r>
        <w:rPr>
          <w:sz w:val="24"/>
          <w:szCs w:val="24"/>
        </w:rPr>
        <w:lastRenderedPageBreak/>
        <w:t>The Lead Nurse for Falls Prevention is assessing aids and equipment that may be used across all areas to further protect patients who have been assessed as at risk of falling.  Several have been introduced into use on wards with some success to date.</w:t>
      </w:r>
    </w:p>
    <w:p w:rsidR="00293B7D" w:rsidRDefault="00293B7D" w:rsidP="007924BE">
      <w:pPr>
        <w:pStyle w:val="Heading2"/>
        <w:rPr>
          <w:sz w:val="28"/>
        </w:rPr>
      </w:pPr>
      <w:bookmarkStart w:id="18" w:name="_Toc362959124"/>
      <w:bookmarkStart w:id="19" w:name="_Toc381084855"/>
      <w:r w:rsidRPr="00270D48">
        <w:rPr>
          <w:sz w:val="28"/>
        </w:rPr>
        <w:t>2.</w:t>
      </w:r>
      <w:r w:rsidR="007924BE" w:rsidRPr="00270D48">
        <w:rPr>
          <w:sz w:val="28"/>
        </w:rPr>
        <w:t>6</w:t>
      </w:r>
      <w:r w:rsidRPr="00270D48">
        <w:rPr>
          <w:sz w:val="28"/>
        </w:rPr>
        <w:t xml:space="preserve"> Pressure Ulcers</w:t>
      </w:r>
      <w:bookmarkEnd w:id="18"/>
      <w:bookmarkEnd w:id="19"/>
    </w:p>
    <w:p w:rsidR="00765BD2" w:rsidRPr="00765BD2" w:rsidRDefault="00765BD2" w:rsidP="00765BD2">
      <w:pPr>
        <w:pStyle w:val="NoSpacing"/>
        <w:rPr>
          <w:sz w:val="10"/>
          <w:szCs w:val="20"/>
        </w:rPr>
      </w:pPr>
    </w:p>
    <w:p w:rsidR="0082453D" w:rsidRPr="006D207F" w:rsidRDefault="0082453D" w:rsidP="0082453D">
      <w:pPr>
        <w:jc w:val="both"/>
        <w:rPr>
          <w:sz w:val="24"/>
          <w:szCs w:val="24"/>
        </w:rPr>
      </w:pPr>
      <w:r w:rsidRPr="006D207F">
        <w:rPr>
          <w:sz w:val="24"/>
          <w:szCs w:val="24"/>
        </w:rPr>
        <w:t>A pressure ulcer is a localised injury to the skin and/or underlying tissue usually over a bony prominence, as a result of pressure or pressure in combination with shearing.  A number of contributing or compounding factors are also associated with pressure ulcers: the significance of all these factors is yet to be elucidated (European Pressure Ulcer Advisory Panel, 2009).  Pressure ulcers are graded in severity from grade 1 which is early signs of skin damage, i.e. localised redness of the area, to grade 4, where damage extends beyond the skin to underlying tissue e.g. muscle.</w:t>
      </w:r>
    </w:p>
    <w:p w:rsidR="0082453D" w:rsidRPr="006D207F" w:rsidRDefault="0082453D" w:rsidP="0082453D">
      <w:pPr>
        <w:jc w:val="both"/>
        <w:rPr>
          <w:sz w:val="24"/>
          <w:szCs w:val="24"/>
        </w:rPr>
      </w:pPr>
      <w:r w:rsidRPr="006D207F">
        <w:rPr>
          <w:sz w:val="24"/>
          <w:szCs w:val="24"/>
        </w:rPr>
        <w:t xml:space="preserve">In July the Trust </w:t>
      </w:r>
      <w:r>
        <w:rPr>
          <w:sz w:val="24"/>
          <w:szCs w:val="24"/>
        </w:rPr>
        <w:t>has</w:t>
      </w:r>
      <w:r w:rsidRPr="006D207F">
        <w:rPr>
          <w:sz w:val="24"/>
          <w:szCs w:val="24"/>
        </w:rPr>
        <w:t xml:space="preserve"> recorded a 29% reduction in hospital acquired pressure ulcers.  There have been no recorded Grade 3 pressure ulcers but one r</w:t>
      </w:r>
      <w:r>
        <w:rPr>
          <w:sz w:val="24"/>
          <w:szCs w:val="24"/>
        </w:rPr>
        <w:t xml:space="preserve">ecorded Grade 4 ulcer.  </w:t>
      </w:r>
      <w:r w:rsidRPr="0082453D">
        <w:rPr>
          <w:i/>
          <w:sz w:val="24"/>
          <w:szCs w:val="24"/>
        </w:rPr>
        <w:t>Figure 8</w:t>
      </w:r>
      <w:r w:rsidRPr="006D207F">
        <w:rPr>
          <w:sz w:val="24"/>
          <w:szCs w:val="24"/>
        </w:rPr>
        <w:t xml:space="preserve"> shows the year to date hospital acquired pressure ulcer, and their severity.</w:t>
      </w:r>
    </w:p>
    <w:p w:rsidR="00270D48" w:rsidRPr="00765BD2" w:rsidRDefault="00270D48" w:rsidP="00270D48">
      <w:pPr>
        <w:rPr>
          <w:b/>
        </w:rPr>
      </w:pPr>
      <w:r w:rsidRPr="00765BD2">
        <w:rPr>
          <w:b/>
        </w:rPr>
        <w:t xml:space="preserve">Figure </w:t>
      </w:r>
      <w:r w:rsidR="005613CF" w:rsidRPr="00765BD2">
        <w:rPr>
          <w:b/>
        </w:rPr>
        <w:t>8</w:t>
      </w:r>
      <w:r w:rsidRPr="00765BD2">
        <w:rPr>
          <w:b/>
        </w:rPr>
        <w:t>:</w:t>
      </w:r>
    </w:p>
    <w:p w:rsidR="00270D48" w:rsidRPr="00B56ECB" w:rsidRDefault="00270D48" w:rsidP="000C0DF1">
      <w:pPr>
        <w:jc w:val="center"/>
        <w:rPr>
          <w:sz w:val="20"/>
          <w:highlight w:val="yellow"/>
        </w:rPr>
      </w:pPr>
      <w:r w:rsidRPr="006713B6">
        <w:rPr>
          <w:noProof/>
        </w:rPr>
        <w:drawing>
          <wp:inline distT="0" distB="0" distL="0" distR="0">
            <wp:extent cx="6206490" cy="2514600"/>
            <wp:effectExtent l="19050" t="0" r="381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srcRect/>
                    <a:stretch>
                      <a:fillRect/>
                    </a:stretch>
                  </pic:blipFill>
                  <pic:spPr bwMode="auto">
                    <a:xfrm>
                      <a:off x="0" y="0"/>
                      <a:ext cx="6221923" cy="2520853"/>
                    </a:xfrm>
                    <a:prstGeom prst="rect">
                      <a:avLst/>
                    </a:prstGeom>
                    <a:noFill/>
                    <a:ln w="9525">
                      <a:noFill/>
                      <a:miter lim="800000"/>
                      <a:headEnd/>
                      <a:tailEnd/>
                    </a:ln>
                  </pic:spPr>
                </pic:pic>
              </a:graphicData>
            </a:graphic>
          </wp:inline>
        </w:drawing>
      </w:r>
    </w:p>
    <w:p w:rsidR="00270D48" w:rsidRPr="006D207F" w:rsidRDefault="00270D48" w:rsidP="00270D48">
      <w:pPr>
        <w:jc w:val="both"/>
        <w:rPr>
          <w:sz w:val="24"/>
          <w:szCs w:val="24"/>
        </w:rPr>
      </w:pPr>
      <w:r w:rsidRPr="006D207F">
        <w:rPr>
          <w:sz w:val="24"/>
          <w:szCs w:val="24"/>
        </w:rPr>
        <w:t xml:space="preserve">The split of community and hospital acquired pressure ulcers in June </w:t>
      </w:r>
      <w:r w:rsidR="005613CF">
        <w:rPr>
          <w:sz w:val="24"/>
          <w:szCs w:val="24"/>
        </w:rPr>
        <w:t xml:space="preserve">and July is illustrated in </w:t>
      </w:r>
      <w:r w:rsidRPr="00765BD2">
        <w:rPr>
          <w:i/>
          <w:sz w:val="24"/>
          <w:szCs w:val="24"/>
        </w:rPr>
        <w:t xml:space="preserve">Figure </w:t>
      </w:r>
      <w:r w:rsidR="005613CF" w:rsidRPr="00765BD2">
        <w:rPr>
          <w:i/>
          <w:sz w:val="24"/>
          <w:szCs w:val="24"/>
        </w:rPr>
        <w:t>9</w:t>
      </w:r>
      <w:r w:rsidRPr="006D207F">
        <w:rPr>
          <w:sz w:val="24"/>
          <w:szCs w:val="24"/>
        </w:rPr>
        <w:t>.</w:t>
      </w:r>
    </w:p>
    <w:p w:rsidR="0082453D" w:rsidRDefault="0082453D" w:rsidP="00270D48">
      <w:pPr>
        <w:jc w:val="both"/>
        <w:rPr>
          <w:b/>
          <w:szCs w:val="24"/>
        </w:rPr>
      </w:pPr>
    </w:p>
    <w:p w:rsidR="0082453D" w:rsidRDefault="0082453D" w:rsidP="00270D48">
      <w:pPr>
        <w:jc w:val="both"/>
        <w:rPr>
          <w:b/>
          <w:szCs w:val="24"/>
        </w:rPr>
      </w:pPr>
    </w:p>
    <w:p w:rsidR="0082453D" w:rsidRDefault="0082453D" w:rsidP="00270D48">
      <w:pPr>
        <w:jc w:val="both"/>
        <w:rPr>
          <w:b/>
          <w:szCs w:val="24"/>
        </w:rPr>
      </w:pPr>
    </w:p>
    <w:p w:rsidR="00270D48" w:rsidRPr="00765BD2" w:rsidRDefault="00270D48" w:rsidP="00270D48">
      <w:pPr>
        <w:jc w:val="both"/>
        <w:rPr>
          <w:b/>
          <w:szCs w:val="24"/>
        </w:rPr>
      </w:pPr>
      <w:r w:rsidRPr="00765BD2">
        <w:rPr>
          <w:b/>
          <w:szCs w:val="24"/>
        </w:rPr>
        <w:lastRenderedPageBreak/>
        <w:t xml:space="preserve">Figure </w:t>
      </w:r>
      <w:r w:rsidR="005613CF" w:rsidRPr="00765BD2">
        <w:rPr>
          <w:b/>
          <w:szCs w:val="24"/>
        </w:rPr>
        <w:t>9</w:t>
      </w:r>
      <w:r w:rsidR="00765BD2">
        <w:rPr>
          <w:b/>
          <w:szCs w:val="24"/>
        </w:rPr>
        <w:t>:</w:t>
      </w:r>
    </w:p>
    <w:p w:rsidR="00270D48" w:rsidRDefault="00270D48" w:rsidP="000C0DF1">
      <w:pPr>
        <w:jc w:val="center"/>
        <w:rPr>
          <w:i/>
          <w:szCs w:val="24"/>
        </w:rPr>
      </w:pPr>
      <w:r w:rsidRPr="00E0495F">
        <w:rPr>
          <w:noProof/>
          <w:szCs w:val="24"/>
        </w:rPr>
        <w:drawing>
          <wp:inline distT="0" distB="0" distL="0" distR="0">
            <wp:extent cx="5705475" cy="3000375"/>
            <wp:effectExtent l="19050" t="0" r="9525" b="0"/>
            <wp:docPr id="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srcRect/>
                    <a:stretch>
                      <a:fillRect/>
                    </a:stretch>
                  </pic:blipFill>
                  <pic:spPr bwMode="auto">
                    <a:xfrm>
                      <a:off x="0" y="0"/>
                      <a:ext cx="5705475" cy="3000375"/>
                    </a:xfrm>
                    <a:prstGeom prst="rect">
                      <a:avLst/>
                    </a:prstGeom>
                    <a:noFill/>
                    <a:ln w="9525">
                      <a:noFill/>
                      <a:miter lim="800000"/>
                      <a:headEnd/>
                      <a:tailEnd/>
                    </a:ln>
                  </pic:spPr>
                </pic:pic>
              </a:graphicData>
            </a:graphic>
          </wp:inline>
        </w:drawing>
      </w:r>
    </w:p>
    <w:p w:rsidR="0082453D" w:rsidRPr="006D207F" w:rsidRDefault="0082453D" w:rsidP="0082453D">
      <w:pPr>
        <w:jc w:val="both"/>
        <w:rPr>
          <w:sz w:val="24"/>
          <w:szCs w:val="24"/>
        </w:rPr>
      </w:pPr>
      <w:r w:rsidRPr="006D207F">
        <w:rPr>
          <w:sz w:val="24"/>
          <w:szCs w:val="24"/>
        </w:rPr>
        <w:t>A Peer Review</w:t>
      </w:r>
      <w:r>
        <w:rPr>
          <w:sz w:val="24"/>
          <w:szCs w:val="24"/>
        </w:rPr>
        <w:t>, led by Somerset Clinical Commissioning Group,</w:t>
      </w:r>
      <w:r w:rsidRPr="006D207F">
        <w:rPr>
          <w:sz w:val="24"/>
          <w:szCs w:val="24"/>
        </w:rPr>
        <w:t xml:space="preserve"> was undertaken on 28</w:t>
      </w:r>
      <w:r w:rsidRPr="006D207F">
        <w:rPr>
          <w:sz w:val="24"/>
          <w:szCs w:val="24"/>
          <w:vertAlign w:val="superscript"/>
        </w:rPr>
        <w:t>th</w:t>
      </w:r>
      <w:r w:rsidRPr="006D207F">
        <w:rPr>
          <w:sz w:val="24"/>
          <w:szCs w:val="24"/>
        </w:rPr>
        <w:t xml:space="preserve"> July 2014</w:t>
      </w:r>
      <w:r>
        <w:rPr>
          <w:sz w:val="24"/>
          <w:szCs w:val="24"/>
        </w:rPr>
        <w:t>;</w:t>
      </w:r>
      <w:r w:rsidRPr="006D207F">
        <w:rPr>
          <w:sz w:val="24"/>
          <w:szCs w:val="24"/>
        </w:rPr>
        <w:t xml:space="preserve"> the report from this is awaited.  Highlighted areas of concern however were narrowed down to training, induction and risk assessment.</w:t>
      </w:r>
      <w:r>
        <w:rPr>
          <w:sz w:val="24"/>
          <w:szCs w:val="24"/>
        </w:rPr>
        <w:t xml:space="preserve">   Good practice was identified in Board engagement, investment in equipment and use of wound photography in admission areas.</w:t>
      </w:r>
      <w:r w:rsidRPr="006D207F">
        <w:rPr>
          <w:sz w:val="24"/>
          <w:szCs w:val="24"/>
        </w:rPr>
        <w:t xml:space="preserve">  A full action plan will be </w:t>
      </w:r>
      <w:r>
        <w:rPr>
          <w:sz w:val="24"/>
          <w:szCs w:val="24"/>
        </w:rPr>
        <w:t>developed</w:t>
      </w:r>
      <w:r w:rsidRPr="006D207F">
        <w:rPr>
          <w:sz w:val="24"/>
          <w:szCs w:val="24"/>
        </w:rPr>
        <w:t xml:space="preserve"> once the Peer Review report is available.   </w:t>
      </w:r>
    </w:p>
    <w:p w:rsidR="00765BD2" w:rsidRDefault="00765BD2" w:rsidP="00BC3076">
      <w:pPr>
        <w:pStyle w:val="Heading2"/>
        <w:rPr>
          <w:sz w:val="28"/>
        </w:rPr>
      </w:pPr>
      <w:bookmarkStart w:id="20" w:name="_Toc362959125"/>
      <w:bookmarkStart w:id="21" w:name="_Toc381084856"/>
    </w:p>
    <w:p w:rsidR="00765BD2" w:rsidRDefault="00765BD2" w:rsidP="00BC3076">
      <w:pPr>
        <w:pStyle w:val="Heading2"/>
        <w:rPr>
          <w:sz w:val="28"/>
        </w:rPr>
      </w:pPr>
    </w:p>
    <w:p w:rsidR="00765BD2" w:rsidRDefault="00765BD2" w:rsidP="00BC3076">
      <w:pPr>
        <w:pStyle w:val="Heading2"/>
        <w:rPr>
          <w:sz w:val="28"/>
        </w:rPr>
      </w:pPr>
    </w:p>
    <w:p w:rsidR="00765BD2" w:rsidRDefault="00765BD2" w:rsidP="00BC3076">
      <w:pPr>
        <w:pStyle w:val="Heading2"/>
        <w:rPr>
          <w:sz w:val="28"/>
        </w:rPr>
      </w:pPr>
    </w:p>
    <w:p w:rsidR="00765BD2" w:rsidRDefault="00765BD2" w:rsidP="00BC3076">
      <w:pPr>
        <w:pStyle w:val="Heading2"/>
        <w:rPr>
          <w:sz w:val="28"/>
        </w:rPr>
      </w:pPr>
    </w:p>
    <w:p w:rsidR="00765BD2" w:rsidRDefault="00765BD2" w:rsidP="00BC3076">
      <w:pPr>
        <w:pStyle w:val="Heading2"/>
        <w:rPr>
          <w:sz w:val="28"/>
        </w:rPr>
      </w:pPr>
    </w:p>
    <w:p w:rsidR="00765BD2" w:rsidRDefault="00765BD2" w:rsidP="00BC3076">
      <w:pPr>
        <w:pStyle w:val="Heading2"/>
        <w:rPr>
          <w:sz w:val="28"/>
        </w:rPr>
      </w:pPr>
    </w:p>
    <w:p w:rsidR="00765BD2" w:rsidRDefault="00765BD2" w:rsidP="00BC3076">
      <w:pPr>
        <w:pStyle w:val="Heading2"/>
        <w:rPr>
          <w:sz w:val="28"/>
        </w:rPr>
      </w:pPr>
    </w:p>
    <w:p w:rsidR="00765BD2" w:rsidRDefault="00765BD2">
      <w:pPr>
        <w:rPr>
          <w:rFonts w:asciiTheme="majorHAnsi" w:eastAsiaTheme="majorEastAsia" w:hAnsiTheme="majorHAnsi" w:cstheme="majorBidi"/>
          <w:b/>
          <w:bCs/>
          <w:color w:val="2DA2BF" w:themeColor="accent1"/>
          <w:sz w:val="28"/>
          <w:szCs w:val="26"/>
        </w:rPr>
      </w:pPr>
      <w:r>
        <w:rPr>
          <w:sz w:val="28"/>
        </w:rPr>
        <w:br w:type="page"/>
      </w:r>
    </w:p>
    <w:p w:rsidR="00293B7D" w:rsidRPr="00726CE2" w:rsidRDefault="007924BE" w:rsidP="00BC3076">
      <w:pPr>
        <w:pStyle w:val="Heading2"/>
        <w:rPr>
          <w:sz w:val="28"/>
        </w:rPr>
      </w:pPr>
      <w:r w:rsidRPr="00726CE2">
        <w:rPr>
          <w:sz w:val="28"/>
        </w:rPr>
        <w:lastRenderedPageBreak/>
        <w:t>2.7</w:t>
      </w:r>
      <w:r w:rsidR="00293B7D" w:rsidRPr="00726CE2">
        <w:rPr>
          <w:sz w:val="28"/>
        </w:rPr>
        <w:t xml:space="preserve"> Patient Feedback</w:t>
      </w:r>
      <w:bookmarkEnd w:id="20"/>
      <w:bookmarkEnd w:id="21"/>
    </w:p>
    <w:p w:rsidR="00293B7D" w:rsidRPr="00726CE2" w:rsidRDefault="007924BE" w:rsidP="00293B7D">
      <w:pPr>
        <w:pStyle w:val="Heading3"/>
        <w:rPr>
          <w:sz w:val="24"/>
        </w:rPr>
      </w:pPr>
      <w:bookmarkStart w:id="22" w:name="_Toc362959126"/>
      <w:bookmarkStart w:id="23" w:name="_Toc381084857"/>
      <w:r w:rsidRPr="00726CE2">
        <w:rPr>
          <w:sz w:val="24"/>
        </w:rPr>
        <w:t>2.7</w:t>
      </w:r>
      <w:r w:rsidR="00293B7D" w:rsidRPr="00726CE2">
        <w:rPr>
          <w:sz w:val="24"/>
        </w:rPr>
        <w:t>.1 Complaints</w:t>
      </w:r>
      <w:bookmarkEnd w:id="22"/>
      <w:bookmarkEnd w:id="23"/>
      <w:r w:rsidR="00293B7D" w:rsidRPr="00726CE2">
        <w:rPr>
          <w:sz w:val="24"/>
        </w:rPr>
        <w:t xml:space="preserve"> </w:t>
      </w:r>
    </w:p>
    <w:p w:rsidR="0082453D" w:rsidRPr="00726CE2" w:rsidRDefault="0082453D" w:rsidP="0082453D">
      <w:pPr>
        <w:jc w:val="both"/>
        <w:rPr>
          <w:sz w:val="24"/>
          <w:szCs w:val="24"/>
        </w:rPr>
      </w:pPr>
      <w:r w:rsidRPr="00726CE2">
        <w:rPr>
          <w:sz w:val="24"/>
          <w:szCs w:val="24"/>
        </w:rPr>
        <w:t xml:space="preserve">Complaints management is critical to ensuring the Trust not only responds to the complainant in a timely manner, but to ensure the learning from complaints is translated into action. Complaints data enables the Trust to determine if there are any trends in subject matter, location or personnel. </w:t>
      </w:r>
    </w:p>
    <w:p w:rsidR="00F82CBB" w:rsidRDefault="00F82CBB" w:rsidP="00025DAD">
      <w:pPr>
        <w:jc w:val="both"/>
        <w:rPr>
          <w:rFonts w:cstheme="minorHAnsi"/>
          <w:i/>
          <w:sz w:val="24"/>
        </w:rPr>
      </w:pPr>
      <w:r w:rsidRPr="00D043AA">
        <w:rPr>
          <w:rFonts w:cstheme="minorHAnsi"/>
          <w:i/>
          <w:sz w:val="24"/>
        </w:rPr>
        <w:t>Table 1</w:t>
      </w:r>
      <w:r w:rsidR="003C592B">
        <w:rPr>
          <w:rFonts w:cstheme="minorHAnsi"/>
          <w:i/>
          <w:sz w:val="24"/>
        </w:rPr>
        <w:t>0</w:t>
      </w:r>
      <w:r w:rsidR="00D043AA" w:rsidRPr="00D043AA">
        <w:rPr>
          <w:rFonts w:cstheme="minorHAnsi"/>
          <w:sz w:val="24"/>
        </w:rPr>
        <w:t xml:space="preserve"> </w:t>
      </w:r>
      <w:r w:rsidRPr="00D043AA">
        <w:rPr>
          <w:rFonts w:cstheme="minorHAnsi"/>
          <w:sz w:val="24"/>
        </w:rPr>
        <w:t xml:space="preserve">portrays that the total number of complaints received in June and July was 23 and 23 </w:t>
      </w:r>
      <w:r w:rsidRPr="00D043AA">
        <w:rPr>
          <w:rFonts w:cstheme="minorHAnsi"/>
          <w:color w:val="000000" w:themeColor="text1"/>
          <w:sz w:val="24"/>
        </w:rPr>
        <w:t xml:space="preserve">respectively. The number of complaints received equate to 0.93% of all </w:t>
      </w:r>
      <w:r w:rsidR="00D043AA">
        <w:rPr>
          <w:rFonts w:cstheme="minorHAnsi"/>
          <w:color w:val="000000" w:themeColor="text1"/>
          <w:sz w:val="24"/>
        </w:rPr>
        <w:t>activity</w:t>
      </w:r>
      <w:r w:rsidRPr="00D043AA">
        <w:rPr>
          <w:rFonts w:cstheme="minorHAnsi"/>
          <w:color w:val="000000" w:themeColor="text1"/>
          <w:sz w:val="24"/>
        </w:rPr>
        <w:t xml:space="preserve"> over this period.</w:t>
      </w:r>
      <w:r w:rsidRPr="00E21FC9">
        <w:rPr>
          <w:rFonts w:cstheme="minorHAnsi"/>
          <w:color w:val="000000" w:themeColor="text1"/>
          <w:sz w:val="24"/>
        </w:rPr>
        <w:t xml:space="preserve"> This is aga</w:t>
      </w:r>
      <w:r w:rsidR="00E21FC9" w:rsidRPr="00E21FC9">
        <w:rPr>
          <w:rFonts w:cstheme="minorHAnsi"/>
          <w:color w:val="000000" w:themeColor="text1"/>
          <w:sz w:val="24"/>
        </w:rPr>
        <w:t>inst inpatient activity of 3,221</w:t>
      </w:r>
      <w:r w:rsidRPr="00E21FC9">
        <w:rPr>
          <w:rFonts w:cstheme="minorHAnsi"/>
          <w:color w:val="000000" w:themeColor="text1"/>
          <w:sz w:val="24"/>
        </w:rPr>
        <w:t xml:space="preserve">; </w:t>
      </w:r>
      <w:r w:rsidRPr="00D043AA">
        <w:rPr>
          <w:rFonts w:cstheme="minorHAnsi"/>
          <w:color w:val="000000" w:themeColor="text1"/>
          <w:sz w:val="24"/>
        </w:rPr>
        <w:t>Emer</w:t>
      </w:r>
      <w:r w:rsidR="00D043AA" w:rsidRPr="00D043AA">
        <w:rPr>
          <w:rFonts w:cstheme="minorHAnsi"/>
          <w:color w:val="000000" w:themeColor="text1"/>
          <w:sz w:val="24"/>
        </w:rPr>
        <w:t>gency Department attendance of 9</w:t>
      </w:r>
      <w:r w:rsidRPr="00D043AA">
        <w:rPr>
          <w:rFonts w:cstheme="minorHAnsi"/>
          <w:color w:val="000000" w:themeColor="text1"/>
          <w:sz w:val="24"/>
        </w:rPr>
        <w:t>,</w:t>
      </w:r>
      <w:r w:rsidR="00D043AA" w:rsidRPr="00D043AA">
        <w:rPr>
          <w:rFonts w:cstheme="minorHAnsi"/>
          <w:color w:val="000000" w:themeColor="text1"/>
          <w:sz w:val="24"/>
        </w:rPr>
        <w:t>667</w:t>
      </w:r>
      <w:r w:rsidRPr="00E21FC9">
        <w:rPr>
          <w:rFonts w:cstheme="minorHAnsi"/>
          <w:color w:val="000000" w:themeColor="text1"/>
          <w:sz w:val="24"/>
        </w:rPr>
        <w:t xml:space="preserve">; Outpatient Department attendance of </w:t>
      </w:r>
      <w:r w:rsidR="00895AB4">
        <w:rPr>
          <w:rFonts w:cstheme="minorHAnsi"/>
          <w:color w:val="000000" w:themeColor="text1"/>
          <w:sz w:val="24"/>
        </w:rPr>
        <w:t>15,035 and Day C</w:t>
      </w:r>
      <w:r w:rsidR="00E21FC9" w:rsidRPr="00E21FC9">
        <w:rPr>
          <w:rFonts w:cstheme="minorHAnsi"/>
          <w:color w:val="000000" w:themeColor="text1"/>
          <w:sz w:val="24"/>
        </w:rPr>
        <w:t>ase activity of 2,576</w:t>
      </w:r>
      <w:r w:rsidRPr="00E21FC9">
        <w:rPr>
          <w:rFonts w:cstheme="minorHAnsi"/>
          <w:color w:val="000000" w:themeColor="text1"/>
          <w:sz w:val="24"/>
        </w:rPr>
        <w:t>.</w:t>
      </w:r>
      <w:r w:rsidRPr="00207AE6">
        <w:rPr>
          <w:rFonts w:cstheme="minorHAnsi"/>
          <w:color w:val="000000" w:themeColor="text1"/>
          <w:sz w:val="24"/>
        </w:rPr>
        <w:t xml:space="preserve"> </w:t>
      </w:r>
      <w:r>
        <w:rPr>
          <w:rFonts w:cstheme="minorHAnsi"/>
          <w:color w:val="000000" w:themeColor="text1"/>
          <w:sz w:val="24"/>
        </w:rPr>
        <w:t xml:space="preserve"> </w:t>
      </w:r>
    </w:p>
    <w:p w:rsidR="0082453D" w:rsidRPr="00BF3309" w:rsidRDefault="0082453D" w:rsidP="0082453D">
      <w:pPr>
        <w:jc w:val="both"/>
        <w:rPr>
          <w:rFonts w:cstheme="minorHAnsi"/>
          <w:sz w:val="24"/>
          <w:highlight w:val="yellow"/>
        </w:rPr>
      </w:pPr>
      <w:r w:rsidRPr="00B876CE">
        <w:rPr>
          <w:rFonts w:cstheme="minorHAnsi"/>
          <w:sz w:val="24"/>
        </w:rPr>
        <w:t xml:space="preserve">All complainants are offered the opportunity to meet with relevant staff should they wish. </w:t>
      </w:r>
      <w:r w:rsidRPr="0079066C">
        <w:rPr>
          <w:rFonts w:cstheme="minorHAnsi"/>
          <w:sz w:val="24"/>
        </w:rPr>
        <w:t>Four complaint resolution meetin</w:t>
      </w:r>
      <w:r>
        <w:rPr>
          <w:rFonts w:cstheme="minorHAnsi"/>
          <w:sz w:val="24"/>
        </w:rPr>
        <w:t xml:space="preserve">gs were held in June and July, </w:t>
      </w:r>
      <w:r w:rsidRPr="0079066C">
        <w:rPr>
          <w:rFonts w:cstheme="minorHAnsi"/>
          <w:sz w:val="24"/>
        </w:rPr>
        <w:t xml:space="preserve">resulting in satisfactory resolution for the complainant. Should complainants remain unsatisfied with the final response from the Trust, and all options for internal resolution have been exhausted, complainants are advised of the option to refer their complaint to the Complaints Ombudsman. </w:t>
      </w:r>
      <w:r w:rsidRPr="00BF3309">
        <w:rPr>
          <w:rFonts w:cstheme="minorHAnsi"/>
          <w:sz w:val="24"/>
          <w:szCs w:val="24"/>
        </w:rPr>
        <w:t>One new complaint was referred to the Complaints Ombudsman in July.</w:t>
      </w:r>
      <w:r w:rsidRPr="00BF3309">
        <w:rPr>
          <w:rFonts w:cstheme="minorHAnsi"/>
          <w:color w:val="FF0000"/>
          <w:sz w:val="24"/>
          <w:szCs w:val="24"/>
        </w:rPr>
        <w:t xml:space="preserve"> </w:t>
      </w:r>
      <w:r w:rsidRPr="00BF3309">
        <w:rPr>
          <w:rFonts w:cstheme="minorHAnsi"/>
          <w:sz w:val="24"/>
          <w:szCs w:val="24"/>
        </w:rPr>
        <w:t xml:space="preserve">A decision not to uphold a complaint </w:t>
      </w:r>
      <w:r>
        <w:rPr>
          <w:rFonts w:cstheme="minorHAnsi"/>
          <w:sz w:val="24"/>
          <w:szCs w:val="24"/>
        </w:rPr>
        <w:t xml:space="preserve">previously </w:t>
      </w:r>
      <w:r w:rsidRPr="00BF3309">
        <w:rPr>
          <w:rFonts w:cstheme="minorHAnsi"/>
          <w:sz w:val="24"/>
          <w:szCs w:val="24"/>
        </w:rPr>
        <w:t>referred to them was received from the Ombudsman in July.</w:t>
      </w:r>
    </w:p>
    <w:p w:rsidR="00025DAD" w:rsidRPr="00DF3238" w:rsidRDefault="003C592B" w:rsidP="003C592B">
      <w:pPr>
        <w:jc w:val="both"/>
        <w:rPr>
          <w:rFonts w:cstheme="minorHAnsi"/>
          <w:b/>
          <w:highlight w:val="yellow"/>
        </w:rPr>
      </w:pPr>
      <w:r w:rsidRPr="00DF3238">
        <w:rPr>
          <w:rFonts w:cstheme="minorHAnsi"/>
          <w:b/>
        </w:rPr>
        <w:t xml:space="preserve">Figure </w:t>
      </w:r>
      <w:r w:rsidR="00025DAD" w:rsidRPr="00DF3238">
        <w:rPr>
          <w:rFonts w:cstheme="minorHAnsi"/>
          <w:b/>
          <w:sz w:val="20"/>
        </w:rPr>
        <w:t>1</w:t>
      </w:r>
      <w:r w:rsidRPr="00DF3238">
        <w:rPr>
          <w:rFonts w:cstheme="minorHAnsi"/>
          <w:b/>
          <w:sz w:val="20"/>
        </w:rPr>
        <w:t>0</w:t>
      </w:r>
      <w:r w:rsidR="00025DAD" w:rsidRPr="00DF3238">
        <w:rPr>
          <w:rFonts w:cstheme="minorHAnsi"/>
          <w:b/>
          <w:sz w:val="20"/>
        </w:rPr>
        <w:t>:</w:t>
      </w:r>
    </w:p>
    <w:tbl>
      <w:tblPr>
        <w:tblStyle w:val="LightGrid-Accent11"/>
        <w:tblW w:w="10652" w:type="dxa"/>
        <w:tblLayout w:type="fixed"/>
        <w:tblLook w:val="04A0"/>
      </w:tblPr>
      <w:tblGrid>
        <w:gridCol w:w="2050"/>
        <w:gridCol w:w="694"/>
        <w:gridCol w:w="832"/>
        <w:gridCol w:w="833"/>
        <w:gridCol w:w="693"/>
        <w:gridCol w:w="694"/>
        <w:gridCol w:w="694"/>
        <w:gridCol w:w="555"/>
        <w:gridCol w:w="694"/>
        <w:gridCol w:w="832"/>
        <w:gridCol w:w="694"/>
        <w:gridCol w:w="694"/>
        <w:gridCol w:w="693"/>
      </w:tblGrid>
      <w:tr w:rsidR="00025DAD" w:rsidRPr="00964CA2" w:rsidTr="00DE0A1A">
        <w:trPr>
          <w:cnfStyle w:val="100000000000"/>
          <w:trHeight w:val="414"/>
        </w:trPr>
        <w:tc>
          <w:tcPr>
            <w:cnfStyle w:val="001000000000"/>
            <w:tcW w:w="2050" w:type="dxa"/>
          </w:tcPr>
          <w:p w:rsidR="00025DAD" w:rsidRPr="00964CA2" w:rsidRDefault="00025DAD" w:rsidP="00DE0A1A">
            <w:pPr>
              <w:ind w:left="-250"/>
              <w:jc w:val="center"/>
              <w:rPr>
                <w:rFonts w:asciiTheme="minorHAnsi" w:hAnsiTheme="minorHAnsi" w:cstheme="minorHAnsi"/>
                <w:i/>
                <w:color w:val="000000"/>
              </w:rPr>
            </w:pPr>
          </w:p>
        </w:tc>
        <w:tc>
          <w:tcPr>
            <w:tcW w:w="694"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Jan</w:t>
            </w:r>
          </w:p>
        </w:tc>
        <w:tc>
          <w:tcPr>
            <w:tcW w:w="832"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Feb</w:t>
            </w:r>
          </w:p>
        </w:tc>
        <w:tc>
          <w:tcPr>
            <w:tcW w:w="833"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Mar</w:t>
            </w:r>
          </w:p>
        </w:tc>
        <w:tc>
          <w:tcPr>
            <w:tcW w:w="693"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Apr</w:t>
            </w:r>
          </w:p>
        </w:tc>
        <w:tc>
          <w:tcPr>
            <w:tcW w:w="694"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May</w:t>
            </w:r>
          </w:p>
        </w:tc>
        <w:tc>
          <w:tcPr>
            <w:tcW w:w="694"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Jun</w:t>
            </w:r>
          </w:p>
        </w:tc>
        <w:tc>
          <w:tcPr>
            <w:tcW w:w="555"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Jul</w:t>
            </w:r>
          </w:p>
        </w:tc>
        <w:tc>
          <w:tcPr>
            <w:tcW w:w="694"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Aug</w:t>
            </w:r>
          </w:p>
        </w:tc>
        <w:tc>
          <w:tcPr>
            <w:tcW w:w="832"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Sept</w:t>
            </w:r>
          </w:p>
        </w:tc>
        <w:tc>
          <w:tcPr>
            <w:tcW w:w="694"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Oct</w:t>
            </w:r>
          </w:p>
        </w:tc>
        <w:tc>
          <w:tcPr>
            <w:tcW w:w="694"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Nov</w:t>
            </w:r>
          </w:p>
        </w:tc>
        <w:tc>
          <w:tcPr>
            <w:tcW w:w="693" w:type="dxa"/>
          </w:tcPr>
          <w:p w:rsidR="00025DAD" w:rsidRPr="00964CA2" w:rsidRDefault="00025DAD" w:rsidP="00DE0A1A">
            <w:pPr>
              <w:jc w:val="center"/>
              <w:cnfStyle w:val="100000000000"/>
              <w:rPr>
                <w:rFonts w:asciiTheme="minorHAnsi" w:hAnsiTheme="minorHAnsi" w:cstheme="minorHAnsi"/>
                <w:color w:val="000000"/>
              </w:rPr>
            </w:pPr>
            <w:r w:rsidRPr="00964CA2">
              <w:rPr>
                <w:rFonts w:asciiTheme="minorHAnsi" w:hAnsiTheme="minorHAnsi" w:cstheme="minorHAnsi"/>
                <w:color w:val="000000"/>
              </w:rPr>
              <w:t>Dec</w:t>
            </w:r>
          </w:p>
        </w:tc>
      </w:tr>
      <w:tr w:rsidR="00025DAD" w:rsidRPr="00964CA2" w:rsidTr="00DE0A1A">
        <w:trPr>
          <w:cnfStyle w:val="000000100000"/>
          <w:trHeight w:val="523"/>
        </w:trPr>
        <w:tc>
          <w:tcPr>
            <w:cnfStyle w:val="001000000000"/>
            <w:tcW w:w="2050" w:type="dxa"/>
            <w:vAlign w:val="center"/>
          </w:tcPr>
          <w:p w:rsidR="00025DAD" w:rsidRPr="00964CA2" w:rsidRDefault="00025DAD" w:rsidP="00DE0A1A">
            <w:pPr>
              <w:jc w:val="center"/>
              <w:rPr>
                <w:rFonts w:asciiTheme="minorHAnsi" w:hAnsiTheme="minorHAnsi" w:cstheme="minorHAnsi"/>
                <w:color w:val="000000"/>
              </w:rPr>
            </w:pPr>
            <w:r w:rsidRPr="00964CA2">
              <w:rPr>
                <w:rFonts w:asciiTheme="minorHAnsi" w:hAnsiTheme="minorHAnsi" w:cstheme="minorHAnsi"/>
                <w:color w:val="000000"/>
              </w:rPr>
              <w:t>2013</w:t>
            </w:r>
          </w:p>
        </w:tc>
        <w:tc>
          <w:tcPr>
            <w:tcW w:w="694"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17</w:t>
            </w:r>
          </w:p>
        </w:tc>
        <w:tc>
          <w:tcPr>
            <w:tcW w:w="832"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22</w:t>
            </w:r>
          </w:p>
        </w:tc>
        <w:tc>
          <w:tcPr>
            <w:tcW w:w="833"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21</w:t>
            </w:r>
          </w:p>
        </w:tc>
        <w:tc>
          <w:tcPr>
            <w:tcW w:w="693"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19</w:t>
            </w:r>
          </w:p>
        </w:tc>
        <w:tc>
          <w:tcPr>
            <w:tcW w:w="694"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11</w:t>
            </w:r>
          </w:p>
        </w:tc>
        <w:tc>
          <w:tcPr>
            <w:tcW w:w="694"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14</w:t>
            </w:r>
          </w:p>
        </w:tc>
        <w:tc>
          <w:tcPr>
            <w:tcW w:w="555"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17</w:t>
            </w:r>
          </w:p>
        </w:tc>
        <w:tc>
          <w:tcPr>
            <w:tcW w:w="694"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21</w:t>
            </w:r>
          </w:p>
        </w:tc>
        <w:tc>
          <w:tcPr>
            <w:tcW w:w="832"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12</w:t>
            </w:r>
          </w:p>
        </w:tc>
        <w:tc>
          <w:tcPr>
            <w:tcW w:w="694"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24</w:t>
            </w:r>
          </w:p>
        </w:tc>
        <w:tc>
          <w:tcPr>
            <w:tcW w:w="694"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12</w:t>
            </w:r>
          </w:p>
        </w:tc>
        <w:tc>
          <w:tcPr>
            <w:tcW w:w="693" w:type="dxa"/>
            <w:vAlign w:val="center"/>
          </w:tcPr>
          <w:p w:rsidR="00025DAD" w:rsidRPr="00964CA2" w:rsidRDefault="00025DAD" w:rsidP="00DE0A1A">
            <w:pPr>
              <w:jc w:val="center"/>
              <w:cnfStyle w:val="000000100000"/>
              <w:rPr>
                <w:rFonts w:cstheme="minorHAnsi"/>
                <w:color w:val="000000"/>
              </w:rPr>
            </w:pPr>
            <w:r w:rsidRPr="00964CA2">
              <w:rPr>
                <w:rFonts w:cstheme="minorHAnsi"/>
                <w:color w:val="000000"/>
              </w:rPr>
              <w:t>18</w:t>
            </w:r>
          </w:p>
        </w:tc>
      </w:tr>
      <w:tr w:rsidR="00025DAD" w:rsidRPr="00964CA2" w:rsidTr="00DE0A1A">
        <w:trPr>
          <w:cnfStyle w:val="000000010000"/>
          <w:trHeight w:val="556"/>
        </w:trPr>
        <w:tc>
          <w:tcPr>
            <w:cnfStyle w:val="001000000000"/>
            <w:tcW w:w="2050" w:type="dxa"/>
            <w:vAlign w:val="center"/>
          </w:tcPr>
          <w:p w:rsidR="00025DAD" w:rsidRPr="00964CA2" w:rsidRDefault="00025DAD" w:rsidP="00DE0A1A">
            <w:pPr>
              <w:jc w:val="center"/>
              <w:rPr>
                <w:rFonts w:asciiTheme="minorHAnsi" w:hAnsiTheme="minorHAnsi" w:cstheme="minorHAnsi"/>
                <w:color w:val="000000"/>
              </w:rPr>
            </w:pPr>
            <w:r w:rsidRPr="00964CA2">
              <w:rPr>
                <w:rFonts w:asciiTheme="minorHAnsi" w:hAnsiTheme="minorHAnsi" w:cstheme="minorHAnsi"/>
                <w:color w:val="000000"/>
              </w:rPr>
              <w:t>2014</w:t>
            </w:r>
          </w:p>
        </w:tc>
        <w:tc>
          <w:tcPr>
            <w:tcW w:w="694" w:type="dxa"/>
            <w:vAlign w:val="center"/>
          </w:tcPr>
          <w:p w:rsidR="00025DAD" w:rsidRPr="00964CA2" w:rsidRDefault="00025DAD" w:rsidP="00DE0A1A">
            <w:pPr>
              <w:jc w:val="center"/>
              <w:cnfStyle w:val="000000010000"/>
              <w:rPr>
                <w:rFonts w:cstheme="minorHAnsi"/>
                <w:color w:val="000000"/>
              </w:rPr>
            </w:pPr>
            <w:r w:rsidRPr="00964CA2">
              <w:rPr>
                <w:rFonts w:cstheme="minorHAnsi"/>
                <w:color w:val="000000"/>
              </w:rPr>
              <w:t>16</w:t>
            </w:r>
          </w:p>
        </w:tc>
        <w:tc>
          <w:tcPr>
            <w:tcW w:w="832" w:type="dxa"/>
            <w:vAlign w:val="center"/>
          </w:tcPr>
          <w:p w:rsidR="00025DAD" w:rsidRPr="00964CA2" w:rsidRDefault="00025DAD" w:rsidP="00DE0A1A">
            <w:pPr>
              <w:jc w:val="center"/>
              <w:cnfStyle w:val="000000010000"/>
              <w:rPr>
                <w:rFonts w:cstheme="minorHAnsi"/>
                <w:color w:val="000000"/>
              </w:rPr>
            </w:pPr>
            <w:r w:rsidRPr="00964CA2">
              <w:rPr>
                <w:rFonts w:cstheme="minorHAnsi"/>
                <w:color w:val="000000"/>
              </w:rPr>
              <w:t>22</w:t>
            </w:r>
          </w:p>
        </w:tc>
        <w:tc>
          <w:tcPr>
            <w:tcW w:w="833" w:type="dxa"/>
            <w:vAlign w:val="center"/>
          </w:tcPr>
          <w:p w:rsidR="00025DAD" w:rsidRPr="00964CA2" w:rsidRDefault="00025DAD" w:rsidP="00DE0A1A">
            <w:pPr>
              <w:jc w:val="center"/>
              <w:cnfStyle w:val="000000010000"/>
              <w:rPr>
                <w:rFonts w:cstheme="minorHAnsi"/>
                <w:color w:val="000000"/>
              </w:rPr>
            </w:pPr>
            <w:r w:rsidRPr="00964CA2">
              <w:rPr>
                <w:rFonts w:cstheme="minorHAnsi"/>
                <w:color w:val="000000"/>
              </w:rPr>
              <w:t>38</w:t>
            </w:r>
          </w:p>
        </w:tc>
        <w:tc>
          <w:tcPr>
            <w:tcW w:w="693" w:type="dxa"/>
            <w:vAlign w:val="center"/>
          </w:tcPr>
          <w:p w:rsidR="00025DAD" w:rsidRPr="00964CA2" w:rsidRDefault="00025DAD" w:rsidP="00DE0A1A">
            <w:pPr>
              <w:jc w:val="center"/>
              <w:cnfStyle w:val="000000010000"/>
              <w:rPr>
                <w:rFonts w:cstheme="minorHAnsi"/>
                <w:color w:val="000000"/>
              </w:rPr>
            </w:pPr>
            <w:r w:rsidRPr="00964CA2">
              <w:rPr>
                <w:rFonts w:cstheme="minorHAnsi"/>
                <w:color w:val="000000"/>
              </w:rPr>
              <w:t>15</w:t>
            </w:r>
          </w:p>
        </w:tc>
        <w:tc>
          <w:tcPr>
            <w:tcW w:w="694" w:type="dxa"/>
            <w:vAlign w:val="center"/>
          </w:tcPr>
          <w:p w:rsidR="00025DAD" w:rsidRPr="00964CA2" w:rsidRDefault="00025DAD" w:rsidP="00DE0A1A">
            <w:pPr>
              <w:jc w:val="center"/>
              <w:cnfStyle w:val="000000010000"/>
              <w:rPr>
                <w:rFonts w:cstheme="minorHAnsi"/>
                <w:color w:val="000000"/>
              </w:rPr>
            </w:pPr>
            <w:r w:rsidRPr="00964CA2">
              <w:rPr>
                <w:rFonts w:cstheme="minorHAnsi"/>
                <w:color w:val="000000"/>
              </w:rPr>
              <w:t>27</w:t>
            </w:r>
          </w:p>
        </w:tc>
        <w:tc>
          <w:tcPr>
            <w:tcW w:w="694" w:type="dxa"/>
            <w:vAlign w:val="center"/>
          </w:tcPr>
          <w:p w:rsidR="00025DAD" w:rsidRPr="00964CA2" w:rsidRDefault="00025DAD" w:rsidP="00DE0A1A">
            <w:pPr>
              <w:jc w:val="center"/>
              <w:cnfStyle w:val="000000010000"/>
              <w:rPr>
                <w:rFonts w:cstheme="minorHAnsi"/>
                <w:color w:val="000000"/>
              </w:rPr>
            </w:pPr>
            <w:r w:rsidRPr="00964CA2">
              <w:rPr>
                <w:rFonts w:cstheme="minorHAnsi"/>
                <w:color w:val="000000"/>
              </w:rPr>
              <w:t>23</w:t>
            </w:r>
          </w:p>
        </w:tc>
        <w:tc>
          <w:tcPr>
            <w:tcW w:w="555" w:type="dxa"/>
            <w:vAlign w:val="center"/>
          </w:tcPr>
          <w:p w:rsidR="00025DAD" w:rsidRPr="00964CA2" w:rsidRDefault="00025DAD" w:rsidP="00DE0A1A">
            <w:pPr>
              <w:jc w:val="center"/>
              <w:cnfStyle w:val="000000010000"/>
              <w:rPr>
                <w:rFonts w:cstheme="minorHAnsi"/>
                <w:color w:val="000000"/>
              </w:rPr>
            </w:pPr>
            <w:r>
              <w:rPr>
                <w:rFonts w:cstheme="minorHAnsi"/>
                <w:color w:val="000000"/>
              </w:rPr>
              <w:t>23</w:t>
            </w:r>
          </w:p>
        </w:tc>
        <w:tc>
          <w:tcPr>
            <w:tcW w:w="694" w:type="dxa"/>
            <w:vAlign w:val="center"/>
          </w:tcPr>
          <w:p w:rsidR="00025DAD" w:rsidRPr="00964CA2" w:rsidRDefault="00025DAD" w:rsidP="00DE0A1A">
            <w:pPr>
              <w:jc w:val="center"/>
              <w:cnfStyle w:val="000000010000"/>
              <w:rPr>
                <w:rFonts w:cstheme="minorHAnsi"/>
                <w:color w:val="000000"/>
              </w:rPr>
            </w:pPr>
          </w:p>
        </w:tc>
        <w:tc>
          <w:tcPr>
            <w:tcW w:w="832" w:type="dxa"/>
            <w:vAlign w:val="center"/>
          </w:tcPr>
          <w:p w:rsidR="00025DAD" w:rsidRPr="00964CA2" w:rsidRDefault="00025DAD" w:rsidP="00DE0A1A">
            <w:pPr>
              <w:jc w:val="center"/>
              <w:cnfStyle w:val="000000010000"/>
              <w:rPr>
                <w:rFonts w:cstheme="minorHAnsi"/>
                <w:color w:val="000000"/>
              </w:rPr>
            </w:pPr>
          </w:p>
        </w:tc>
        <w:tc>
          <w:tcPr>
            <w:tcW w:w="694" w:type="dxa"/>
            <w:vAlign w:val="center"/>
          </w:tcPr>
          <w:p w:rsidR="00025DAD" w:rsidRPr="00964CA2" w:rsidRDefault="00025DAD" w:rsidP="00DE0A1A">
            <w:pPr>
              <w:jc w:val="center"/>
              <w:cnfStyle w:val="000000010000"/>
              <w:rPr>
                <w:rFonts w:cstheme="minorHAnsi"/>
                <w:color w:val="000000"/>
              </w:rPr>
            </w:pPr>
          </w:p>
        </w:tc>
        <w:tc>
          <w:tcPr>
            <w:tcW w:w="694" w:type="dxa"/>
            <w:vAlign w:val="center"/>
          </w:tcPr>
          <w:p w:rsidR="00025DAD" w:rsidRPr="00964CA2" w:rsidRDefault="00025DAD" w:rsidP="00DE0A1A">
            <w:pPr>
              <w:jc w:val="center"/>
              <w:cnfStyle w:val="000000010000"/>
              <w:rPr>
                <w:rFonts w:cstheme="minorHAnsi"/>
                <w:color w:val="000000"/>
              </w:rPr>
            </w:pPr>
          </w:p>
        </w:tc>
        <w:tc>
          <w:tcPr>
            <w:tcW w:w="693" w:type="dxa"/>
            <w:vAlign w:val="center"/>
          </w:tcPr>
          <w:p w:rsidR="00025DAD" w:rsidRPr="00964CA2" w:rsidRDefault="00025DAD" w:rsidP="00DE0A1A">
            <w:pPr>
              <w:jc w:val="center"/>
              <w:cnfStyle w:val="000000010000"/>
              <w:rPr>
                <w:rFonts w:cstheme="minorHAnsi"/>
                <w:color w:val="000000"/>
              </w:rPr>
            </w:pPr>
          </w:p>
        </w:tc>
      </w:tr>
    </w:tbl>
    <w:p w:rsidR="00025DAD" w:rsidRDefault="00025DAD" w:rsidP="00025DAD">
      <w:pPr>
        <w:pStyle w:val="Default"/>
        <w:spacing w:line="276" w:lineRule="auto"/>
        <w:jc w:val="both"/>
        <w:rPr>
          <w:rFonts w:asciiTheme="minorHAnsi" w:hAnsiTheme="minorHAnsi" w:cstheme="minorHAnsi"/>
        </w:rPr>
      </w:pPr>
    </w:p>
    <w:p w:rsidR="0082453D" w:rsidRPr="00AC67CC" w:rsidRDefault="0082453D" w:rsidP="0082453D">
      <w:pPr>
        <w:pStyle w:val="Default"/>
        <w:jc w:val="both"/>
        <w:rPr>
          <w:rFonts w:asciiTheme="minorHAnsi" w:hAnsiTheme="minorHAnsi" w:cstheme="minorHAnsi"/>
          <w:color w:val="auto"/>
        </w:rPr>
      </w:pPr>
      <w:r w:rsidRPr="00BF3309">
        <w:rPr>
          <w:rFonts w:asciiTheme="minorHAnsi" w:hAnsiTheme="minorHAnsi" w:cstheme="minorHAnsi"/>
        </w:rPr>
        <w:t xml:space="preserve">The Trust aims to provide a full response to all complainants within 30 working days. The response time to complaints in </w:t>
      </w:r>
      <w:r>
        <w:rPr>
          <w:rFonts w:asciiTheme="minorHAnsi" w:hAnsiTheme="minorHAnsi" w:cstheme="minorHAnsi"/>
          <w:i/>
        </w:rPr>
        <w:t>Figure 10</w:t>
      </w:r>
      <w:r w:rsidRPr="00BF3309">
        <w:rPr>
          <w:rFonts w:asciiTheme="minorHAnsi" w:hAnsiTheme="minorHAnsi" w:cstheme="minorHAnsi"/>
          <w:i/>
        </w:rPr>
        <w:t xml:space="preserve"> </w:t>
      </w:r>
      <w:r w:rsidRPr="00BF3309">
        <w:rPr>
          <w:rFonts w:asciiTheme="minorHAnsi" w:hAnsiTheme="minorHAnsi" w:cstheme="minorHAnsi"/>
        </w:rPr>
        <w:t xml:space="preserve">demonstrates the commitment of the Trust to resolve complaints in a timely manner.  </w:t>
      </w:r>
      <w:r w:rsidRPr="00AC67CC">
        <w:rPr>
          <w:rFonts w:asciiTheme="minorHAnsi" w:hAnsiTheme="minorHAnsi" w:cstheme="minorHAnsi"/>
          <w:color w:val="auto"/>
        </w:rPr>
        <w:t xml:space="preserve">48% of complaints were responded to within the target date; the Trust target response rate of 80% was not achieved. </w:t>
      </w:r>
      <w:r>
        <w:rPr>
          <w:rFonts w:asciiTheme="minorHAnsi" w:hAnsiTheme="minorHAnsi" w:cstheme="minorHAnsi"/>
          <w:color w:val="auto"/>
        </w:rPr>
        <w:t>Planned Care Division is being supported to improve their complaints response times</w:t>
      </w:r>
      <w:r w:rsidRPr="00AC67CC">
        <w:rPr>
          <w:rFonts w:asciiTheme="minorHAnsi" w:hAnsiTheme="minorHAnsi" w:cstheme="minorHAnsi"/>
        </w:rPr>
        <w:t>.</w:t>
      </w:r>
      <w:r>
        <w:rPr>
          <w:rFonts w:asciiTheme="minorHAnsi" w:hAnsiTheme="minorHAnsi" w:cstheme="minorHAnsi"/>
        </w:rPr>
        <w:t xml:space="preserve">  This includes further complaints training for staff and development of a more robust system that avoids single points of failure due to staff absence. </w:t>
      </w:r>
    </w:p>
    <w:p w:rsidR="00025DAD" w:rsidRPr="00BF3309" w:rsidRDefault="00025DAD" w:rsidP="00025DAD">
      <w:pPr>
        <w:pStyle w:val="Default"/>
        <w:spacing w:line="276" w:lineRule="auto"/>
        <w:jc w:val="both"/>
        <w:rPr>
          <w:rFonts w:cstheme="minorHAnsi"/>
        </w:rPr>
      </w:pPr>
    </w:p>
    <w:p w:rsidR="00025DAD" w:rsidRPr="00F06EFB" w:rsidRDefault="00025DAD" w:rsidP="00025DAD">
      <w:pPr>
        <w:pStyle w:val="NoSpacing"/>
        <w:rPr>
          <w:i/>
          <w:sz w:val="14"/>
        </w:rPr>
      </w:pPr>
    </w:p>
    <w:p w:rsidR="00025DAD" w:rsidRPr="000C3924" w:rsidRDefault="003C592B" w:rsidP="00025DAD">
      <w:pPr>
        <w:rPr>
          <w:rFonts w:cstheme="minorHAnsi"/>
          <w:b/>
        </w:rPr>
      </w:pPr>
      <w:r>
        <w:rPr>
          <w:rFonts w:cstheme="minorHAnsi"/>
          <w:b/>
        </w:rPr>
        <w:t>Figure 11</w:t>
      </w:r>
      <w:r w:rsidR="00025DAD" w:rsidRPr="000C3924">
        <w:rPr>
          <w:rFonts w:cstheme="minorHAnsi"/>
          <w:b/>
        </w:rPr>
        <w:t>:</w:t>
      </w:r>
    </w:p>
    <w:p w:rsidR="00025DAD" w:rsidRPr="00976874" w:rsidRDefault="00025DAD" w:rsidP="00025DAD">
      <w:pPr>
        <w:jc w:val="center"/>
        <w:rPr>
          <w:rFonts w:cstheme="minorHAnsi"/>
          <w:sz w:val="24"/>
          <w:highlight w:val="yellow"/>
        </w:rPr>
      </w:pPr>
      <w:r w:rsidRPr="00BF3309">
        <w:rPr>
          <w:noProof/>
          <w:szCs w:val="20"/>
        </w:rPr>
        <w:drawing>
          <wp:inline distT="0" distB="0" distL="0" distR="0">
            <wp:extent cx="5932805" cy="3625850"/>
            <wp:effectExtent l="19050" t="0" r="0"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srcRect/>
                    <a:stretch>
                      <a:fillRect/>
                    </a:stretch>
                  </pic:blipFill>
                  <pic:spPr bwMode="auto">
                    <a:xfrm>
                      <a:off x="0" y="0"/>
                      <a:ext cx="5932805" cy="3625850"/>
                    </a:xfrm>
                    <a:prstGeom prst="rect">
                      <a:avLst/>
                    </a:prstGeom>
                    <a:noFill/>
                    <a:ln w="9525">
                      <a:noFill/>
                      <a:miter lim="800000"/>
                      <a:headEnd/>
                      <a:tailEnd/>
                    </a:ln>
                  </pic:spPr>
                </pic:pic>
              </a:graphicData>
            </a:graphic>
          </wp:inline>
        </w:drawing>
      </w:r>
    </w:p>
    <w:p w:rsidR="0082453D" w:rsidRDefault="0082453D" w:rsidP="0082453D">
      <w:pPr>
        <w:spacing w:after="100" w:afterAutospacing="1" w:line="240" w:lineRule="auto"/>
        <w:jc w:val="both"/>
        <w:rPr>
          <w:rFonts w:cstheme="minorHAnsi"/>
          <w:sz w:val="24"/>
          <w:szCs w:val="24"/>
        </w:rPr>
      </w:pPr>
      <w:r>
        <w:rPr>
          <w:rFonts w:cstheme="minorHAnsi"/>
          <w:sz w:val="24"/>
          <w:szCs w:val="24"/>
        </w:rPr>
        <w:t>Communication remains a theme for complaints in June and July.  The communication issues raised range from patients feeling that they have not been listened to, pain not being taken seriously and families not feeling supported to make decisions to communication on discharge.</w:t>
      </w:r>
    </w:p>
    <w:p w:rsidR="0082453D" w:rsidRPr="00CC7625" w:rsidRDefault="0082453D" w:rsidP="0082453D">
      <w:pPr>
        <w:jc w:val="both"/>
        <w:rPr>
          <w:rFonts w:cstheme="minorHAnsi"/>
          <w:sz w:val="24"/>
          <w:szCs w:val="24"/>
        </w:rPr>
      </w:pPr>
      <w:r w:rsidRPr="00CC7625">
        <w:rPr>
          <w:rFonts w:cstheme="minorHAnsi"/>
          <w:sz w:val="24"/>
          <w:szCs w:val="24"/>
        </w:rPr>
        <w:t>To promote effective communication a pilot is being run on the wards in the Emergency Division which is offering different communication cards to patients and their families.</w:t>
      </w:r>
    </w:p>
    <w:p w:rsidR="0082453D" w:rsidRPr="00CC7625" w:rsidRDefault="0082453D" w:rsidP="0082453D">
      <w:pPr>
        <w:jc w:val="both"/>
        <w:rPr>
          <w:rFonts w:eastAsia="Times New Roman" w:cstheme="minorHAnsi"/>
          <w:sz w:val="24"/>
          <w:szCs w:val="24"/>
        </w:rPr>
      </w:pPr>
      <w:r w:rsidRPr="00CC7625">
        <w:rPr>
          <w:rFonts w:cstheme="minorHAnsi"/>
          <w:sz w:val="24"/>
          <w:szCs w:val="24"/>
        </w:rPr>
        <w:t>In the Planned Care Division options are being considered to redesign the workforce in order to deliver patient pathways which will facilitate patients being provide</w:t>
      </w:r>
      <w:r>
        <w:rPr>
          <w:rFonts w:cstheme="minorHAnsi"/>
          <w:sz w:val="24"/>
          <w:szCs w:val="24"/>
        </w:rPr>
        <w:t>d</w:t>
      </w:r>
      <w:r w:rsidRPr="00CC7625">
        <w:rPr>
          <w:rFonts w:cstheme="minorHAnsi"/>
          <w:sz w:val="24"/>
          <w:szCs w:val="24"/>
        </w:rPr>
        <w:t xml:space="preserve"> with the right information at the right time. </w:t>
      </w:r>
    </w:p>
    <w:p w:rsidR="0082453D" w:rsidRPr="00CC7625" w:rsidRDefault="0082453D" w:rsidP="0082453D">
      <w:pPr>
        <w:spacing w:after="100" w:afterAutospacing="1" w:line="240" w:lineRule="auto"/>
        <w:jc w:val="both"/>
        <w:rPr>
          <w:rFonts w:cstheme="minorHAnsi"/>
          <w:sz w:val="24"/>
          <w:szCs w:val="24"/>
        </w:rPr>
      </w:pPr>
      <w:r w:rsidRPr="00CC7625">
        <w:rPr>
          <w:rFonts w:cstheme="minorHAnsi"/>
          <w:sz w:val="24"/>
          <w:szCs w:val="24"/>
        </w:rPr>
        <w:t xml:space="preserve">The emerging theme of complaints relating to discharge </w:t>
      </w:r>
      <w:r>
        <w:rPr>
          <w:rFonts w:cstheme="minorHAnsi"/>
          <w:sz w:val="24"/>
          <w:szCs w:val="24"/>
        </w:rPr>
        <w:t xml:space="preserve">in June </w:t>
      </w:r>
      <w:r w:rsidRPr="00CC7625">
        <w:rPr>
          <w:rFonts w:cstheme="minorHAnsi"/>
          <w:sz w:val="24"/>
          <w:szCs w:val="24"/>
        </w:rPr>
        <w:t xml:space="preserve">decreased </w:t>
      </w:r>
      <w:r>
        <w:rPr>
          <w:rFonts w:cstheme="minorHAnsi"/>
          <w:sz w:val="24"/>
          <w:szCs w:val="24"/>
        </w:rPr>
        <w:t>in July with</w:t>
      </w:r>
      <w:r w:rsidRPr="00CC7625">
        <w:rPr>
          <w:rFonts w:cstheme="minorHAnsi"/>
          <w:sz w:val="24"/>
          <w:szCs w:val="24"/>
        </w:rPr>
        <w:t xml:space="preserve"> 4 complaints received. Concerns however were raised relating to the appropriateness of a discharge plan for a patient with dementia. Three complaints highlighted that the family had not been kept informed of the discharge plan when it was changed. Further concerns were raised relating to appropriate assessment and the clothing a patient was sent home in. A new discharge policy has been developed and is now being followed. There is great focus on safe and appropriate discharge.</w:t>
      </w:r>
    </w:p>
    <w:p w:rsidR="0082453D" w:rsidRPr="00CC7625" w:rsidRDefault="0082453D" w:rsidP="0082453D">
      <w:pPr>
        <w:pStyle w:val="ListParagraph"/>
        <w:spacing w:after="100" w:afterAutospacing="1" w:line="240" w:lineRule="auto"/>
        <w:ind w:left="0"/>
        <w:jc w:val="both"/>
        <w:rPr>
          <w:rFonts w:cstheme="minorHAnsi"/>
          <w:sz w:val="24"/>
          <w:szCs w:val="24"/>
        </w:rPr>
      </w:pPr>
      <w:r w:rsidRPr="00CC7625">
        <w:rPr>
          <w:rFonts w:cstheme="minorHAnsi"/>
          <w:sz w:val="24"/>
          <w:szCs w:val="24"/>
        </w:rPr>
        <w:lastRenderedPageBreak/>
        <w:t xml:space="preserve">There was an increase in the number of complaints highlighting dignity as a concern, 4 complaints were received. The complaints were received in 4 different areas and related to a range of staff: Clinicians, Nursing staff, Cardiology Specialist. The Trust Lead for dignity has been made aware of each complaint and </w:t>
      </w:r>
      <w:r>
        <w:rPr>
          <w:rFonts w:cstheme="minorHAnsi"/>
          <w:sz w:val="24"/>
          <w:szCs w:val="24"/>
        </w:rPr>
        <w:t>will</w:t>
      </w:r>
      <w:r w:rsidRPr="00CC7625">
        <w:rPr>
          <w:rFonts w:cstheme="minorHAnsi"/>
          <w:sz w:val="24"/>
          <w:szCs w:val="24"/>
        </w:rPr>
        <w:t xml:space="preserve"> review any emerging themes with the Dignity Champions across the Trust. The patient feedback received through the exit card continues to be positive; in May 99% and in June 96.2% patients felt that they had been treated with dignity and respect. </w:t>
      </w:r>
    </w:p>
    <w:p w:rsidR="0082453D" w:rsidRPr="00CC7625" w:rsidRDefault="0082453D" w:rsidP="0082453D">
      <w:pPr>
        <w:spacing w:after="100" w:afterAutospacing="1" w:line="240" w:lineRule="auto"/>
        <w:jc w:val="both"/>
        <w:rPr>
          <w:rFonts w:cstheme="minorHAnsi"/>
          <w:sz w:val="24"/>
          <w:szCs w:val="24"/>
        </w:rPr>
      </w:pPr>
      <w:r w:rsidRPr="00CC7625">
        <w:rPr>
          <w:rFonts w:cstheme="minorHAnsi"/>
          <w:sz w:val="24"/>
          <w:szCs w:val="24"/>
        </w:rPr>
        <w:t xml:space="preserve">The number of complaints linked to the attitude of staff was the highest since March 2014. In each case the staff member was perceived as being abrupt and insensitive by either the patient or a member of their family. Complaints were received over </w:t>
      </w:r>
      <w:r>
        <w:rPr>
          <w:rFonts w:cstheme="minorHAnsi"/>
          <w:sz w:val="24"/>
          <w:szCs w:val="24"/>
        </w:rPr>
        <w:t xml:space="preserve">four </w:t>
      </w:r>
      <w:r w:rsidRPr="00CC7625">
        <w:rPr>
          <w:rFonts w:cstheme="minorHAnsi"/>
          <w:sz w:val="24"/>
          <w:szCs w:val="24"/>
        </w:rPr>
        <w:t xml:space="preserve">different areas; Clinicians were mentioned </w:t>
      </w:r>
      <w:r>
        <w:rPr>
          <w:rFonts w:cstheme="minorHAnsi"/>
          <w:sz w:val="24"/>
          <w:szCs w:val="24"/>
        </w:rPr>
        <w:t xml:space="preserve">in two </w:t>
      </w:r>
      <w:r w:rsidRPr="00CC7625">
        <w:rPr>
          <w:rFonts w:cstheme="minorHAnsi"/>
          <w:sz w:val="24"/>
          <w:szCs w:val="24"/>
        </w:rPr>
        <w:t>complaints, other staff mentioned were a secretary, a physiotherapist and a ward sister. Each of these complaints related to individual’s behaviour has been address with the individuals concerned by their line manager.</w:t>
      </w:r>
    </w:p>
    <w:p w:rsidR="00025DAD" w:rsidRDefault="003C592B" w:rsidP="00025DAD">
      <w:pPr>
        <w:jc w:val="both"/>
        <w:rPr>
          <w:sz w:val="24"/>
          <w:szCs w:val="24"/>
        </w:rPr>
      </w:pPr>
      <w:r>
        <w:rPr>
          <w:i/>
          <w:sz w:val="24"/>
          <w:szCs w:val="24"/>
        </w:rPr>
        <w:t>Figure 12</w:t>
      </w:r>
      <w:r w:rsidR="00025DAD" w:rsidRPr="00005333">
        <w:rPr>
          <w:i/>
          <w:sz w:val="24"/>
          <w:szCs w:val="24"/>
        </w:rPr>
        <w:t xml:space="preserve"> </w:t>
      </w:r>
      <w:r w:rsidR="00025DAD" w:rsidRPr="00005333">
        <w:rPr>
          <w:sz w:val="24"/>
          <w:szCs w:val="24"/>
        </w:rPr>
        <w:t>depicts the key themes identified from complaints in June and July.</w:t>
      </w:r>
    </w:p>
    <w:p w:rsidR="00025DAD" w:rsidRPr="000C3924" w:rsidRDefault="003C592B" w:rsidP="00025DAD">
      <w:pPr>
        <w:rPr>
          <w:rFonts w:cstheme="minorHAnsi"/>
          <w:b/>
        </w:rPr>
      </w:pPr>
      <w:r>
        <w:rPr>
          <w:rFonts w:cstheme="minorHAnsi"/>
          <w:b/>
        </w:rPr>
        <w:t>Figure 12</w:t>
      </w:r>
      <w:r w:rsidR="00025DAD" w:rsidRPr="000C3924">
        <w:rPr>
          <w:rFonts w:cstheme="minorHAnsi"/>
          <w:b/>
        </w:rPr>
        <w:t>:</w:t>
      </w:r>
    </w:p>
    <w:p w:rsidR="00025DAD" w:rsidRPr="00976874" w:rsidRDefault="00025DAD" w:rsidP="00C62D6A">
      <w:pPr>
        <w:jc w:val="center"/>
        <w:rPr>
          <w:rFonts w:cstheme="minorHAnsi"/>
          <w:szCs w:val="20"/>
          <w:highlight w:val="yellow"/>
        </w:rPr>
        <w:sectPr w:rsidR="00025DAD" w:rsidRPr="00976874" w:rsidSect="00CE7C0C">
          <w:pgSz w:w="11906" w:h="16838"/>
          <w:pgMar w:top="720" w:right="720" w:bottom="720" w:left="720" w:header="708" w:footer="708" w:gutter="0"/>
          <w:cols w:space="708"/>
          <w:docGrid w:linePitch="360"/>
        </w:sectPr>
      </w:pPr>
      <w:r w:rsidRPr="00025DAD">
        <w:rPr>
          <w:rFonts w:cstheme="minorHAnsi"/>
          <w:noProof/>
          <w:szCs w:val="20"/>
        </w:rPr>
        <w:drawing>
          <wp:inline distT="0" distB="0" distL="0" distR="0">
            <wp:extent cx="5560828" cy="2945044"/>
            <wp:effectExtent l="19050" t="0" r="1772" b="0"/>
            <wp:docPr id="1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5566639" cy="2948122"/>
                    </a:xfrm>
                    <a:prstGeom prst="rect">
                      <a:avLst/>
                    </a:prstGeom>
                    <a:noFill/>
                    <a:ln w="9525">
                      <a:noFill/>
                      <a:miter lim="800000"/>
                      <a:headEnd/>
                      <a:tailEnd/>
                    </a:ln>
                  </pic:spPr>
                </pic:pic>
              </a:graphicData>
            </a:graphic>
          </wp:inline>
        </w:drawing>
      </w:r>
    </w:p>
    <w:p w:rsidR="00AD0CB6" w:rsidRPr="000C3924" w:rsidRDefault="003C592B" w:rsidP="000C3924">
      <w:pPr>
        <w:spacing w:after="100" w:afterAutospacing="1"/>
        <w:jc w:val="both"/>
        <w:rPr>
          <w:b/>
          <w:sz w:val="20"/>
          <w:u w:val="single"/>
        </w:rPr>
      </w:pPr>
      <w:r>
        <w:rPr>
          <w:b/>
        </w:rPr>
        <w:lastRenderedPageBreak/>
        <w:t>Figure 13</w:t>
      </w:r>
      <w:r w:rsidR="00A868C1" w:rsidRPr="00936F3B">
        <w:rPr>
          <w:b/>
        </w:rPr>
        <w:t>:</w:t>
      </w:r>
    </w:p>
    <w:p w:rsidR="00936F3B" w:rsidRPr="00976874" w:rsidRDefault="00936F3B" w:rsidP="00A868C1">
      <w:pPr>
        <w:jc w:val="center"/>
        <w:rPr>
          <w:rFonts w:cstheme="minorHAnsi"/>
          <w:szCs w:val="20"/>
          <w:highlight w:val="yellow"/>
        </w:rPr>
        <w:sectPr w:rsidR="00936F3B" w:rsidRPr="00976874" w:rsidSect="00500D36">
          <w:pgSz w:w="16838" w:h="11906" w:orient="landscape"/>
          <w:pgMar w:top="720" w:right="720" w:bottom="720" w:left="720" w:header="708" w:footer="708" w:gutter="0"/>
          <w:cols w:space="708"/>
          <w:docGrid w:linePitch="360"/>
        </w:sectPr>
      </w:pPr>
      <w:r w:rsidRPr="00936F3B">
        <w:rPr>
          <w:noProof/>
        </w:rPr>
        <w:drawing>
          <wp:inline distT="0" distB="0" distL="0" distR="0">
            <wp:extent cx="8714253" cy="4601499"/>
            <wp:effectExtent l="19050" t="0" r="0" b="0"/>
            <wp:docPr id="3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8733448" cy="4611635"/>
                    </a:xfrm>
                    <a:prstGeom prst="rect">
                      <a:avLst/>
                    </a:prstGeom>
                  </pic:spPr>
                </pic:pic>
              </a:graphicData>
            </a:graphic>
          </wp:inline>
        </w:drawing>
      </w:r>
    </w:p>
    <w:p w:rsidR="00FB37D8" w:rsidRPr="00FB37D8" w:rsidRDefault="00FB37D8" w:rsidP="00FB37D8">
      <w:pPr>
        <w:spacing w:after="100" w:afterAutospacing="1"/>
        <w:jc w:val="both"/>
        <w:rPr>
          <w:rFonts w:cstheme="minorHAnsi"/>
          <w:sz w:val="24"/>
          <w:szCs w:val="24"/>
          <w:highlight w:val="yellow"/>
        </w:rPr>
      </w:pPr>
    </w:p>
    <w:p w:rsidR="00B66A3E" w:rsidRPr="000C3924" w:rsidRDefault="007924BE" w:rsidP="000C3924">
      <w:pPr>
        <w:rPr>
          <w:rFonts w:asciiTheme="majorHAnsi" w:eastAsiaTheme="majorEastAsia" w:hAnsiTheme="majorHAnsi" w:cstheme="majorHAnsi"/>
          <w:b/>
          <w:bCs/>
          <w:color w:val="21798E" w:themeColor="accent1" w:themeShade="BF"/>
          <w:highlight w:val="yellow"/>
        </w:rPr>
      </w:pPr>
      <w:bookmarkStart w:id="24" w:name="_Toc365455637"/>
      <w:bookmarkStart w:id="25" w:name="_Toc381084858"/>
      <w:r w:rsidRPr="00025DAD">
        <w:rPr>
          <w:rFonts w:asciiTheme="majorHAnsi" w:hAnsiTheme="majorHAnsi" w:cstheme="majorHAnsi"/>
          <w:b/>
          <w:color w:val="21798E" w:themeColor="accent1" w:themeShade="BF"/>
          <w:sz w:val="24"/>
        </w:rPr>
        <w:t>2.7</w:t>
      </w:r>
      <w:r w:rsidR="00B66A3E" w:rsidRPr="00025DAD">
        <w:rPr>
          <w:rFonts w:asciiTheme="majorHAnsi" w:hAnsiTheme="majorHAnsi" w:cstheme="majorHAnsi"/>
          <w:b/>
          <w:color w:val="21798E" w:themeColor="accent1" w:themeShade="BF"/>
          <w:sz w:val="24"/>
        </w:rPr>
        <w:t>.2 Compliments</w:t>
      </w:r>
      <w:bookmarkEnd w:id="24"/>
      <w:bookmarkEnd w:id="25"/>
      <w:r w:rsidR="00B66A3E" w:rsidRPr="00025DAD">
        <w:rPr>
          <w:rFonts w:asciiTheme="majorHAnsi" w:hAnsiTheme="majorHAnsi" w:cstheme="majorHAnsi"/>
          <w:b/>
          <w:color w:val="21798E" w:themeColor="accent1" w:themeShade="BF"/>
          <w:sz w:val="24"/>
        </w:rPr>
        <w:t xml:space="preserve">   </w:t>
      </w:r>
      <w:r w:rsidR="00B66A3E" w:rsidRPr="005803C7">
        <w:tab/>
      </w:r>
      <w:r w:rsidR="00B66A3E" w:rsidRPr="005803C7">
        <w:tab/>
      </w:r>
      <w:r w:rsidR="00B66A3E" w:rsidRPr="005803C7">
        <w:tab/>
      </w:r>
      <w:r w:rsidR="00B66A3E" w:rsidRPr="005803C7">
        <w:tab/>
      </w:r>
      <w:r w:rsidR="00B66A3E" w:rsidRPr="005803C7">
        <w:tab/>
      </w:r>
      <w:r w:rsidR="00B66A3E" w:rsidRPr="005803C7">
        <w:tab/>
      </w:r>
      <w:r w:rsidR="00B66A3E" w:rsidRPr="005803C7">
        <w:tab/>
      </w:r>
      <w:r w:rsidR="00B66A3E" w:rsidRPr="005803C7">
        <w:tab/>
      </w:r>
      <w:r w:rsidR="00B66A3E" w:rsidRPr="005803C7">
        <w:tab/>
      </w:r>
      <w:r w:rsidR="00B66A3E" w:rsidRPr="005803C7">
        <w:tab/>
      </w:r>
    </w:p>
    <w:p w:rsidR="002F7473" w:rsidRPr="00964CA2" w:rsidRDefault="002F7473" w:rsidP="002F7473">
      <w:pPr>
        <w:jc w:val="both"/>
        <w:rPr>
          <w:rFonts w:cstheme="minorHAnsi"/>
        </w:rPr>
      </w:pPr>
      <w:bookmarkStart w:id="26" w:name="_Toc381084859"/>
      <w:r w:rsidRPr="00964CA2">
        <w:rPr>
          <w:rFonts w:cstheme="minorHAnsi"/>
        </w:rPr>
        <w:t xml:space="preserve">The number of compliments received in </w:t>
      </w:r>
      <w:r w:rsidRPr="00CA3628">
        <w:rPr>
          <w:rFonts w:cstheme="minorHAnsi"/>
        </w:rPr>
        <w:t>Ju</w:t>
      </w:r>
      <w:r>
        <w:rPr>
          <w:rFonts w:cstheme="minorHAnsi"/>
        </w:rPr>
        <w:t>ly</w:t>
      </w:r>
      <w:r w:rsidRPr="00CA3628">
        <w:rPr>
          <w:rFonts w:cstheme="minorHAnsi"/>
        </w:rPr>
        <w:t xml:space="preserve"> was </w:t>
      </w:r>
      <w:r>
        <w:rPr>
          <w:rFonts w:cstheme="minorHAnsi"/>
        </w:rPr>
        <w:t>89</w:t>
      </w:r>
      <w:r w:rsidRPr="00CA3628">
        <w:rPr>
          <w:rFonts w:cstheme="minorHAnsi"/>
        </w:rPr>
        <w:t>.</w:t>
      </w:r>
      <w:r w:rsidRPr="00964CA2">
        <w:rPr>
          <w:rFonts w:cstheme="minorHAnsi"/>
        </w:rPr>
        <w:t xml:space="preserve"> A new system of reporting and recording this information has now been introduced.  </w:t>
      </w:r>
    </w:p>
    <w:p w:rsidR="002F7473" w:rsidRPr="00964CA2" w:rsidRDefault="002F7473" w:rsidP="002F7473">
      <w:pPr>
        <w:jc w:val="both"/>
        <w:rPr>
          <w:rFonts w:cstheme="minorHAnsi"/>
          <w:color w:val="FF0000"/>
        </w:rPr>
      </w:pPr>
      <w:r w:rsidRPr="00964CA2">
        <w:rPr>
          <w:rFonts w:cstheme="minorHAnsi"/>
        </w:rPr>
        <w:t xml:space="preserve">The Compliments formally recorded are received via email or letter. </w:t>
      </w:r>
      <w:r w:rsidR="00DF3238" w:rsidRPr="00DF3238">
        <w:rPr>
          <w:rFonts w:cstheme="minorHAnsi"/>
          <w:i/>
        </w:rPr>
        <w:t>Figure</w:t>
      </w:r>
      <w:r w:rsidRPr="00DF3238">
        <w:rPr>
          <w:rFonts w:cstheme="minorHAnsi"/>
          <w:i/>
        </w:rPr>
        <w:t xml:space="preserve"> 14</w:t>
      </w:r>
      <w:r w:rsidRPr="00964CA2">
        <w:rPr>
          <w:rFonts w:cstheme="minorHAnsi"/>
        </w:rPr>
        <w:t xml:space="preserve"> depicts three examples of compliments received by the Trust in June. Where appropriate each compliment receives a letter to thank the individual for taking time to comment. </w:t>
      </w:r>
    </w:p>
    <w:p w:rsidR="005803C7" w:rsidRPr="003C592B" w:rsidRDefault="00DF3238" w:rsidP="005803C7">
      <w:pPr>
        <w:jc w:val="both"/>
        <w:rPr>
          <w:rFonts w:cstheme="minorHAnsi"/>
          <w:b/>
        </w:rPr>
      </w:pPr>
      <w:r>
        <w:rPr>
          <w:rFonts w:cstheme="minorHAnsi"/>
          <w:b/>
        </w:rPr>
        <w:t>Figure</w:t>
      </w:r>
      <w:r w:rsidR="005613CF" w:rsidRPr="003C592B">
        <w:rPr>
          <w:rFonts w:cstheme="minorHAnsi"/>
          <w:b/>
        </w:rPr>
        <w:t xml:space="preserve"> 14</w:t>
      </w:r>
      <w:r w:rsidR="005803C7" w:rsidRPr="003C592B">
        <w:rPr>
          <w:rFonts w:cstheme="minorHAnsi"/>
          <w:b/>
        </w:rPr>
        <w:t>:</w:t>
      </w:r>
    </w:p>
    <w:tbl>
      <w:tblPr>
        <w:tblStyle w:val="LightGrid-Accent12"/>
        <w:tblW w:w="5000" w:type="pct"/>
        <w:jc w:val="center"/>
        <w:tblLook w:val="04A0"/>
      </w:tblPr>
      <w:tblGrid>
        <w:gridCol w:w="2164"/>
        <w:gridCol w:w="8518"/>
      </w:tblGrid>
      <w:tr w:rsidR="005803C7" w:rsidRPr="00964CA2" w:rsidTr="000C3924">
        <w:trPr>
          <w:cnfStyle w:val="100000000000"/>
          <w:trHeight w:val="324"/>
          <w:jc w:val="center"/>
        </w:trPr>
        <w:tc>
          <w:tcPr>
            <w:cnfStyle w:val="001000000000"/>
            <w:tcW w:w="5000" w:type="pct"/>
            <w:gridSpan w:val="2"/>
          </w:tcPr>
          <w:p w:rsidR="005803C7" w:rsidRPr="00964CA2" w:rsidRDefault="005803C7" w:rsidP="0059689B">
            <w:pPr>
              <w:jc w:val="center"/>
              <w:rPr>
                <w:rFonts w:asciiTheme="minorHAnsi" w:hAnsiTheme="minorHAnsi" w:cstheme="minorHAnsi"/>
              </w:rPr>
            </w:pPr>
            <w:r w:rsidRPr="00964CA2">
              <w:rPr>
                <w:rFonts w:asciiTheme="minorHAnsi" w:hAnsiTheme="minorHAnsi" w:cstheme="minorHAnsi"/>
              </w:rPr>
              <w:t>COMPLIMENTS</w:t>
            </w:r>
          </w:p>
        </w:tc>
      </w:tr>
      <w:tr w:rsidR="002F7473" w:rsidRPr="00964CA2" w:rsidTr="000C3924">
        <w:trPr>
          <w:cnfStyle w:val="000000100000"/>
          <w:trHeight w:val="1534"/>
          <w:jc w:val="center"/>
        </w:trPr>
        <w:tc>
          <w:tcPr>
            <w:cnfStyle w:val="001000000000"/>
            <w:tcW w:w="1013" w:type="pct"/>
            <w:vAlign w:val="center"/>
          </w:tcPr>
          <w:p w:rsidR="002F7473" w:rsidRPr="00964CA2" w:rsidRDefault="002F7473" w:rsidP="002F7473">
            <w:pPr>
              <w:pStyle w:val="PlainText"/>
              <w:jc w:val="center"/>
              <w:rPr>
                <w:rFonts w:asciiTheme="minorHAnsi" w:hAnsiTheme="minorHAnsi" w:cstheme="minorHAnsi"/>
                <w:sz w:val="22"/>
                <w:szCs w:val="22"/>
              </w:rPr>
            </w:pPr>
            <w:r w:rsidRPr="00964CA2">
              <w:rPr>
                <w:rFonts w:asciiTheme="minorHAnsi" w:hAnsiTheme="minorHAnsi" w:cstheme="minorHAnsi"/>
                <w:sz w:val="22"/>
                <w:szCs w:val="22"/>
              </w:rPr>
              <w:t xml:space="preserve">A thank you from </w:t>
            </w:r>
            <w:r>
              <w:rPr>
                <w:rFonts w:asciiTheme="minorHAnsi" w:hAnsiTheme="minorHAnsi" w:cstheme="minorHAnsi"/>
                <w:sz w:val="22"/>
                <w:szCs w:val="22"/>
              </w:rPr>
              <w:t>the wife of a patient who died whilst in Hospital</w:t>
            </w:r>
          </w:p>
        </w:tc>
        <w:tc>
          <w:tcPr>
            <w:tcW w:w="3987" w:type="pct"/>
            <w:vAlign w:val="center"/>
          </w:tcPr>
          <w:p w:rsidR="002F7473" w:rsidRDefault="002F7473" w:rsidP="002F7473">
            <w:pPr>
              <w:pStyle w:val="PlainText"/>
              <w:jc w:val="center"/>
              <w:cnfStyle w:val="000000100000"/>
              <w:rPr>
                <w:rFonts w:asciiTheme="minorHAnsi" w:hAnsiTheme="minorHAnsi" w:cstheme="minorHAnsi"/>
                <w:color w:val="0070C0"/>
                <w:sz w:val="22"/>
                <w:szCs w:val="22"/>
              </w:rPr>
            </w:pPr>
            <w:r>
              <w:rPr>
                <w:rFonts w:asciiTheme="minorHAnsi" w:hAnsiTheme="minorHAnsi" w:cstheme="minorHAnsi"/>
                <w:color w:val="0070C0"/>
                <w:sz w:val="22"/>
                <w:szCs w:val="22"/>
              </w:rPr>
              <w:t>I am writing to say what excellent care was given to my late husband over the weekend 13 June 2014. From the paramedics to casualty, to MAU where the staff were wonderful. A special mention for the doctor and nurse who were with my husband when he passed away.</w:t>
            </w:r>
          </w:p>
          <w:p w:rsidR="002F7473" w:rsidRDefault="002F7473" w:rsidP="002F7473">
            <w:pPr>
              <w:pStyle w:val="PlainText"/>
              <w:jc w:val="center"/>
              <w:cnfStyle w:val="000000100000"/>
              <w:rPr>
                <w:rFonts w:asciiTheme="minorHAnsi" w:hAnsiTheme="minorHAnsi" w:cstheme="minorHAnsi"/>
                <w:color w:val="0070C0"/>
                <w:sz w:val="22"/>
                <w:szCs w:val="22"/>
              </w:rPr>
            </w:pPr>
            <w:r>
              <w:rPr>
                <w:rFonts w:asciiTheme="minorHAnsi" w:hAnsiTheme="minorHAnsi" w:cstheme="minorHAnsi"/>
                <w:color w:val="0070C0"/>
                <w:sz w:val="22"/>
                <w:szCs w:val="22"/>
              </w:rPr>
              <w:t>The care continued for me and my family right through to the bereavement services.</w:t>
            </w:r>
          </w:p>
          <w:p w:rsidR="002F7473" w:rsidRPr="009A2B90" w:rsidRDefault="002F7473" w:rsidP="002F7473">
            <w:pPr>
              <w:pStyle w:val="PlainText"/>
              <w:jc w:val="center"/>
              <w:cnfStyle w:val="000000100000"/>
              <w:rPr>
                <w:rFonts w:asciiTheme="minorHAnsi" w:hAnsiTheme="minorHAnsi" w:cstheme="minorHAnsi"/>
                <w:color w:val="0070C0"/>
                <w:sz w:val="22"/>
                <w:szCs w:val="22"/>
              </w:rPr>
            </w:pPr>
            <w:r>
              <w:rPr>
                <w:rFonts w:asciiTheme="minorHAnsi" w:hAnsiTheme="minorHAnsi" w:cstheme="minorHAnsi"/>
                <w:color w:val="0070C0"/>
                <w:sz w:val="22"/>
                <w:szCs w:val="22"/>
              </w:rPr>
              <w:t>I would also like to mention the Oncology Unit where my husband has received treatment over the past few years. A fantastic team, we have felt among friends and in very safe hands.</w:t>
            </w:r>
          </w:p>
        </w:tc>
      </w:tr>
      <w:tr w:rsidR="002F7473" w:rsidRPr="00964CA2" w:rsidTr="000C3924">
        <w:trPr>
          <w:cnfStyle w:val="000000010000"/>
          <w:jc w:val="center"/>
        </w:trPr>
        <w:tc>
          <w:tcPr>
            <w:cnfStyle w:val="001000000000"/>
            <w:tcW w:w="1013" w:type="pct"/>
            <w:vAlign w:val="center"/>
          </w:tcPr>
          <w:p w:rsidR="002F7473" w:rsidRPr="00964CA2" w:rsidRDefault="002F7473" w:rsidP="002F7473">
            <w:pPr>
              <w:jc w:val="center"/>
              <w:rPr>
                <w:rFonts w:asciiTheme="minorHAnsi" w:hAnsiTheme="minorHAnsi" w:cstheme="minorHAnsi"/>
                <w:color w:val="0033CC"/>
              </w:rPr>
            </w:pPr>
            <w:r w:rsidRPr="00964CA2">
              <w:rPr>
                <w:rFonts w:asciiTheme="minorHAnsi" w:hAnsiTheme="minorHAnsi" w:cstheme="minorHAnsi"/>
                <w:color w:val="0033CC"/>
              </w:rPr>
              <w:t xml:space="preserve">A thank you from </w:t>
            </w:r>
            <w:r>
              <w:rPr>
                <w:rFonts w:asciiTheme="minorHAnsi" w:hAnsiTheme="minorHAnsi" w:cstheme="minorHAnsi"/>
                <w:color w:val="0033CC"/>
              </w:rPr>
              <w:t xml:space="preserve">the family of </w:t>
            </w:r>
            <w:r w:rsidRPr="00964CA2">
              <w:rPr>
                <w:rFonts w:asciiTheme="minorHAnsi" w:hAnsiTheme="minorHAnsi" w:cstheme="minorHAnsi"/>
                <w:color w:val="0033CC"/>
              </w:rPr>
              <w:t>a</w:t>
            </w:r>
            <w:r>
              <w:rPr>
                <w:rFonts w:asciiTheme="minorHAnsi" w:hAnsiTheme="minorHAnsi" w:cstheme="minorHAnsi"/>
                <w:color w:val="0033CC"/>
              </w:rPr>
              <w:t xml:space="preserve"> </w:t>
            </w:r>
            <w:r w:rsidRPr="00964CA2">
              <w:rPr>
                <w:rFonts w:asciiTheme="minorHAnsi" w:hAnsiTheme="minorHAnsi" w:cstheme="minorHAnsi"/>
                <w:color w:val="0033CC"/>
              </w:rPr>
              <w:t xml:space="preserve"> patient</w:t>
            </w:r>
            <w:r>
              <w:rPr>
                <w:rFonts w:asciiTheme="minorHAnsi" w:hAnsiTheme="minorHAnsi" w:cstheme="minorHAnsi"/>
                <w:color w:val="0033CC"/>
              </w:rPr>
              <w:t xml:space="preserve"> with severe dementia</w:t>
            </w:r>
          </w:p>
        </w:tc>
        <w:tc>
          <w:tcPr>
            <w:tcW w:w="3987" w:type="pct"/>
            <w:vAlign w:val="center"/>
          </w:tcPr>
          <w:p w:rsidR="002F7473" w:rsidRDefault="002F7473" w:rsidP="002F7473">
            <w:pPr>
              <w:jc w:val="center"/>
              <w:cnfStyle w:val="000000010000"/>
              <w:rPr>
                <w:rFonts w:cstheme="minorHAnsi"/>
                <w:color w:val="0070C0"/>
              </w:rPr>
            </w:pPr>
            <w:r>
              <w:rPr>
                <w:rFonts w:cstheme="minorHAnsi"/>
                <w:color w:val="0070C0"/>
              </w:rPr>
              <w:t>I am writing to thank staff for their very impressive and effective help to my father at the hospital this year. He has severe dementia and needed urgent attention to reinsert a catheter. He became agitated at reception and would not cooperate with the triage process. I walked him around the grounds; staff understood the difficulty, kept in touch with me on my mobile and admitted him to a booth and inserted a catheter. It was not immediate but I recognise how many pressures are on the Unit. However once in the department a new catheter was quickly inserted. This could have been very problematic and risky. If there had been a significant delay to the bay he could have become aggressive due to his extreme anxiety, but the team quickly gathered and got the job done.</w:t>
            </w:r>
          </w:p>
          <w:p w:rsidR="002F7473" w:rsidRDefault="002F7473" w:rsidP="002F7473">
            <w:pPr>
              <w:jc w:val="center"/>
              <w:cnfStyle w:val="000000010000"/>
              <w:rPr>
                <w:rFonts w:cstheme="minorHAnsi"/>
                <w:color w:val="0070C0"/>
              </w:rPr>
            </w:pPr>
            <w:r>
              <w:rPr>
                <w:rFonts w:cstheme="minorHAnsi"/>
                <w:color w:val="0070C0"/>
              </w:rPr>
              <w:t>He was also an inpatient for nearly a week just prior to Easter and I thought I should also include my thanks for the support that he and the family received then. Staff were attentive to his needs, and very good at communicating the key messages regarding his treatment to us. They didn’t just wait to be asked and were sensitive to our concerns and anxieties. They were also very good with him.</w:t>
            </w:r>
          </w:p>
          <w:p w:rsidR="005F572A" w:rsidRDefault="005F572A" w:rsidP="002F7473">
            <w:pPr>
              <w:jc w:val="center"/>
              <w:cnfStyle w:val="000000010000"/>
              <w:rPr>
                <w:rFonts w:cstheme="minorHAnsi"/>
                <w:color w:val="0070C0"/>
              </w:rPr>
            </w:pPr>
          </w:p>
          <w:p w:rsidR="005F572A" w:rsidRPr="009A2B90" w:rsidRDefault="005F572A" w:rsidP="002F7473">
            <w:pPr>
              <w:jc w:val="center"/>
              <w:cnfStyle w:val="000000010000"/>
              <w:rPr>
                <w:rFonts w:cstheme="minorHAnsi"/>
                <w:color w:val="0070C0"/>
              </w:rPr>
            </w:pPr>
          </w:p>
        </w:tc>
      </w:tr>
      <w:tr w:rsidR="002F7473" w:rsidRPr="00964CA2" w:rsidTr="000C3924">
        <w:trPr>
          <w:cnfStyle w:val="000000100000"/>
          <w:jc w:val="center"/>
        </w:trPr>
        <w:tc>
          <w:tcPr>
            <w:cnfStyle w:val="001000000000"/>
            <w:tcW w:w="1013" w:type="pct"/>
            <w:vAlign w:val="center"/>
          </w:tcPr>
          <w:p w:rsidR="002F7473" w:rsidRDefault="002F7473" w:rsidP="002F7473">
            <w:pPr>
              <w:pStyle w:val="PlainText"/>
              <w:jc w:val="center"/>
              <w:rPr>
                <w:rFonts w:asciiTheme="minorHAnsi" w:hAnsiTheme="minorHAnsi" w:cstheme="minorHAnsi"/>
                <w:color w:val="0033CC"/>
                <w:sz w:val="22"/>
                <w:szCs w:val="22"/>
              </w:rPr>
            </w:pPr>
          </w:p>
          <w:p w:rsidR="002F7473" w:rsidRPr="00964CA2" w:rsidRDefault="002F7473" w:rsidP="002F7473">
            <w:pPr>
              <w:pStyle w:val="PlainText"/>
              <w:jc w:val="center"/>
              <w:rPr>
                <w:rFonts w:asciiTheme="minorHAnsi" w:hAnsiTheme="minorHAnsi" w:cstheme="minorHAnsi"/>
                <w:color w:val="0033CC"/>
                <w:sz w:val="22"/>
                <w:szCs w:val="22"/>
              </w:rPr>
            </w:pPr>
            <w:r w:rsidRPr="00964CA2">
              <w:rPr>
                <w:rFonts w:asciiTheme="minorHAnsi" w:hAnsiTheme="minorHAnsi" w:cstheme="minorHAnsi"/>
                <w:color w:val="0033CC"/>
                <w:sz w:val="22"/>
                <w:szCs w:val="22"/>
              </w:rPr>
              <w:t>A thank you from a patient</w:t>
            </w:r>
            <w:r>
              <w:rPr>
                <w:rFonts w:asciiTheme="minorHAnsi" w:hAnsiTheme="minorHAnsi" w:cstheme="minorHAnsi"/>
                <w:color w:val="0033CC"/>
                <w:sz w:val="22"/>
                <w:szCs w:val="22"/>
              </w:rPr>
              <w:t xml:space="preserve"> who has been an inpatient on two occasions</w:t>
            </w:r>
          </w:p>
        </w:tc>
        <w:tc>
          <w:tcPr>
            <w:tcW w:w="3987" w:type="pct"/>
            <w:vAlign w:val="center"/>
          </w:tcPr>
          <w:p w:rsidR="002F7473" w:rsidRDefault="002F7473" w:rsidP="002F7473">
            <w:pPr>
              <w:pStyle w:val="PlainText"/>
              <w:jc w:val="center"/>
              <w:cnfStyle w:val="000000100000"/>
              <w:rPr>
                <w:rFonts w:asciiTheme="minorHAnsi" w:hAnsiTheme="minorHAnsi" w:cstheme="minorHAnsi"/>
                <w:color w:val="0070C0"/>
                <w:sz w:val="22"/>
                <w:szCs w:val="22"/>
              </w:rPr>
            </w:pPr>
            <w:r>
              <w:rPr>
                <w:rFonts w:asciiTheme="minorHAnsi" w:hAnsiTheme="minorHAnsi" w:cstheme="minorHAnsi"/>
                <w:color w:val="0070C0"/>
                <w:sz w:val="22"/>
                <w:szCs w:val="22"/>
              </w:rPr>
              <w:t>I recently spent two spells of four weeks and three weeks in Weston General Hospital. The first was under the care of a Consultant on Hutton ward and the second under the care of a different Consultant on West Harptree ward.</w:t>
            </w:r>
          </w:p>
          <w:p w:rsidR="002F7473" w:rsidRDefault="002F7473" w:rsidP="002F7473">
            <w:pPr>
              <w:pStyle w:val="PlainText"/>
              <w:jc w:val="center"/>
              <w:cnfStyle w:val="000000100000"/>
              <w:rPr>
                <w:rFonts w:asciiTheme="minorHAnsi" w:hAnsiTheme="minorHAnsi" w:cstheme="minorHAnsi"/>
                <w:color w:val="0070C0"/>
                <w:sz w:val="22"/>
                <w:szCs w:val="22"/>
              </w:rPr>
            </w:pPr>
            <w:r>
              <w:rPr>
                <w:rFonts w:asciiTheme="minorHAnsi" w:hAnsiTheme="minorHAnsi" w:cstheme="minorHAnsi"/>
                <w:color w:val="0070C0"/>
                <w:sz w:val="22"/>
                <w:szCs w:val="22"/>
              </w:rPr>
              <w:t>May I say in both instances the care, compassion and attention I received was exemplary. Not only that but the efficiency demonstrated throughout my stay was excellent. These statements encompass not only the Consultants and their respective teams but the nursing and cleaning staff which I found attentive and good humoured.</w:t>
            </w:r>
          </w:p>
          <w:p w:rsidR="002F7473" w:rsidRPr="009A2B90" w:rsidRDefault="002F7473" w:rsidP="002F7473">
            <w:pPr>
              <w:pStyle w:val="PlainText"/>
              <w:jc w:val="center"/>
              <w:cnfStyle w:val="000000100000"/>
              <w:rPr>
                <w:rFonts w:asciiTheme="minorHAnsi" w:hAnsiTheme="minorHAnsi" w:cstheme="minorHAnsi"/>
                <w:color w:val="0070C0"/>
                <w:sz w:val="22"/>
                <w:szCs w:val="22"/>
              </w:rPr>
            </w:pPr>
            <w:r>
              <w:rPr>
                <w:rFonts w:asciiTheme="minorHAnsi" w:hAnsiTheme="minorHAnsi" w:cstheme="minorHAnsi"/>
                <w:color w:val="0070C0"/>
                <w:sz w:val="22"/>
                <w:szCs w:val="22"/>
              </w:rPr>
              <w:t>I can only speak for a small number of your staff but I am confident this is reflected throughout your organisation. I believe we are very fortunate to have Weston General Hospital as our local hospital.</w:t>
            </w:r>
          </w:p>
        </w:tc>
      </w:tr>
    </w:tbl>
    <w:p w:rsidR="00265B12" w:rsidRPr="00976874" w:rsidRDefault="00265B12" w:rsidP="00834CE7">
      <w:pPr>
        <w:pStyle w:val="Heading2"/>
        <w:rPr>
          <w:sz w:val="28"/>
          <w:highlight w:val="yellow"/>
        </w:rPr>
      </w:pPr>
    </w:p>
    <w:p w:rsidR="00265B12" w:rsidRPr="00976874" w:rsidRDefault="00265B12" w:rsidP="00265B12">
      <w:pPr>
        <w:rPr>
          <w:rFonts w:asciiTheme="majorHAnsi" w:eastAsiaTheme="majorEastAsia" w:hAnsiTheme="majorHAnsi" w:cstheme="majorBidi"/>
          <w:color w:val="2DA2BF" w:themeColor="accent1"/>
          <w:szCs w:val="26"/>
          <w:highlight w:val="yellow"/>
        </w:rPr>
      </w:pPr>
      <w:r w:rsidRPr="00976874">
        <w:rPr>
          <w:highlight w:val="yellow"/>
        </w:rPr>
        <w:br w:type="page"/>
      </w:r>
    </w:p>
    <w:p w:rsidR="00834CE7" w:rsidRPr="006C26C4" w:rsidRDefault="007924BE" w:rsidP="00834CE7">
      <w:pPr>
        <w:pStyle w:val="Heading2"/>
        <w:rPr>
          <w:sz w:val="28"/>
        </w:rPr>
      </w:pPr>
      <w:r w:rsidRPr="006C26C4">
        <w:rPr>
          <w:sz w:val="28"/>
        </w:rPr>
        <w:lastRenderedPageBreak/>
        <w:t>2.8</w:t>
      </w:r>
      <w:r w:rsidR="00834CE7" w:rsidRPr="006C26C4">
        <w:rPr>
          <w:sz w:val="28"/>
        </w:rPr>
        <w:t xml:space="preserve"> Patient Feedback</w:t>
      </w:r>
      <w:bookmarkEnd w:id="26"/>
      <w:r w:rsidR="00834CE7" w:rsidRPr="006C26C4">
        <w:rPr>
          <w:sz w:val="28"/>
        </w:rPr>
        <w:t xml:space="preserve"> </w:t>
      </w:r>
    </w:p>
    <w:p w:rsidR="005F572A" w:rsidRPr="006C26C4" w:rsidRDefault="005F572A" w:rsidP="005F572A">
      <w:pPr>
        <w:jc w:val="both"/>
        <w:rPr>
          <w:sz w:val="24"/>
          <w:szCs w:val="24"/>
        </w:rPr>
      </w:pPr>
      <w:bookmarkStart w:id="27" w:name="_Toc381084860"/>
      <w:r w:rsidRPr="006C26C4">
        <w:rPr>
          <w:sz w:val="24"/>
          <w:szCs w:val="24"/>
        </w:rPr>
        <w:t>As a national requirement Weston Area Health NHS Trust is engaging in the delivery of the Friends and Family Test (FFT).  This test has been implemented successfully across all areas.  The Friends and Family Test is a single question survey which asks patients whether they would recommend the NHS service they have received to friends and family who need similar treatment or care. </w:t>
      </w:r>
    </w:p>
    <w:p w:rsidR="005F572A" w:rsidRPr="006C26C4" w:rsidRDefault="005F572A" w:rsidP="005F572A">
      <w:pPr>
        <w:jc w:val="both"/>
        <w:rPr>
          <w:sz w:val="24"/>
          <w:szCs w:val="24"/>
        </w:rPr>
      </w:pPr>
      <w:r w:rsidRPr="006C26C4">
        <w:rPr>
          <w:sz w:val="24"/>
          <w:szCs w:val="24"/>
        </w:rPr>
        <w:t xml:space="preserve">The Friends and Family Test is offered to all patients at the point of discharge and when patients attend the Emergency Department. </w:t>
      </w:r>
    </w:p>
    <w:p w:rsidR="005F572A" w:rsidRPr="006C26C4" w:rsidRDefault="005F572A" w:rsidP="005F572A">
      <w:pPr>
        <w:jc w:val="both"/>
        <w:rPr>
          <w:sz w:val="24"/>
          <w:szCs w:val="24"/>
        </w:rPr>
      </w:pPr>
      <w:r w:rsidRPr="006C26C4">
        <w:rPr>
          <w:sz w:val="24"/>
          <w:szCs w:val="24"/>
        </w:rPr>
        <w:t xml:space="preserve">Each Division and all wards receive a breakdown of the outcome of their survey results to ensure they can take relevant action to sustain improvements already made and proactively develop actions to deliver further improvement.  </w:t>
      </w:r>
      <w:r w:rsidRPr="005F572A">
        <w:rPr>
          <w:i/>
          <w:sz w:val="24"/>
          <w:szCs w:val="24"/>
        </w:rPr>
        <w:t>Figure 15</w:t>
      </w:r>
      <w:r w:rsidRPr="006C26C4">
        <w:rPr>
          <w:i/>
          <w:sz w:val="24"/>
          <w:szCs w:val="24"/>
        </w:rPr>
        <w:t xml:space="preserve"> </w:t>
      </w:r>
      <w:r w:rsidRPr="006C26C4">
        <w:rPr>
          <w:sz w:val="24"/>
          <w:szCs w:val="24"/>
        </w:rPr>
        <w:t xml:space="preserve">provides a detailed report of July’s Friends &amp; Family Test results. </w:t>
      </w:r>
    </w:p>
    <w:p w:rsidR="006C26C4" w:rsidRDefault="006C26C4" w:rsidP="006C26C4">
      <w:pPr>
        <w:rPr>
          <w:b/>
        </w:rPr>
      </w:pPr>
      <w:r w:rsidRPr="00AA6A74">
        <w:rPr>
          <w:b/>
        </w:rPr>
        <w:t>Figure 1</w:t>
      </w:r>
      <w:r w:rsidR="005A3E96">
        <w:rPr>
          <w:b/>
        </w:rPr>
        <w:t>5</w:t>
      </w:r>
      <w:r w:rsidRPr="00AA6A74">
        <w:rPr>
          <w:b/>
        </w:rPr>
        <w:t>:</w:t>
      </w:r>
    </w:p>
    <w:p w:rsidR="006C26C4" w:rsidRDefault="006C26C4" w:rsidP="000C0DF1">
      <w:pPr>
        <w:jc w:val="center"/>
        <w:rPr>
          <w:i/>
          <w:sz w:val="16"/>
        </w:rPr>
      </w:pPr>
      <w:r w:rsidRPr="00B544F6">
        <w:rPr>
          <w:noProof/>
        </w:rPr>
        <w:drawing>
          <wp:inline distT="0" distB="0" distL="0" distR="0">
            <wp:extent cx="5731510" cy="1866900"/>
            <wp:effectExtent l="19050" t="0" r="254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5731510" cy="1866900"/>
                    </a:xfrm>
                    <a:prstGeom prst="rect">
                      <a:avLst/>
                    </a:prstGeom>
                    <a:noFill/>
                    <a:ln w="9525">
                      <a:noFill/>
                      <a:miter lim="800000"/>
                      <a:headEnd/>
                      <a:tailEnd/>
                    </a:ln>
                  </pic:spPr>
                </pic:pic>
              </a:graphicData>
            </a:graphic>
          </wp:inline>
        </w:drawing>
      </w:r>
    </w:p>
    <w:p w:rsidR="006C26C4" w:rsidRDefault="006C26C4" w:rsidP="000C0DF1">
      <w:pPr>
        <w:jc w:val="center"/>
        <w:rPr>
          <w:i/>
          <w:sz w:val="16"/>
        </w:rPr>
      </w:pPr>
      <w:r w:rsidRPr="00B544F6">
        <w:rPr>
          <w:noProof/>
        </w:rPr>
        <w:drawing>
          <wp:inline distT="0" distB="0" distL="0" distR="0">
            <wp:extent cx="5730368" cy="1038225"/>
            <wp:effectExtent l="19050" t="0" r="3682" b="0"/>
            <wp:docPr id="2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srcRect/>
                    <a:stretch>
                      <a:fillRect/>
                    </a:stretch>
                  </pic:blipFill>
                  <pic:spPr bwMode="auto">
                    <a:xfrm>
                      <a:off x="0" y="0"/>
                      <a:ext cx="5731510" cy="1038432"/>
                    </a:xfrm>
                    <a:prstGeom prst="rect">
                      <a:avLst/>
                    </a:prstGeom>
                    <a:noFill/>
                    <a:ln w="9525">
                      <a:noFill/>
                      <a:miter lim="800000"/>
                      <a:headEnd/>
                      <a:tailEnd/>
                    </a:ln>
                  </pic:spPr>
                </pic:pic>
              </a:graphicData>
            </a:graphic>
          </wp:inline>
        </w:drawing>
      </w:r>
    </w:p>
    <w:p w:rsidR="006C26C4" w:rsidRDefault="006C26C4" w:rsidP="000C0DF1">
      <w:pPr>
        <w:jc w:val="center"/>
        <w:rPr>
          <w:i/>
          <w:sz w:val="16"/>
        </w:rPr>
      </w:pPr>
      <w:r w:rsidRPr="00B544F6">
        <w:rPr>
          <w:noProof/>
        </w:rPr>
        <w:drawing>
          <wp:inline distT="0" distB="0" distL="0" distR="0">
            <wp:extent cx="5731510" cy="1238250"/>
            <wp:effectExtent l="19050" t="0" r="2540" b="0"/>
            <wp:docPr id="2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5731510" cy="1238250"/>
                    </a:xfrm>
                    <a:prstGeom prst="rect">
                      <a:avLst/>
                    </a:prstGeom>
                    <a:noFill/>
                    <a:ln w="9525">
                      <a:noFill/>
                      <a:miter lim="800000"/>
                      <a:headEnd/>
                      <a:tailEnd/>
                    </a:ln>
                  </pic:spPr>
                </pic:pic>
              </a:graphicData>
            </a:graphic>
          </wp:inline>
        </w:drawing>
      </w:r>
    </w:p>
    <w:p w:rsidR="006C26C4" w:rsidRDefault="006C26C4" w:rsidP="006C26C4">
      <w:pPr>
        <w:jc w:val="both"/>
        <w:rPr>
          <w:i/>
          <w:sz w:val="16"/>
        </w:rPr>
      </w:pPr>
    </w:p>
    <w:p w:rsidR="005F572A" w:rsidRPr="006C26C4" w:rsidRDefault="005F572A" w:rsidP="005F572A">
      <w:pPr>
        <w:jc w:val="both"/>
        <w:rPr>
          <w:sz w:val="24"/>
        </w:rPr>
      </w:pPr>
      <w:r w:rsidRPr="006C26C4">
        <w:rPr>
          <w:sz w:val="24"/>
        </w:rPr>
        <w:lastRenderedPageBreak/>
        <w:t>The Commissioning for Quality &amp; Innovation (CQUIN) targets attached to Family &amp; Friends have all been achieved for Quarter One, and the test has been rolled out to all Outpatient Departments, including Oncology and Endoscopy units over the month of July.</w:t>
      </w:r>
    </w:p>
    <w:p w:rsidR="005F572A" w:rsidRPr="006C26C4" w:rsidRDefault="005F572A" w:rsidP="005F572A">
      <w:pPr>
        <w:jc w:val="both"/>
        <w:rPr>
          <w:sz w:val="24"/>
        </w:rPr>
      </w:pPr>
      <w:r w:rsidRPr="006C26C4">
        <w:rPr>
          <w:sz w:val="24"/>
        </w:rPr>
        <w:t>The CQUIN targets for 2014/15 are:</w:t>
      </w:r>
    </w:p>
    <w:p w:rsidR="005F572A" w:rsidRPr="006C26C4" w:rsidRDefault="005F572A" w:rsidP="005F572A">
      <w:pPr>
        <w:pStyle w:val="ListParagraph"/>
        <w:numPr>
          <w:ilvl w:val="0"/>
          <w:numId w:val="24"/>
        </w:numPr>
        <w:jc w:val="both"/>
        <w:rPr>
          <w:sz w:val="24"/>
        </w:rPr>
      </w:pPr>
      <w:r w:rsidRPr="006C26C4">
        <w:rPr>
          <w:sz w:val="24"/>
        </w:rPr>
        <w:t>Implementation of the Test in Outpatient and Day Case Departments.</w:t>
      </w:r>
    </w:p>
    <w:p w:rsidR="005F572A" w:rsidRPr="006C26C4" w:rsidRDefault="005F572A" w:rsidP="005F572A">
      <w:pPr>
        <w:pStyle w:val="ListParagraph"/>
        <w:numPr>
          <w:ilvl w:val="0"/>
          <w:numId w:val="24"/>
        </w:numPr>
        <w:jc w:val="both"/>
        <w:rPr>
          <w:sz w:val="24"/>
        </w:rPr>
      </w:pPr>
      <w:r w:rsidRPr="006C26C4">
        <w:rPr>
          <w:sz w:val="24"/>
        </w:rPr>
        <w:t xml:space="preserve">Increase or maintained response rate for Quarter </w:t>
      </w:r>
      <w:r>
        <w:rPr>
          <w:sz w:val="24"/>
        </w:rPr>
        <w:t>one</w:t>
      </w:r>
      <w:r w:rsidRPr="006C26C4">
        <w:rPr>
          <w:sz w:val="24"/>
        </w:rPr>
        <w:t>.</w:t>
      </w:r>
    </w:p>
    <w:p w:rsidR="005F572A" w:rsidRPr="006C26C4" w:rsidRDefault="005F572A" w:rsidP="005F572A">
      <w:pPr>
        <w:pStyle w:val="ListParagraph"/>
        <w:numPr>
          <w:ilvl w:val="0"/>
          <w:numId w:val="24"/>
        </w:numPr>
        <w:jc w:val="both"/>
        <w:rPr>
          <w:sz w:val="24"/>
        </w:rPr>
      </w:pPr>
      <w:r w:rsidRPr="006C26C4">
        <w:rPr>
          <w:sz w:val="24"/>
        </w:rPr>
        <w:t>Increased Response Rate for Inpatients of a minimum of 40% in March 2015.</w:t>
      </w:r>
    </w:p>
    <w:p w:rsidR="006C26C4" w:rsidRPr="006C26C4" w:rsidRDefault="006C26C4" w:rsidP="006C26C4">
      <w:pPr>
        <w:pStyle w:val="Heading3"/>
        <w:rPr>
          <w:sz w:val="24"/>
        </w:rPr>
      </w:pPr>
      <w:r>
        <w:rPr>
          <w:sz w:val="24"/>
        </w:rPr>
        <w:t>2.8.1 I</w:t>
      </w:r>
      <w:r w:rsidRPr="006C26C4">
        <w:rPr>
          <w:sz w:val="24"/>
        </w:rPr>
        <w:t>npatients</w:t>
      </w:r>
    </w:p>
    <w:p w:rsidR="005F572A" w:rsidRPr="006C26C4" w:rsidRDefault="005F572A" w:rsidP="005F572A">
      <w:pPr>
        <w:jc w:val="both"/>
        <w:rPr>
          <w:sz w:val="24"/>
        </w:rPr>
      </w:pPr>
      <w:r w:rsidRPr="006C26C4">
        <w:rPr>
          <w:sz w:val="24"/>
        </w:rPr>
        <w:t>The response rate for Inpatients is in line with the National Targets, but an increase to 40% is expected in order to meet the CQUIN target for March 2015</w:t>
      </w:r>
      <w:r>
        <w:rPr>
          <w:sz w:val="24"/>
        </w:rPr>
        <w:t xml:space="preserve">.  To achieve this </w:t>
      </w:r>
      <w:r w:rsidRPr="006C26C4">
        <w:rPr>
          <w:sz w:val="24"/>
        </w:rPr>
        <w:t>monthly response rates</w:t>
      </w:r>
      <w:r>
        <w:rPr>
          <w:sz w:val="24"/>
        </w:rPr>
        <w:t xml:space="preserve"> are being highlighted</w:t>
      </w:r>
      <w:r w:rsidRPr="006C26C4">
        <w:rPr>
          <w:sz w:val="24"/>
        </w:rPr>
        <w:t xml:space="preserve"> by ward on notice boards, and creating a positive ‘word cloud’ – an amalgamation of the positive comments left on the questionnaire card with the intention of boosting staff morale to encourage patient participation in the Test.</w:t>
      </w:r>
    </w:p>
    <w:p w:rsidR="005F572A" w:rsidRDefault="005F572A" w:rsidP="005F572A">
      <w:pPr>
        <w:jc w:val="both"/>
        <w:rPr>
          <w:sz w:val="24"/>
        </w:rPr>
      </w:pPr>
      <w:r w:rsidRPr="006C26C4">
        <w:rPr>
          <w:sz w:val="24"/>
        </w:rPr>
        <w:t>A Friends &amp; Family champion has been identified on each ward.  This is a member of staff whom understands the process and will promote to all, patients and staff in their area.</w:t>
      </w:r>
    </w:p>
    <w:p w:rsidR="00344A76" w:rsidRPr="00CB6B2F" w:rsidRDefault="005A3E96" w:rsidP="006C26C4">
      <w:pPr>
        <w:jc w:val="both"/>
        <w:rPr>
          <w:b/>
          <w:sz w:val="24"/>
        </w:rPr>
      </w:pPr>
      <w:r w:rsidRPr="00CB6B2F">
        <w:rPr>
          <w:b/>
          <w:sz w:val="24"/>
        </w:rPr>
        <w:t>Figure 16</w:t>
      </w:r>
      <w:r w:rsidR="00CB6B2F">
        <w:rPr>
          <w:b/>
          <w:sz w:val="24"/>
        </w:rPr>
        <w:t>:</w:t>
      </w:r>
    </w:p>
    <w:p w:rsidR="006C26C4" w:rsidRDefault="006C26C4" w:rsidP="006C26C4">
      <w:pPr>
        <w:jc w:val="center"/>
      </w:pPr>
      <w:r w:rsidRPr="00004BF7">
        <w:rPr>
          <w:noProof/>
        </w:rPr>
        <w:drawing>
          <wp:inline distT="0" distB="0" distL="0" distR="0">
            <wp:extent cx="4619625" cy="2790825"/>
            <wp:effectExtent l="19050" t="0" r="9525" b="0"/>
            <wp:docPr id="2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8" cstate="print"/>
                    <a:srcRect/>
                    <a:stretch>
                      <a:fillRect/>
                    </a:stretch>
                  </pic:blipFill>
                  <pic:spPr bwMode="auto">
                    <a:xfrm>
                      <a:off x="0" y="0"/>
                      <a:ext cx="4619625" cy="2790825"/>
                    </a:xfrm>
                    <a:prstGeom prst="rect">
                      <a:avLst/>
                    </a:prstGeom>
                    <a:noFill/>
                    <a:ln w="9525">
                      <a:noFill/>
                      <a:miter lim="800000"/>
                      <a:headEnd/>
                      <a:tailEnd/>
                    </a:ln>
                  </pic:spPr>
                </pic:pic>
              </a:graphicData>
            </a:graphic>
          </wp:inline>
        </w:drawing>
      </w:r>
    </w:p>
    <w:p w:rsidR="005A3E96" w:rsidRDefault="005A3E96" w:rsidP="006C26C4">
      <w:pPr>
        <w:jc w:val="center"/>
      </w:pPr>
    </w:p>
    <w:p w:rsidR="005F572A" w:rsidRDefault="005F572A" w:rsidP="005A3E96">
      <w:pPr>
        <w:rPr>
          <w:b/>
        </w:rPr>
      </w:pPr>
    </w:p>
    <w:p w:rsidR="005A3E96" w:rsidRPr="00CB6B2F" w:rsidRDefault="005A3E96" w:rsidP="005A3E96">
      <w:pPr>
        <w:rPr>
          <w:b/>
        </w:rPr>
      </w:pPr>
      <w:r w:rsidRPr="00CB6B2F">
        <w:rPr>
          <w:b/>
        </w:rPr>
        <w:lastRenderedPageBreak/>
        <w:t>Figure 17</w:t>
      </w:r>
      <w:r w:rsidR="00CB6B2F">
        <w:rPr>
          <w:b/>
        </w:rPr>
        <w:t>:</w:t>
      </w:r>
    </w:p>
    <w:p w:rsidR="006C26C4" w:rsidRDefault="00AA016F" w:rsidP="006C26C4">
      <w:pPr>
        <w:jc w:val="center"/>
      </w:pPr>
      <w:r w:rsidRPr="00AA016F">
        <w:rPr>
          <w:noProof/>
        </w:rPr>
        <w:drawing>
          <wp:inline distT="0" distB="0" distL="0" distR="0">
            <wp:extent cx="4614545" cy="2785745"/>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4614545" cy="2785745"/>
                    </a:xfrm>
                    <a:prstGeom prst="rect">
                      <a:avLst/>
                    </a:prstGeom>
                    <a:noFill/>
                    <a:ln w="9525">
                      <a:noFill/>
                      <a:miter lim="800000"/>
                      <a:headEnd/>
                      <a:tailEnd/>
                    </a:ln>
                  </pic:spPr>
                </pic:pic>
              </a:graphicData>
            </a:graphic>
          </wp:inline>
        </w:drawing>
      </w:r>
    </w:p>
    <w:p w:rsidR="005F572A" w:rsidRPr="006C26C4" w:rsidRDefault="005F572A" w:rsidP="005F572A">
      <w:pPr>
        <w:jc w:val="both"/>
        <w:rPr>
          <w:sz w:val="24"/>
        </w:rPr>
      </w:pPr>
      <w:r w:rsidRPr="006C26C4">
        <w:rPr>
          <w:sz w:val="24"/>
        </w:rPr>
        <w:t>The newly appointed lead for Friends &amp; Family is a well established member of Trust staff, and will be working closely with Harptree, Hutton, Steepholm and Uphill wards to discover why their response rates declined in July and the best ways to increase this score.  There is also a plan for capturing the Friends &amp; Family Test information through the Discharge Lounge, and making the test a part of discharge process in this area.</w:t>
      </w:r>
    </w:p>
    <w:p w:rsidR="005F572A" w:rsidRPr="006C26C4" w:rsidRDefault="005F572A" w:rsidP="005F572A">
      <w:pPr>
        <w:jc w:val="both"/>
        <w:rPr>
          <w:sz w:val="24"/>
        </w:rPr>
      </w:pPr>
      <w:r w:rsidRPr="006C26C4">
        <w:rPr>
          <w:sz w:val="24"/>
        </w:rPr>
        <w:t xml:space="preserve">Whilst Net Promoter scores are not related to the CQUIN schedule, they remain an important indicator of patient experience to the Trust and the lead will be spending a period of time on the wards whose Net Promoter scores reduced in July.  Any quality issues will be </w:t>
      </w:r>
      <w:r>
        <w:rPr>
          <w:sz w:val="24"/>
        </w:rPr>
        <w:t>discussed with</w:t>
      </w:r>
      <w:r w:rsidRPr="006C26C4">
        <w:rPr>
          <w:sz w:val="24"/>
        </w:rPr>
        <w:t xml:space="preserve"> Sisters, Matrons, Heads of Nursing and Consultant teams </w:t>
      </w:r>
      <w:r>
        <w:rPr>
          <w:sz w:val="24"/>
        </w:rPr>
        <w:t xml:space="preserve">to identify actions </w:t>
      </w:r>
      <w:r w:rsidRPr="006C26C4">
        <w:rPr>
          <w:sz w:val="24"/>
        </w:rPr>
        <w:t>for improvement.</w:t>
      </w:r>
      <w:r>
        <w:rPr>
          <w:sz w:val="24"/>
        </w:rPr>
        <w:t xml:space="preserve">  NHS England issued updated guidance on the Friends and Family Test in July 2014 and the implications of this updated guidance for the Trust are currently being assessed.</w:t>
      </w:r>
    </w:p>
    <w:p w:rsidR="006C26C4" w:rsidRPr="006C26C4" w:rsidRDefault="006C26C4" w:rsidP="006C26C4">
      <w:pPr>
        <w:pStyle w:val="Heading3"/>
        <w:rPr>
          <w:sz w:val="24"/>
        </w:rPr>
      </w:pPr>
      <w:r>
        <w:rPr>
          <w:sz w:val="24"/>
        </w:rPr>
        <w:t xml:space="preserve">2.8.2 </w:t>
      </w:r>
      <w:r w:rsidRPr="006C26C4">
        <w:rPr>
          <w:sz w:val="24"/>
        </w:rPr>
        <w:t>Emergency</w:t>
      </w:r>
    </w:p>
    <w:p w:rsidR="005F572A" w:rsidRPr="006C26C4" w:rsidRDefault="005F572A" w:rsidP="005F572A">
      <w:pPr>
        <w:jc w:val="both"/>
        <w:rPr>
          <w:sz w:val="24"/>
        </w:rPr>
      </w:pPr>
      <w:r w:rsidRPr="006C26C4">
        <w:rPr>
          <w:sz w:val="24"/>
        </w:rPr>
        <w:t>Emergency</w:t>
      </w:r>
      <w:r>
        <w:rPr>
          <w:sz w:val="24"/>
        </w:rPr>
        <w:t xml:space="preserve"> care areas</w:t>
      </w:r>
      <w:r w:rsidRPr="006C26C4">
        <w:rPr>
          <w:sz w:val="24"/>
        </w:rPr>
        <w:t xml:space="preserve"> have achieved the required target of 20% response rate whilst maintaining an excellent Net Promoter score and </w:t>
      </w:r>
      <w:r>
        <w:rPr>
          <w:sz w:val="24"/>
        </w:rPr>
        <w:t xml:space="preserve">have been </w:t>
      </w:r>
      <w:r w:rsidRPr="006C26C4">
        <w:rPr>
          <w:sz w:val="24"/>
        </w:rPr>
        <w:t xml:space="preserve">congratulated on this.  They continue to promote the filling in of the test to patients and are prompt with collection and submission of results.  As a result of the latest guidance released by the Department of Health there is now a significant focus on patient’s comments.  As a result the Emergency teams will actively encourage patients to write any comments relevant to their </w:t>
      </w:r>
      <w:r w:rsidRPr="006C26C4">
        <w:rPr>
          <w:sz w:val="24"/>
        </w:rPr>
        <w:lastRenderedPageBreak/>
        <w:t>experience.  Comments will be collated and electronically logged each month for use in the Performance and Patient Experience teams.</w:t>
      </w:r>
    </w:p>
    <w:p w:rsidR="00344A76" w:rsidRPr="00344A76" w:rsidRDefault="006C26C4" w:rsidP="00344A76">
      <w:pPr>
        <w:pStyle w:val="Heading3"/>
        <w:rPr>
          <w:sz w:val="24"/>
        </w:rPr>
      </w:pPr>
      <w:r>
        <w:rPr>
          <w:sz w:val="24"/>
        </w:rPr>
        <w:t xml:space="preserve">2.8.3 </w:t>
      </w:r>
      <w:r w:rsidRPr="006C26C4">
        <w:rPr>
          <w:sz w:val="24"/>
        </w:rPr>
        <w:t>Maternity</w:t>
      </w:r>
    </w:p>
    <w:p w:rsidR="005F572A" w:rsidRPr="006C26C4" w:rsidRDefault="005F572A" w:rsidP="005F572A">
      <w:pPr>
        <w:jc w:val="both"/>
        <w:rPr>
          <w:sz w:val="24"/>
        </w:rPr>
      </w:pPr>
      <w:bookmarkStart w:id="28" w:name="_Toc381084862"/>
      <w:bookmarkEnd w:id="5"/>
      <w:bookmarkEnd w:id="27"/>
      <w:r w:rsidRPr="006C26C4">
        <w:rPr>
          <w:sz w:val="24"/>
        </w:rPr>
        <w:t>Maternity response rates remain low, with difficulties in obtaining feedback for all points that patients are asked the question (both antenatally and postnatally).</w:t>
      </w:r>
    </w:p>
    <w:p w:rsidR="005F572A" w:rsidRPr="006C26C4" w:rsidRDefault="005F572A" w:rsidP="005F572A">
      <w:pPr>
        <w:jc w:val="both"/>
        <w:rPr>
          <w:sz w:val="24"/>
        </w:rPr>
      </w:pPr>
      <w:r w:rsidRPr="006C26C4">
        <w:rPr>
          <w:sz w:val="24"/>
        </w:rPr>
        <w:t>The new lead for the Family &amp; Friends Test is working with the Maternity Department to discover how best to increase the response rates.    The Maternity Touch Points have been evaluated and for patients in the community, it has been agreed that a text messaging service may be the best way to capture the responses and boost overall Maternity response rate.  A quote for this service has been submitted, based on historical activity figures for the Trust and the lead is fine tuning this information before creating a business plan for review.</w:t>
      </w:r>
    </w:p>
    <w:p w:rsidR="005F572A" w:rsidRPr="006C26C4" w:rsidRDefault="005F572A" w:rsidP="005F572A">
      <w:pPr>
        <w:jc w:val="both"/>
        <w:rPr>
          <w:sz w:val="24"/>
        </w:rPr>
      </w:pPr>
      <w:r w:rsidRPr="006C26C4">
        <w:rPr>
          <w:sz w:val="24"/>
        </w:rPr>
        <w:t>To continue, the Midwifery Matron has highlighted the importance of continuing with the post card method with her teams.</w:t>
      </w:r>
    </w:p>
    <w:p w:rsidR="004A47F0" w:rsidRDefault="004A47F0" w:rsidP="00293B7D">
      <w:pPr>
        <w:pStyle w:val="Heading2"/>
      </w:pPr>
    </w:p>
    <w:p w:rsidR="00524578" w:rsidRDefault="00524578">
      <w:pPr>
        <w:rPr>
          <w:rFonts w:asciiTheme="majorHAnsi" w:eastAsiaTheme="majorEastAsia" w:hAnsiTheme="majorHAnsi" w:cstheme="majorBidi"/>
          <w:b/>
          <w:bCs/>
          <w:color w:val="2DA2BF" w:themeColor="accent1"/>
          <w:sz w:val="26"/>
          <w:szCs w:val="26"/>
        </w:rPr>
      </w:pPr>
      <w:r>
        <w:br w:type="page"/>
      </w:r>
    </w:p>
    <w:p w:rsidR="00293B7D" w:rsidRPr="00344A76" w:rsidRDefault="007924BE" w:rsidP="00293B7D">
      <w:pPr>
        <w:pStyle w:val="Heading2"/>
      </w:pPr>
      <w:r w:rsidRPr="00344A76">
        <w:lastRenderedPageBreak/>
        <w:t>2.9</w:t>
      </w:r>
      <w:r w:rsidR="00293B7D" w:rsidRPr="00344A76">
        <w:t xml:space="preserve"> Mortality Data</w:t>
      </w:r>
      <w:bookmarkEnd w:id="28"/>
    </w:p>
    <w:p w:rsidR="00CC77AB" w:rsidRPr="001808CB" w:rsidRDefault="00CC77AB" w:rsidP="00CC77AB">
      <w:pPr>
        <w:pStyle w:val="NoSpacing"/>
        <w:rPr>
          <w:highlight w:val="yellow"/>
        </w:rPr>
      </w:pPr>
    </w:p>
    <w:p w:rsidR="005F572A" w:rsidRPr="001808CB" w:rsidRDefault="005F572A" w:rsidP="005F572A">
      <w:pPr>
        <w:rPr>
          <w:sz w:val="24"/>
          <w:szCs w:val="24"/>
        </w:rPr>
      </w:pPr>
      <w:r w:rsidRPr="001808CB">
        <w:rPr>
          <w:sz w:val="24"/>
          <w:szCs w:val="24"/>
        </w:rPr>
        <w:t>The latest iteration of the Summary Hospital Mortality Index covers the year to December 2013 and has a value of 1. This indicates that mortality within the Trust for the period covered is exactly as expected given the age and co morbidities of the patients treated</w:t>
      </w:r>
      <w:r>
        <w:rPr>
          <w:sz w:val="24"/>
          <w:szCs w:val="24"/>
        </w:rPr>
        <w:t xml:space="preserve">, shown in </w:t>
      </w:r>
      <w:r w:rsidRPr="005F572A">
        <w:rPr>
          <w:i/>
          <w:sz w:val="24"/>
          <w:szCs w:val="24"/>
        </w:rPr>
        <w:t>Figure 18</w:t>
      </w:r>
      <w:r>
        <w:rPr>
          <w:sz w:val="24"/>
          <w:szCs w:val="24"/>
        </w:rPr>
        <w:t>.</w:t>
      </w:r>
    </w:p>
    <w:p w:rsidR="00CC77AB" w:rsidRPr="001808CB" w:rsidRDefault="006D207F" w:rsidP="00CC77AB">
      <w:pPr>
        <w:rPr>
          <w:b/>
        </w:rPr>
      </w:pPr>
      <w:r>
        <w:rPr>
          <w:b/>
        </w:rPr>
        <w:t>Figure 1</w:t>
      </w:r>
      <w:r w:rsidR="005A3E96">
        <w:rPr>
          <w:b/>
        </w:rPr>
        <w:t>8</w:t>
      </w:r>
      <w:r w:rsidR="00CC77AB" w:rsidRPr="001808CB">
        <w:rPr>
          <w:b/>
        </w:rPr>
        <w:t>:</w:t>
      </w:r>
    </w:p>
    <w:p w:rsidR="00FE35FD" w:rsidRPr="00976874" w:rsidRDefault="00FE35FD" w:rsidP="00FE35FD">
      <w:pPr>
        <w:pStyle w:val="NoSpacing"/>
        <w:rPr>
          <w:sz w:val="8"/>
          <w:highlight w:val="yellow"/>
        </w:rPr>
      </w:pPr>
      <w:bookmarkStart w:id="29" w:name="_Toc362959131"/>
    </w:p>
    <w:p w:rsidR="00781B61" w:rsidRPr="00976874" w:rsidRDefault="001808CB" w:rsidP="00CC77AB">
      <w:pPr>
        <w:jc w:val="center"/>
        <w:rPr>
          <w:highlight w:val="yellow"/>
        </w:rPr>
      </w:pPr>
      <w:r w:rsidRPr="001808CB">
        <w:rPr>
          <w:noProof/>
        </w:rPr>
        <w:drawing>
          <wp:inline distT="0" distB="0" distL="0" distR="0">
            <wp:extent cx="6424280" cy="1754372"/>
            <wp:effectExtent l="19050" t="0" r="0" b="0"/>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6431542" cy="1756355"/>
                    </a:xfrm>
                    <a:prstGeom prst="rect">
                      <a:avLst/>
                    </a:prstGeom>
                    <a:noFill/>
                    <a:ln w="9525">
                      <a:noFill/>
                      <a:miter lim="800000"/>
                      <a:headEnd/>
                      <a:tailEnd/>
                    </a:ln>
                  </pic:spPr>
                </pic:pic>
              </a:graphicData>
            </a:graphic>
          </wp:inline>
        </w:drawing>
      </w:r>
    </w:p>
    <w:p w:rsidR="005F572A" w:rsidRPr="001808CB" w:rsidRDefault="005F572A" w:rsidP="005F572A">
      <w:pPr>
        <w:jc w:val="both"/>
        <w:rPr>
          <w:sz w:val="24"/>
        </w:rPr>
      </w:pPr>
      <w:r w:rsidRPr="001808CB">
        <w:rPr>
          <w:sz w:val="24"/>
        </w:rPr>
        <w:t>Whilst the SHMI describes the overall picture for hospit</w:t>
      </w:r>
      <w:r>
        <w:rPr>
          <w:sz w:val="24"/>
        </w:rPr>
        <w:t xml:space="preserve">al and community deaths </w:t>
      </w:r>
      <w:r w:rsidRPr="005F572A">
        <w:rPr>
          <w:i/>
          <w:sz w:val="24"/>
        </w:rPr>
        <w:t>Figure 19</w:t>
      </w:r>
      <w:r w:rsidRPr="001808CB">
        <w:rPr>
          <w:sz w:val="24"/>
        </w:rPr>
        <w:t xml:space="preserve"> illustrates the Trust’s position (red dot) relative to the national picture for those deaths which occurred only in the hospital setting for t</w:t>
      </w:r>
      <w:r>
        <w:rPr>
          <w:sz w:val="24"/>
        </w:rPr>
        <w:t>he period April</w:t>
      </w:r>
      <w:r w:rsidRPr="001808CB">
        <w:rPr>
          <w:sz w:val="24"/>
        </w:rPr>
        <w:t xml:space="preserve"> 2013 to July 2014. Again the Trust’s performance is bet</w:t>
      </w:r>
      <w:r>
        <w:rPr>
          <w:sz w:val="24"/>
        </w:rPr>
        <w:t>ter than anticipated</w:t>
      </w:r>
      <w:r w:rsidRPr="001808CB">
        <w:rPr>
          <w:sz w:val="24"/>
        </w:rPr>
        <w:t>.</w:t>
      </w:r>
    </w:p>
    <w:p w:rsidR="00A35D63" w:rsidRPr="001808CB" w:rsidRDefault="005A3E96" w:rsidP="00A35D63">
      <w:pPr>
        <w:rPr>
          <w:b/>
        </w:rPr>
      </w:pPr>
      <w:r>
        <w:rPr>
          <w:b/>
        </w:rPr>
        <w:t>Figure 19</w:t>
      </w:r>
      <w:r w:rsidR="007D17C5" w:rsidRPr="001808CB">
        <w:rPr>
          <w:b/>
        </w:rPr>
        <w:t>:</w:t>
      </w:r>
    </w:p>
    <w:p w:rsidR="00781B61" w:rsidRPr="00976874" w:rsidRDefault="00781B61" w:rsidP="000C0DF1">
      <w:pPr>
        <w:jc w:val="center"/>
        <w:rPr>
          <w:highlight w:val="yellow"/>
        </w:rPr>
      </w:pPr>
      <w:r w:rsidRPr="00CB6B2F">
        <w:rPr>
          <w:noProof/>
        </w:rPr>
        <w:drawing>
          <wp:inline distT="0" distB="0" distL="0" distR="0">
            <wp:extent cx="5473641" cy="3083441"/>
            <wp:effectExtent l="19050" t="0" r="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5478731" cy="3086308"/>
                    </a:xfrm>
                    <a:prstGeom prst="rect">
                      <a:avLst/>
                    </a:prstGeom>
                  </pic:spPr>
                </pic:pic>
              </a:graphicData>
            </a:graphic>
          </wp:inline>
        </w:drawing>
      </w:r>
    </w:p>
    <w:p w:rsidR="00293B7D" w:rsidRPr="001808CB" w:rsidRDefault="007924BE" w:rsidP="001808CB">
      <w:pPr>
        <w:rPr>
          <w:b/>
          <w:color w:val="21798E" w:themeColor="accent1" w:themeShade="BF"/>
          <w:sz w:val="28"/>
          <w:szCs w:val="28"/>
        </w:rPr>
      </w:pPr>
      <w:bookmarkStart w:id="30" w:name="_Toc362959132"/>
      <w:bookmarkStart w:id="31" w:name="_Toc381084863"/>
      <w:bookmarkEnd w:id="29"/>
      <w:r w:rsidRPr="001808CB">
        <w:rPr>
          <w:b/>
          <w:color w:val="21798E" w:themeColor="accent1" w:themeShade="BF"/>
          <w:sz w:val="28"/>
          <w:szCs w:val="28"/>
        </w:rPr>
        <w:lastRenderedPageBreak/>
        <w:t>2.10</w:t>
      </w:r>
      <w:r w:rsidR="00293B7D" w:rsidRPr="001808CB">
        <w:rPr>
          <w:b/>
          <w:color w:val="21798E" w:themeColor="accent1" w:themeShade="BF"/>
          <w:sz w:val="28"/>
          <w:szCs w:val="28"/>
        </w:rPr>
        <w:t xml:space="preserve"> Infection Prevention &amp; Control Performance</w:t>
      </w:r>
      <w:bookmarkEnd w:id="30"/>
      <w:bookmarkEnd w:id="31"/>
    </w:p>
    <w:p w:rsidR="003D24ED" w:rsidRDefault="003D24ED" w:rsidP="003D24ED">
      <w:pPr>
        <w:rPr>
          <w:rFonts w:asciiTheme="majorHAnsi" w:hAnsiTheme="majorHAnsi" w:cstheme="majorHAnsi"/>
          <w:b/>
          <w:color w:val="21798E" w:themeColor="accent1" w:themeShade="BF"/>
          <w:sz w:val="24"/>
          <w:szCs w:val="24"/>
        </w:rPr>
      </w:pPr>
      <w:bookmarkStart w:id="32" w:name="_Toc362959137"/>
      <w:r>
        <w:rPr>
          <w:rFonts w:asciiTheme="majorHAnsi" w:hAnsiTheme="majorHAnsi" w:cstheme="majorHAnsi"/>
          <w:b/>
          <w:color w:val="21798E" w:themeColor="accent1" w:themeShade="BF"/>
          <w:sz w:val="24"/>
          <w:szCs w:val="24"/>
        </w:rPr>
        <w:t>2.10.1 Clostridium D</w:t>
      </w:r>
      <w:r w:rsidRPr="0059689B">
        <w:rPr>
          <w:rFonts w:asciiTheme="majorHAnsi" w:hAnsiTheme="majorHAnsi" w:cstheme="majorHAnsi"/>
          <w:b/>
          <w:color w:val="21798E" w:themeColor="accent1" w:themeShade="BF"/>
          <w:sz w:val="24"/>
          <w:szCs w:val="24"/>
        </w:rPr>
        <w:t>ifficile</w:t>
      </w:r>
    </w:p>
    <w:p w:rsidR="005F572A" w:rsidRPr="0059689B" w:rsidRDefault="005F572A" w:rsidP="005F572A">
      <w:pPr>
        <w:rPr>
          <w:rFonts w:asciiTheme="majorHAnsi" w:hAnsiTheme="majorHAnsi" w:cstheme="majorHAnsi"/>
          <w:b/>
          <w:color w:val="21798E" w:themeColor="accent1" w:themeShade="BF"/>
          <w:sz w:val="24"/>
          <w:szCs w:val="24"/>
        </w:rPr>
      </w:pPr>
      <w:r w:rsidRPr="0059689B">
        <w:rPr>
          <w:rFonts w:asciiTheme="majorHAnsi" w:hAnsiTheme="majorHAnsi" w:cstheme="majorHAnsi"/>
          <w:sz w:val="24"/>
          <w:szCs w:val="24"/>
        </w:rPr>
        <w:t xml:space="preserve">The Trust has a </w:t>
      </w:r>
      <w:r w:rsidR="00D33A23">
        <w:rPr>
          <w:rFonts w:asciiTheme="majorHAnsi" w:hAnsiTheme="majorHAnsi" w:cstheme="majorHAnsi"/>
          <w:sz w:val="24"/>
          <w:szCs w:val="24"/>
        </w:rPr>
        <w:t>set trajectory for Clostridium D</w:t>
      </w:r>
      <w:r w:rsidRPr="0059689B">
        <w:rPr>
          <w:rFonts w:asciiTheme="majorHAnsi" w:hAnsiTheme="majorHAnsi" w:cstheme="majorHAnsi"/>
          <w:sz w:val="24"/>
          <w:szCs w:val="24"/>
        </w:rPr>
        <w:t>ifficile for the year 2014/15</w:t>
      </w:r>
      <w:r>
        <w:rPr>
          <w:rFonts w:asciiTheme="majorHAnsi" w:hAnsiTheme="majorHAnsi" w:cstheme="majorHAnsi"/>
          <w:sz w:val="24"/>
          <w:szCs w:val="24"/>
        </w:rPr>
        <w:t xml:space="preserve"> of no more than 17 cases</w:t>
      </w:r>
      <w:r w:rsidRPr="0059689B">
        <w:rPr>
          <w:rFonts w:asciiTheme="majorHAnsi" w:hAnsiTheme="majorHAnsi" w:cstheme="majorHAnsi"/>
          <w:sz w:val="24"/>
          <w:szCs w:val="24"/>
        </w:rPr>
        <w:t>. In June there were two Hospital attributed cases</w:t>
      </w:r>
      <w:r>
        <w:rPr>
          <w:rFonts w:asciiTheme="majorHAnsi" w:hAnsiTheme="majorHAnsi" w:cstheme="majorHAnsi"/>
          <w:sz w:val="24"/>
          <w:szCs w:val="24"/>
        </w:rPr>
        <w:t xml:space="preserve">; </w:t>
      </w:r>
      <w:r w:rsidRPr="0059689B">
        <w:rPr>
          <w:rFonts w:asciiTheme="majorHAnsi" w:hAnsiTheme="majorHAnsi" w:cstheme="majorHAnsi"/>
          <w:sz w:val="24"/>
          <w:szCs w:val="24"/>
        </w:rPr>
        <w:t>there were no cases in July.</w:t>
      </w:r>
    </w:p>
    <w:p w:rsidR="005F572A" w:rsidRDefault="005F572A" w:rsidP="005F572A">
      <w:pPr>
        <w:jc w:val="both"/>
        <w:rPr>
          <w:rFonts w:asciiTheme="majorHAnsi" w:hAnsiTheme="majorHAnsi" w:cstheme="majorHAnsi"/>
          <w:sz w:val="24"/>
          <w:szCs w:val="24"/>
        </w:rPr>
      </w:pPr>
      <w:r>
        <w:rPr>
          <w:rFonts w:asciiTheme="majorHAnsi" w:hAnsiTheme="majorHAnsi" w:cstheme="majorHAnsi"/>
          <w:sz w:val="24"/>
          <w:szCs w:val="24"/>
        </w:rPr>
        <w:t xml:space="preserve">The antimicrobial stewardship strategy and programme for the Trust was approved at the July Infection Prevention and Control Committee.  The programme of audit is now well established and an antimicrobial stewardship committee met for the first time in July 2014.  </w:t>
      </w:r>
    </w:p>
    <w:p w:rsidR="003D24ED" w:rsidRPr="0059689B" w:rsidRDefault="003D24ED" w:rsidP="003D24E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t xml:space="preserve">2.10.2 </w:t>
      </w:r>
      <w:r w:rsidRPr="0059689B">
        <w:rPr>
          <w:rFonts w:asciiTheme="majorHAnsi" w:hAnsiTheme="majorHAnsi" w:cstheme="majorHAnsi"/>
          <w:b/>
          <w:color w:val="21798E" w:themeColor="accent1" w:themeShade="BF"/>
          <w:sz w:val="24"/>
          <w:szCs w:val="24"/>
        </w:rPr>
        <w:t>MRSA/MSSA bacteraemia</w:t>
      </w:r>
    </w:p>
    <w:p w:rsidR="00C64C6B" w:rsidRPr="0059689B" w:rsidRDefault="00C64C6B" w:rsidP="00C64C6B">
      <w:pPr>
        <w:jc w:val="both"/>
        <w:rPr>
          <w:rFonts w:asciiTheme="majorHAnsi" w:hAnsiTheme="majorHAnsi" w:cstheme="majorHAnsi"/>
          <w:sz w:val="24"/>
          <w:szCs w:val="24"/>
        </w:rPr>
      </w:pPr>
      <w:r w:rsidRPr="0059689B">
        <w:rPr>
          <w:rFonts w:asciiTheme="majorHAnsi" w:hAnsiTheme="majorHAnsi" w:cstheme="majorHAnsi"/>
          <w:sz w:val="24"/>
          <w:szCs w:val="24"/>
        </w:rPr>
        <w:t xml:space="preserve">There has been one incidence of MRSA bacteraemia in July against a null target. </w:t>
      </w:r>
      <w:r>
        <w:rPr>
          <w:rFonts w:asciiTheme="majorHAnsi" w:hAnsiTheme="majorHAnsi" w:cstheme="majorHAnsi"/>
          <w:sz w:val="24"/>
          <w:szCs w:val="24"/>
        </w:rPr>
        <w:t>An investigation of this has been completed which demonstrated learning related to ongoing screening programmes and general clinical management of the patient.  The investigation did not identify issues with specimen collection as were found in previous MRSA and MSSA bacteraemia investigations.</w:t>
      </w:r>
    </w:p>
    <w:p w:rsidR="00C64C6B" w:rsidRPr="0059689B" w:rsidRDefault="00C64C6B" w:rsidP="00C64C6B">
      <w:pPr>
        <w:jc w:val="both"/>
        <w:rPr>
          <w:rFonts w:asciiTheme="majorHAnsi" w:hAnsiTheme="majorHAnsi" w:cstheme="majorHAnsi"/>
          <w:sz w:val="24"/>
          <w:szCs w:val="24"/>
        </w:rPr>
      </w:pPr>
      <w:r w:rsidRPr="0059689B">
        <w:rPr>
          <w:rFonts w:asciiTheme="majorHAnsi" w:hAnsiTheme="majorHAnsi" w:cstheme="majorHAnsi"/>
          <w:sz w:val="24"/>
          <w:szCs w:val="24"/>
        </w:rPr>
        <w:t xml:space="preserve">There were no Hospital attributed MSSA bacteraemia during June and July. </w:t>
      </w:r>
    </w:p>
    <w:p w:rsidR="003D24ED" w:rsidRPr="0059689B" w:rsidRDefault="003D24ED" w:rsidP="003D24E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t xml:space="preserve">2.10.3 </w:t>
      </w:r>
      <w:r w:rsidRPr="0059689B">
        <w:rPr>
          <w:rFonts w:asciiTheme="majorHAnsi" w:hAnsiTheme="majorHAnsi" w:cstheme="majorHAnsi"/>
          <w:b/>
          <w:color w:val="21798E" w:themeColor="accent1" w:themeShade="BF"/>
          <w:sz w:val="24"/>
          <w:szCs w:val="24"/>
        </w:rPr>
        <w:t>Hand Hygiene Audits</w:t>
      </w:r>
    </w:p>
    <w:p w:rsidR="00C64C6B" w:rsidRPr="0059689B" w:rsidRDefault="00C64C6B" w:rsidP="00C64C6B">
      <w:pPr>
        <w:jc w:val="both"/>
        <w:rPr>
          <w:rFonts w:asciiTheme="majorHAnsi" w:hAnsiTheme="majorHAnsi" w:cstheme="majorHAnsi"/>
          <w:sz w:val="24"/>
          <w:szCs w:val="24"/>
        </w:rPr>
      </w:pPr>
      <w:r w:rsidRPr="0059689B">
        <w:rPr>
          <w:rFonts w:asciiTheme="majorHAnsi" w:hAnsiTheme="majorHAnsi" w:cstheme="majorHAnsi"/>
          <w:sz w:val="24"/>
          <w:szCs w:val="24"/>
        </w:rPr>
        <w:t>In June the w</w:t>
      </w:r>
      <w:r>
        <w:rPr>
          <w:rFonts w:asciiTheme="majorHAnsi" w:hAnsiTheme="majorHAnsi" w:cstheme="majorHAnsi"/>
          <w:sz w:val="24"/>
          <w:szCs w:val="24"/>
        </w:rPr>
        <w:t>ards reported hand hygiene compliance at the point of need of 98</w:t>
      </w:r>
      <w:r w:rsidRPr="0059689B">
        <w:rPr>
          <w:rFonts w:asciiTheme="majorHAnsi" w:hAnsiTheme="majorHAnsi" w:cstheme="majorHAnsi"/>
          <w:sz w:val="24"/>
          <w:szCs w:val="24"/>
        </w:rPr>
        <w:t xml:space="preserve">%, </w:t>
      </w:r>
      <w:r>
        <w:rPr>
          <w:rFonts w:asciiTheme="majorHAnsi" w:hAnsiTheme="majorHAnsi" w:cstheme="majorHAnsi"/>
          <w:sz w:val="24"/>
          <w:szCs w:val="24"/>
        </w:rPr>
        <w:t>and in July 95</w:t>
      </w:r>
      <w:r w:rsidRPr="0059689B">
        <w:rPr>
          <w:rFonts w:asciiTheme="majorHAnsi" w:hAnsiTheme="majorHAnsi" w:cstheme="majorHAnsi"/>
          <w:sz w:val="24"/>
          <w:szCs w:val="24"/>
        </w:rPr>
        <w:t xml:space="preserve">%. </w:t>
      </w:r>
    </w:p>
    <w:p w:rsidR="003D24ED" w:rsidRPr="0059689B" w:rsidRDefault="003D24ED" w:rsidP="003D24E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t xml:space="preserve">2.10.4 </w:t>
      </w:r>
      <w:r w:rsidRPr="0059689B">
        <w:rPr>
          <w:rFonts w:asciiTheme="majorHAnsi" w:hAnsiTheme="majorHAnsi" w:cstheme="majorHAnsi"/>
          <w:b/>
          <w:color w:val="21798E" w:themeColor="accent1" w:themeShade="BF"/>
          <w:sz w:val="24"/>
          <w:szCs w:val="24"/>
        </w:rPr>
        <w:t xml:space="preserve">Carbepenemase Producing Enterobacteriaceae CPE </w:t>
      </w:r>
    </w:p>
    <w:p w:rsidR="00C64C6B" w:rsidRPr="0059689B" w:rsidRDefault="00C64C6B" w:rsidP="00C64C6B">
      <w:pPr>
        <w:jc w:val="both"/>
        <w:rPr>
          <w:rFonts w:asciiTheme="majorHAnsi" w:hAnsiTheme="majorHAnsi" w:cstheme="majorHAnsi"/>
          <w:sz w:val="24"/>
          <w:szCs w:val="24"/>
        </w:rPr>
      </w:pPr>
      <w:r>
        <w:rPr>
          <w:rFonts w:asciiTheme="majorHAnsi" w:hAnsiTheme="majorHAnsi" w:cstheme="majorHAnsi"/>
          <w:sz w:val="24"/>
          <w:szCs w:val="24"/>
        </w:rPr>
        <w:t xml:space="preserve">National guidance requires that the Trust Board is made aware of all cases of CPE that occur in the Trust.  </w:t>
      </w:r>
      <w:r w:rsidRPr="0059689B">
        <w:rPr>
          <w:rFonts w:asciiTheme="majorHAnsi" w:hAnsiTheme="majorHAnsi" w:cstheme="majorHAnsi"/>
          <w:sz w:val="24"/>
          <w:szCs w:val="24"/>
        </w:rPr>
        <w:t>There have been no patient</w:t>
      </w:r>
      <w:r>
        <w:rPr>
          <w:rFonts w:asciiTheme="majorHAnsi" w:hAnsiTheme="majorHAnsi" w:cstheme="majorHAnsi"/>
          <w:sz w:val="24"/>
          <w:szCs w:val="24"/>
        </w:rPr>
        <w:t>s identified with CPE in June or July 2014</w:t>
      </w:r>
      <w:r w:rsidRPr="0059689B">
        <w:rPr>
          <w:rFonts w:asciiTheme="majorHAnsi" w:hAnsiTheme="majorHAnsi" w:cstheme="majorHAnsi"/>
          <w:sz w:val="24"/>
          <w:szCs w:val="24"/>
        </w:rPr>
        <w:t xml:space="preserve">. </w:t>
      </w:r>
    </w:p>
    <w:p w:rsidR="003D24ED" w:rsidRPr="0059689B" w:rsidRDefault="003D24ED" w:rsidP="003D24E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t xml:space="preserve">2.10.5 </w:t>
      </w:r>
      <w:r w:rsidRPr="0059689B">
        <w:rPr>
          <w:rFonts w:asciiTheme="majorHAnsi" w:hAnsiTheme="majorHAnsi" w:cstheme="majorHAnsi"/>
          <w:b/>
          <w:color w:val="21798E" w:themeColor="accent1" w:themeShade="BF"/>
          <w:sz w:val="24"/>
          <w:szCs w:val="24"/>
        </w:rPr>
        <w:t>Outbreaks</w:t>
      </w:r>
    </w:p>
    <w:p w:rsidR="00C64C6B" w:rsidRPr="0059689B" w:rsidRDefault="00C64C6B" w:rsidP="00C64C6B">
      <w:pPr>
        <w:jc w:val="both"/>
        <w:rPr>
          <w:rFonts w:asciiTheme="majorHAnsi" w:hAnsiTheme="majorHAnsi" w:cstheme="majorHAnsi"/>
          <w:sz w:val="24"/>
          <w:szCs w:val="24"/>
        </w:rPr>
      </w:pPr>
      <w:r>
        <w:rPr>
          <w:rFonts w:asciiTheme="majorHAnsi" w:hAnsiTheme="majorHAnsi" w:cstheme="majorHAnsi"/>
          <w:sz w:val="24"/>
          <w:szCs w:val="24"/>
        </w:rPr>
        <w:t xml:space="preserve">There have been no outbreaks </w:t>
      </w:r>
      <w:r w:rsidRPr="0059689B">
        <w:rPr>
          <w:rFonts w:asciiTheme="majorHAnsi" w:hAnsiTheme="majorHAnsi" w:cstheme="majorHAnsi"/>
          <w:sz w:val="24"/>
          <w:szCs w:val="24"/>
        </w:rPr>
        <w:t>in June and July</w:t>
      </w:r>
      <w:r>
        <w:rPr>
          <w:rFonts w:asciiTheme="majorHAnsi" w:hAnsiTheme="majorHAnsi" w:cstheme="majorHAnsi"/>
          <w:sz w:val="24"/>
          <w:szCs w:val="24"/>
        </w:rPr>
        <w:t xml:space="preserve"> 2014</w:t>
      </w:r>
      <w:r w:rsidRPr="0059689B">
        <w:rPr>
          <w:rFonts w:asciiTheme="majorHAnsi" w:hAnsiTheme="majorHAnsi" w:cstheme="majorHAnsi"/>
          <w:sz w:val="24"/>
          <w:szCs w:val="24"/>
        </w:rPr>
        <w:t xml:space="preserve">. </w:t>
      </w:r>
    </w:p>
    <w:p w:rsidR="00C64C6B" w:rsidRDefault="00C64C6B" w:rsidP="003D24ED">
      <w:pPr>
        <w:jc w:val="both"/>
        <w:rPr>
          <w:rFonts w:asciiTheme="majorHAnsi" w:hAnsiTheme="majorHAnsi" w:cstheme="majorHAnsi"/>
          <w:b/>
          <w:color w:val="21798E" w:themeColor="accent1" w:themeShade="BF"/>
          <w:sz w:val="24"/>
          <w:szCs w:val="24"/>
        </w:rPr>
      </w:pPr>
    </w:p>
    <w:p w:rsidR="00C64C6B" w:rsidRDefault="00C64C6B" w:rsidP="003D24ED">
      <w:pPr>
        <w:jc w:val="both"/>
        <w:rPr>
          <w:rFonts w:asciiTheme="majorHAnsi" w:hAnsiTheme="majorHAnsi" w:cstheme="majorHAnsi"/>
          <w:b/>
          <w:color w:val="21798E" w:themeColor="accent1" w:themeShade="BF"/>
          <w:sz w:val="24"/>
          <w:szCs w:val="24"/>
        </w:rPr>
      </w:pPr>
    </w:p>
    <w:p w:rsidR="003D24ED" w:rsidRPr="0059689B" w:rsidRDefault="003D24ED" w:rsidP="003D24ED">
      <w:pPr>
        <w:jc w:val="both"/>
        <w:rPr>
          <w:rFonts w:asciiTheme="majorHAnsi" w:hAnsiTheme="majorHAnsi" w:cstheme="majorHAnsi"/>
          <w:b/>
          <w:color w:val="21798E" w:themeColor="accent1" w:themeShade="BF"/>
          <w:sz w:val="24"/>
          <w:szCs w:val="24"/>
        </w:rPr>
      </w:pPr>
      <w:r>
        <w:rPr>
          <w:rFonts w:asciiTheme="majorHAnsi" w:hAnsiTheme="majorHAnsi" w:cstheme="majorHAnsi"/>
          <w:b/>
          <w:color w:val="21798E" w:themeColor="accent1" w:themeShade="BF"/>
          <w:sz w:val="24"/>
          <w:szCs w:val="24"/>
        </w:rPr>
        <w:lastRenderedPageBreak/>
        <w:t xml:space="preserve">2.10.6 </w:t>
      </w:r>
      <w:r w:rsidRPr="0059689B">
        <w:rPr>
          <w:rFonts w:asciiTheme="majorHAnsi" w:hAnsiTheme="majorHAnsi" w:cstheme="majorHAnsi"/>
          <w:b/>
          <w:color w:val="21798E" w:themeColor="accent1" w:themeShade="BF"/>
          <w:sz w:val="24"/>
          <w:szCs w:val="24"/>
        </w:rPr>
        <w:t>Training</w:t>
      </w:r>
    </w:p>
    <w:p w:rsidR="00C64C6B" w:rsidRDefault="00C64C6B" w:rsidP="00C64C6B">
      <w:pPr>
        <w:jc w:val="both"/>
        <w:rPr>
          <w:b/>
          <w:sz w:val="24"/>
          <w:szCs w:val="24"/>
          <w:highlight w:val="yellow"/>
        </w:rPr>
      </w:pPr>
      <w:r>
        <w:rPr>
          <w:rFonts w:asciiTheme="majorHAnsi" w:hAnsiTheme="majorHAnsi" w:cstheme="majorHAnsi"/>
          <w:noProof/>
          <w:sz w:val="24"/>
          <w:szCs w:val="24"/>
        </w:rPr>
        <w:drawing>
          <wp:anchor distT="0" distB="0" distL="114300" distR="114300" simplePos="0" relativeHeight="251729920" behindDoc="0" locked="0" layoutInCell="1" allowOverlap="1">
            <wp:simplePos x="0" y="0"/>
            <wp:positionH relativeFrom="column">
              <wp:posOffset>38100</wp:posOffset>
            </wp:positionH>
            <wp:positionV relativeFrom="paragraph">
              <wp:posOffset>586740</wp:posOffset>
            </wp:positionV>
            <wp:extent cx="3076575" cy="2581275"/>
            <wp:effectExtent l="19050" t="0" r="9525" b="0"/>
            <wp:wrapSquare wrapText="bothSides"/>
            <wp:docPr id="16" name="Picture 13" descr="Isolating I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lating Iris.JPG"/>
                    <pic:cNvPicPr/>
                  </pic:nvPicPr>
                  <pic:blipFill>
                    <a:blip r:embed="rId42" cstate="print"/>
                    <a:stretch>
                      <a:fillRect/>
                    </a:stretch>
                  </pic:blipFill>
                  <pic:spPr>
                    <a:xfrm>
                      <a:off x="0" y="0"/>
                      <a:ext cx="3076575" cy="2581275"/>
                    </a:xfrm>
                    <a:prstGeom prst="rect">
                      <a:avLst/>
                    </a:prstGeom>
                  </pic:spPr>
                </pic:pic>
              </a:graphicData>
            </a:graphic>
          </wp:anchor>
        </w:drawing>
      </w:r>
      <w:r w:rsidRPr="0059689B">
        <w:rPr>
          <w:rFonts w:asciiTheme="majorHAnsi" w:hAnsiTheme="majorHAnsi" w:cstheme="majorHAnsi"/>
          <w:sz w:val="24"/>
          <w:szCs w:val="24"/>
        </w:rPr>
        <w:t>The availability of a side room on Cheddar ward has enabled the Infection Prevention and Control Team to use a novel method to train staff. Using a concept adapted from the West Midlands Infection Prevention Society the team have set a scenario whereby</w:t>
      </w:r>
      <w:r>
        <w:rPr>
          <w:rFonts w:asciiTheme="majorHAnsi" w:hAnsiTheme="majorHAnsi" w:cstheme="majorHAnsi"/>
          <w:sz w:val="24"/>
          <w:szCs w:val="24"/>
        </w:rPr>
        <w:t xml:space="preserve"> a side room is mocked up to show infection control infractions.  A</w:t>
      </w:r>
      <w:r w:rsidRPr="0059689B">
        <w:rPr>
          <w:rFonts w:asciiTheme="majorHAnsi" w:hAnsiTheme="majorHAnsi" w:cstheme="majorHAnsi"/>
          <w:sz w:val="24"/>
          <w:szCs w:val="24"/>
        </w:rPr>
        <w:t xml:space="preserve">ll staff members are invited to visit the sideroom and identify risks and mistakes which include control of transmission of infection, patient safety and holistic care. </w:t>
      </w:r>
      <w:r>
        <w:rPr>
          <w:rFonts w:asciiTheme="majorHAnsi" w:hAnsiTheme="majorHAnsi" w:cstheme="majorHAnsi"/>
          <w:sz w:val="24"/>
          <w:szCs w:val="24"/>
        </w:rPr>
        <w:t>This activity supports compliance to statutory and mandatory training figures.</w:t>
      </w:r>
    </w:p>
    <w:p w:rsidR="003D24ED" w:rsidRPr="00746C01" w:rsidRDefault="003D24ED" w:rsidP="003D24ED">
      <w:pPr>
        <w:jc w:val="both"/>
        <w:rPr>
          <w:rFonts w:asciiTheme="majorHAnsi" w:eastAsiaTheme="majorEastAsia" w:hAnsiTheme="majorHAnsi" w:cstheme="majorBidi"/>
          <w:b/>
          <w:bCs/>
          <w:color w:val="21798E" w:themeColor="accent1" w:themeShade="BF"/>
          <w:sz w:val="32"/>
          <w:szCs w:val="32"/>
        </w:rPr>
      </w:pPr>
      <w:r w:rsidRPr="00746C01">
        <w:rPr>
          <w:b/>
          <w:color w:val="21798E" w:themeColor="accent1" w:themeShade="BF"/>
          <w:sz w:val="32"/>
          <w:szCs w:val="32"/>
        </w:rPr>
        <w:t>2.11 Maternity</w:t>
      </w:r>
    </w:p>
    <w:p w:rsidR="003D24ED" w:rsidRPr="00D06C14" w:rsidRDefault="003D24ED" w:rsidP="003D24ED">
      <w:pPr>
        <w:pStyle w:val="NoSpacing"/>
        <w:jc w:val="both"/>
        <w:rPr>
          <w:sz w:val="10"/>
        </w:rPr>
      </w:pPr>
    </w:p>
    <w:p w:rsidR="00C64C6B" w:rsidRDefault="00C64C6B" w:rsidP="00C64C6B">
      <w:pPr>
        <w:jc w:val="both"/>
        <w:rPr>
          <w:sz w:val="24"/>
          <w:szCs w:val="24"/>
        </w:rPr>
      </w:pPr>
      <w:bookmarkStart w:id="33" w:name="_Toc362959138"/>
      <w:bookmarkStart w:id="34" w:name="_Toc381084869"/>
      <w:bookmarkEnd w:id="32"/>
      <w:r w:rsidRPr="00D06C14">
        <w:rPr>
          <w:sz w:val="24"/>
          <w:szCs w:val="24"/>
        </w:rPr>
        <w:t xml:space="preserve">The maternity team achieved variable results both its national targets for initiating breastfeeding in-hospital and mothers not smoking at the time of delivery in June and July.  </w:t>
      </w:r>
    </w:p>
    <w:p w:rsidR="00C64C6B" w:rsidRPr="00D06C14" w:rsidRDefault="00C64C6B" w:rsidP="00C64C6B">
      <w:pPr>
        <w:rPr>
          <w:sz w:val="24"/>
          <w:szCs w:val="24"/>
        </w:rPr>
      </w:pPr>
      <w:r w:rsidRPr="00D06C14">
        <w:rPr>
          <w:sz w:val="24"/>
          <w:szCs w:val="24"/>
        </w:rPr>
        <w:t xml:space="preserve">All midwives and maternity support staff now have access to the online Quit Manager referral service. The Matron is receiving reports from SmokeFree North Somerset on the number of referrals. </w:t>
      </w:r>
    </w:p>
    <w:p w:rsidR="00C64C6B" w:rsidRPr="00D06C14" w:rsidRDefault="00C64C6B" w:rsidP="00C64C6B">
      <w:pPr>
        <w:rPr>
          <w:sz w:val="24"/>
          <w:szCs w:val="24"/>
        </w:rPr>
      </w:pPr>
      <w:r w:rsidRPr="00D06C14">
        <w:rPr>
          <w:sz w:val="24"/>
          <w:szCs w:val="24"/>
        </w:rPr>
        <w:t xml:space="preserve">The Infant Feeding Specialist Midwife is currently undertaking the annual audit of breastfeeding standards as required by UNICEF UK Baby Friendly to maintain full Baby Friendly Status. </w:t>
      </w:r>
    </w:p>
    <w:p w:rsidR="00C64C6B" w:rsidRPr="00D06C14" w:rsidRDefault="00C64C6B" w:rsidP="00C64C6B">
      <w:pPr>
        <w:rPr>
          <w:sz w:val="24"/>
          <w:szCs w:val="24"/>
        </w:rPr>
      </w:pPr>
      <w:r>
        <w:rPr>
          <w:sz w:val="24"/>
          <w:szCs w:val="24"/>
        </w:rPr>
        <w:t>Two </w:t>
      </w:r>
      <w:r w:rsidRPr="00D06C14">
        <w:rPr>
          <w:sz w:val="24"/>
          <w:szCs w:val="24"/>
        </w:rPr>
        <w:t>initiatives have been implemented to increase the number of women choosing to give birth at A</w:t>
      </w:r>
      <w:r>
        <w:rPr>
          <w:sz w:val="24"/>
          <w:szCs w:val="24"/>
        </w:rPr>
        <w:t xml:space="preserve">shcombe </w:t>
      </w:r>
      <w:r w:rsidRPr="00D06C14">
        <w:rPr>
          <w:sz w:val="24"/>
          <w:szCs w:val="24"/>
        </w:rPr>
        <w:t>B</w:t>
      </w:r>
      <w:r>
        <w:rPr>
          <w:sz w:val="24"/>
          <w:szCs w:val="24"/>
        </w:rPr>
        <w:t xml:space="preserve">irth </w:t>
      </w:r>
      <w:r w:rsidRPr="00D06C14">
        <w:rPr>
          <w:sz w:val="24"/>
          <w:szCs w:val="24"/>
        </w:rPr>
        <w:t>C</w:t>
      </w:r>
      <w:r>
        <w:rPr>
          <w:sz w:val="24"/>
          <w:szCs w:val="24"/>
        </w:rPr>
        <w:t>entre</w:t>
      </w:r>
      <w:r w:rsidRPr="00D06C14">
        <w:rPr>
          <w:sz w:val="24"/>
          <w:szCs w:val="24"/>
        </w:rPr>
        <w:t>:</w:t>
      </w:r>
    </w:p>
    <w:p w:rsidR="00C64C6B" w:rsidRPr="00D06C14" w:rsidRDefault="00C64C6B" w:rsidP="00C64C6B">
      <w:pPr>
        <w:pStyle w:val="ListParagraph"/>
        <w:numPr>
          <w:ilvl w:val="1"/>
          <w:numId w:val="28"/>
        </w:numPr>
        <w:contextualSpacing w:val="0"/>
        <w:rPr>
          <w:sz w:val="24"/>
          <w:szCs w:val="24"/>
        </w:rPr>
      </w:pPr>
      <w:r w:rsidRPr="00D06C14">
        <w:rPr>
          <w:sz w:val="24"/>
          <w:szCs w:val="24"/>
        </w:rPr>
        <w:t xml:space="preserve">Provision of an overnight stay for the birth partner in a single room with the new mother and baby on the first night after birth. Sleeper chairs have been purchased and a pathway and service-user information developed. </w:t>
      </w:r>
    </w:p>
    <w:p w:rsidR="00C64C6B" w:rsidRPr="00D06C14" w:rsidRDefault="00C64C6B" w:rsidP="00C64C6B">
      <w:pPr>
        <w:pStyle w:val="ListParagraph"/>
        <w:numPr>
          <w:ilvl w:val="1"/>
          <w:numId w:val="28"/>
        </w:numPr>
        <w:contextualSpacing w:val="0"/>
        <w:rPr>
          <w:sz w:val="24"/>
          <w:szCs w:val="24"/>
        </w:rPr>
      </w:pPr>
      <w:r w:rsidRPr="00D06C14">
        <w:rPr>
          <w:sz w:val="24"/>
          <w:szCs w:val="24"/>
        </w:rPr>
        <w:lastRenderedPageBreak/>
        <w:t>A midwife-led clinic on A</w:t>
      </w:r>
      <w:r>
        <w:rPr>
          <w:sz w:val="24"/>
          <w:szCs w:val="24"/>
        </w:rPr>
        <w:t xml:space="preserve">shcombe </w:t>
      </w:r>
      <w:r w:rsidRPr="00D06C14">
        <w:rPr>
          <w:sz w:val="24"/>
          <w:szCs w:val="24"/>
        </w:rPr>
        <w:t>B</w:t>
      </w:r>
      <w:r>
        <w:rPr>
          <w:sz w:val="24"/>
          <w:szCs w:val="24"/>
        </w:rPr>
        <w:t xml:space="preserve">irth </w:t>
      </w:r>
      <w:r w:rsidRPr="00D06C14">
        <w:rPr>
          <w:sz w:val="24"/>
          <w:szCs w:val="24"/>
        </w:rPr>
        <w:t>C</w:t>
      </w:r>
      <w:r>
        <w:rPr>
          <w:sz w:val="24"/>
          <w:szCs w:val="24"/>
        </w:rPr>
        <w:t>entre</w:t>
      </w:r>
      <w:r w:rsidRPr="00D06C14">
        <w:rPr>
          <w:sz w:val="24"/>
          <w:szCs w:val="24"/>
        </w:rPr>
        <w:t xml:space="preserve"> for women who are 36 weeks pregnant and suitable for midwife-led care in labour. This takes the place of the routine community appointment with the named-midwife, and includes a tour of A</w:t>
      </w:r>
      <w:r>
        <w:rPr>
          <w:sz w:val="24"/>
          <w:szCs w:val="24"/>
        </w:rPr>
        <w:t xml:space="preserve">shcombe </w:t>
      </w:r>
      <w:r w:rsidRPr="00D06C14">
        <w:rPr>
          <w:sz w:val="24"/>
          <w:szCs w:val="24"/>
        </w:rPr>
        <w:t>B</w:t>
      </w:r>
      <w:r>
        <w:rPr>
          <w:sz w:val="24"/>
          <w:szCs w:val="24"/>
        </w:rPr>
        <w:t xml:space="preserve">irth </w:t>
      </w:r>
      <w:r w:rsidRPr="00D06C14">
        <w:rPr>
          <w:sz w:val="24"/>
          <w:szCs w:val="24"/>
        </w:rPr>
        <w:t>C</w:t>
      </w:r>
      <w:r>
        <w:rPr>
          <w:sz w:val="24"/>
          <w:szCs w:val="24"/>
        </w:rPr>
        <w:t>entre</w:t>
      </w:r>
      <w:r w:rsidRPr="00D06C14">
        <w:rPr>
          <w:sz w:val="24"/>
          <w:szCs w:val="24"/>
        </w:rPr>
        <w:t xml:space="preserve"> and information on the services provided. </w:t>
      </w:r>
    </w:p>
    <w:p w:rsidR="00E82773" w:rsidRPr="00E82773" w:rsidRDefault="00E82773" w:rsidP="00E82773">
      <w:pPr>
        <w:pStyle w:val="ListParagraph"/>
        <w:ind w:left="1440"/>
        <w:contextualSpacing w:val="0"/>
        <w:rPr>
          <w:sz w:val="24"/>
          <w:szCs w:val="24"/>
        </w:rPr>
      </w:pPr>
    </w:p>
    <w:p w:rsidR="00293B7D" w:rsidRPr="00836623" w:rsidRDefault="007924BE" w:rsidP="00293B7D">
      <w:pPr>
        <w:pStyle w:val="Heading2"/>
      </w:pPr>
      <w:r w:rsidRPr="00836623">
        <w:t>2.12</w:t>
      </w:r>
      <w:r w:rsidR="00346F66" w:rsidRPr="00836623">
        <w:t xml:space="preserve"> Venous Thrombo-E</w:t>
      </w:r>
      <w:r w:rsidR="00293B7D" w:rsidRPr="00836623">
        <w:t>mbolism (VTE)</w:t>
      </w:r>
      <w:bookmarkEnd w:id="33"/>
      <w:bookmarkEnd w:id="34"/>
    </w:p>
    <w:p w:rsidR="00C64C6B" w:rsidRPr="005A17A8" w:rsidRDefault="00C64C6B" w:rsidP="00C64C6B">
      <w:pPr>
        <w:jc w:val="both"/>
        <w:rPr>
          <w:sz w:val="24"/>
          <w:szCs w:val="24"/>
        </w:rPr>
      </w:pPr>
      <w:r w:rsidRPr="005A17A8">
        <w:rPr>
          <w:sz w:val="24"/>
          <w:szCs w:val="24"/>
        </w:rPr>
        <w:t>The completion of the VTE risk assessment and the necessary actions as a result of the assessment is vital for patient safety to ensure that patients are not at risk of unnecessary harm from avoidable DVT or pulmonary embolism.</w:t>
      </w:r>
      <w:r w:rsidRPr="005A17A8">
        <w:rPr>
          <w:i/>
          <w:sz w:val="24"/>
          <w:szCs w:val="24"/>
        </w:rPr>
        <w:t xml:space="preserve">  </w:t>
      </w:r>
    </w:p>
    <w:p w:rsidR="00C64C6B" w:rsidRDefault="00C64C6B" w:rsidP="00C64C6B">
      <w:pPr>
        <w:jc w:val="both"/>
        <w:rPr>
          <w:sz w:val="24"/>
          <w:szCs w:val="24"/>
        </w:rPr>
      </w:pPr>
      <w:r w:rsidRPr="005A17A8">
        <w:rPr>
          <w:sz w:val="24"/>
          <w:szCs w:val="24"/>
        </w:rPr>
        <w:t>The Trust is aiming to achieve 100% of inpatients receiving a VTE risk assessment according to NICE guidance in 2014/15.</w:t>
      </w:r>
      <w:r>
        <w:rPr>
          <w:sz w:val="24"/>
          <w:szCs w:val="24"/>
        </w:rPr>
        <w:t xml:space="preserve">  In June the Trust improved performance and achieved the </w:t>
      </w:r>
      <w:r w:rsidRPr="005A17A8">
        <w:rPr>
          <w:sz w:val="24"/>
          <w:szCs w:val="24"/>
        </w:rPr>
        <w:t>national target</w:t>
      </w:r>
      <w:r>
        <w:rPr>
          <w:sz w:val="24"/>
          <w:szCs w:val="24"/>
        </w:rPr>
        <w:t xml:space="preserve"> of 95%</w:t>
      </w:r>
      <w:r w:rsidRPr="005A17A8">
        <w:rPr>
          <w:sz w:val="24"/>
          <w:szCs w:val="24"/>
        </w:rPr>
        <w:t xml:space="preserve"> with</w:t>
      </w:r>
      <w:r>
        <w:rPr>
          <w:sz w:val="24"/>
          <w:szCs w:val="24"/>
        </w:rPr>
        <w:t xml:space="preserve"> 98.4%</w:t>
      </w:r>
      <w:r w:rsidRPr="007A4481">
        <w:rPr>
          <w:sz w:val="24"/>
          <w:szCs w:val="24"/>
        </w:rPr>
        <w:t xml:space="preserve"> </w:t>
      </w:r>
      <w:r w:rsidRPr="005A17A8">
        <w:rPr>
          <w:sz w:val="24"/>
          <w:szCs w:val="24"/>
        </w:rPr>
        <w:t>of appropriate patients receiving a VTE risk assessment.</w:t>
      </w:r>
      <w:r>
        <w:rPr>
          <w:sz w:val="24"/>
          <w:szCs w:val="24"/>
        </w:rPr>
        <w:t xml:space="preserve"> The proactive monitoring of compliance to assessment within 24 hours will continue until at least March 2015 to ensure this assessment is well embedded in practice.</w:t>
      </w:r>
    </w:p>
    <w:p w:rsidR="00D6526F" w:rsidRDefault="00D6526F"/>
    <w:p w:rsidR="00A549EC" w:rsidRDefault="00A549EC">
      <w:pPr>
        <w:rPr>
          <w:rFonts w:asciiTheme="majorHAnsi" w:eastAsiaTheme="majorEastAsia" w:hAnsiTheme="majorHAnsi" w:cstheme="majorBidi"/>
          <w:b/>
          <w:bCs/>
          <w:color w:val="21798E" w:themeColor="accent1" w:themeShade="BF"/>
          <w:sz w:val="56"/>
          <w:szCs w:val="28"/>
        </w:rPr>
      </w:pPr>
      <w:bookmarkStart w:id="35" w:name="_Toc381084870"/>
      <w:r>
        <w:rPr>
          <w:sz w:val="56"/>
        </w:rPr>
        <w:br w:type="page"/>
      </w:r>
    </w:p>
    <w:p w:rsidR="00D1431F" w:rsidRDefault="005866E8" w:rsidP="00D1431F">
      <w:pPr>
        <w:pStyle w:val="Heading1"/>
      </w:pPr>
      <w:r>
        <w:rPr>
          <w:noProof/>
        </w:rPr>
        <w:lastRenderedPageBreak/>
        <w:pict>
          <v:roundrect id="AutoShape 20" o:spid="_x0000_s1051" style="position:absolute;margin-left:-11.1pt;margin-top:48.2pt;width:538.85pt;height:284.6pt;z-index:-25159270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" fillcolor="white [3201]" strokecolor="#79cbdf [1940]" strokeweight="1pt">
            <v:fill color2="#a6dcea [1300]" focus="100%" type="gradient"/>
            <v:shadow on="t" color="#16505e [1604]" opacity=".5" offset="1pt"/>
          </v:roundrect>
        </w:pict>
      </w:r>
      <w:r w:rsidR="00D1431F" w:rsidRPr="00EC07FC">
        <w:rPr>
          <w:sz w:val="56"/>
        </w:rPr>
        <w:t>Section 3 Operational Performance</w:t>
      </w:r>
      <w:bookmarkEnd w:id="35"/>
      <w:r w:rsidR="00D1431F" w:rsidRPr="00EC07FC">
        <w:rPr>
          <w:sz w:val="56"/>
        </w:rPr>
        <w:t xml:space="preserve"> </w:t>
      </w:r>
    </w:p>
    <w:p w:rsidR="00DE0A1A" w:rsidRDefault="00DE0A1A" w:rsidP="00DE0A1A">
      <w:pPr>
        <w:pStyle w:val="Heading2"/>
      </w:pPr>
      <w:bookmarkStart w:id="36" w:name="_Toc381084871"/>
      <w:r>
        <w:t>3.1 Executive Summary Headlines</w:t>
      </w:r>
    </w:p>
    <w:p w:rsidR="00DE0A1A" w:rsidRPr="00D56A6C" w:rsidRDefault="00DE0A1A" w:rsidP="00DE0A1A">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sz w:val="24"/>
        </w:rPr>
      </w:pPr>
      <w:r w:rsidRPr="00D56A6C">
        <w:rPr>
          <w:rFonts w:cs="Arial"/>
          <w:sz w:val="24"/>
        </w:rPr>
        <w:t xml:space="preserve">In Quarter one the Trust achieved seven of the eight national cancer targets.  </w:t>
      </w:r>
    </w:p>
    <w:p w:rsidR="00DE0A1A" w:rsidRPr="00D56A6C" w:rsidRDefault="00DE0A1A" w:rsidP="00DE0A1A">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sz w:val="24"/>
        </w:rPr>
      </w:pPr>
      <w:r>
        <w:rPr>
          <w:rFonts w:cs="Arial"/>
          <w:sz w:val="24"/>
        </w:rPr>
        <w:t xml:space="preserve">The Trust continues to reduce the number of patients waiting over 16 weeks in line with the national requirement set by NHS England.     </w:t>
      </w:r>
      <w:r w:rsidRPr="00D56A6C">
        <w:rPr>
          <w:rFonts w:cs="Arial"/>
          <w:sz w:val="24"/>
        </w:rPr>
        <w:t xml:space="preserve">  </w:t>
      </w:r>
    </w:p>
    <w:p w:rsidR="00DE0A1A" w:rsidRPr="00383E0B" w:rsidRDefault="00DE0A1A" w:rsidP="00DE0A1A">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sz w:val="24"/>
        </w:rPr>
      </w:pPr>
      <w:r w:rsidRPr="00383E0B">
        <w:rPr>
          <w:rFonts w:cs="Arial"/>
          <w:sz w:val="24"/>
        </w:rPr>
        <w:t>The Emergency Department Four Hour target was achieved for the seventh consecutive month in June but an unexpected and significant change in activity volumes, flows and acuity</w:t>
      </w:r>
      <w:r>
        <w:rPr>
          <w:rFonts w:cs="Arial"/>
          <w:sz w:val="24"/>
        </w:rPr>
        <w:t xml:space="preserve"> meant that the target was not achieved in July.  A robust action plan and daily monitoring is in place.  </w:t>
      </w:r>
      <w:r w:rsidRPr="00383E0B">
        <w:rPr>
          <w:rFonts w:cs="Arial"/>
          <w:sz w:val="24"/>
        </w:rPr>
        <w:t xml:space="preserve"> </w:t>
      </w:r>
    </w:p>
    <w:p w:rsidR="00DE0A1A" w:rsidRPr="00383E0B" w:rsidRDefault="00DE0A1A" w:rsidP="00DE0A1A">
      <w:pPr>
        <w:pStyle w:val="ListParagraph"/>
        <w:widowControl w:val="0"/>
        <w:numPr>
          <w:ilvl w:val="0"/>
          <w:numId w:val="3"/>
        </w:numPr>
        <w:autoSpaceDE w:val="0"/>
        <w:autoSpaceDN w:val="0"/>
        <w:adjustRightInd w:val="0"/>
        <w:spacing w:before="240" w:after="0" w:line="240" w:lineRule="auto"/>
        <w:ind w:left="426" w:hanging="426"/>
        <w:contextualSpacing w:val="0"/>
        <w:jc w:val="both"/>
        <w:rPr>
          <w:rFonts w:cs="Arial"/>
        </w:rPr>
      </w:pPr>
      <w:r>
        <w:rPr>
          <w:rFonts w:cs="Arial"/>
          <w:sz w:val="24"/>
        </w:rPr>
        <w:t xml:space="preserve">The </w:t>
      </w:r>
      <w:r w:rsidRPr="00383E0B">
        <w:rPr>
          <w:rFonts w:cs="Arial"/>
          <w:sz w:val="24"/>
        </w:rPr>
        <w:t xml:space="preserve">focus on optimising the patient pathway has lead to continued </w:t>
      </w:r>
      <w:r>
        <w:rPr>
          <w:rFonts w:cs="Arial"/>
          <w:sz w:val="24"/>
        </w:rPr>
        <w:t>reduction in the average length of stay</w:t>
      </w:r>
      <w:r w:rsidRPr="00383E0B">
        <w:rPr>
          <w:rFonts w:cs="Arial"/>
          <w:sz w:val="24"/>
        </w:rPr>
        <w:t xml:space="preserve"> and the </w:t>
      </w:r>
      <w:r>
        <w:rPr>
          <w:rFonts w:cs="Arial"/>
          <w:sz w:val="24"/>
        </w:rPr>
        <w:t xml:space="preserve">number of patients in the hospital with a length of stay over </w:t>
      </w:r>
      <w:r w:rsidRPr="00383E0B">
        <w:rPr>
          <w:rFonts w:cs="Arial"/>
          <w:sz w:val="24"/>
        </w:rPr>
        <w:t xml:space="preserve">10 days.  </w:t>
      </w:r>
    </w:p>
    <w:p w:rsidR="000A133B" w:rsidRDefault="000A133B" w:rsidP="00D1431F">
      <w:pPr>
        <w:pStyle w:val="Heading2"/>
      </w:pPr>
      <w:bookmarkStart w:id="37" w:name="_Toc381084872"/>
      <w:bookmarkEnd w:id="36"/>
    </w:p>
    <w:p w:rsidR="00D1431F" w:rsidRDefault="00573FC5" w:rsidP="00D1431F">
      <w:pPr>
        <w:pStyle w:val="Heading2"/>
      </w:pPr>
      <w:r>
        <w:t>3</w:t>
      </w:r>
      <w:r w:rsidR="00D1431F">
        <w:t>.2 Operational Performance</w:t>
      </w:r>
      <w:bookmarkEnd w:id="37"/>
    </w:p>
    <w:p w:rsidR="00D1431F" w:rsidRPr="00CD7EE3" w:rsidRDefault="00D1431F" w:rsidP="00D1431F">
      <w:pPr>
        <w:spacing w:before="240"/>
        <w:jc w:val="both"/>
        <w:rPr>
          <w:rFonts w:cs="Arial"/>
          <w:sz w:val="24"/>
        </w:rPr>
      </w:pPr>
      <w:r w:rsidRPr="00CD7EE3">
        <w:rPr>
          <w:rFonts w:cs="Arial"/>
          <w:sz w:val="24"/>
        </w:rPr>
        <w:t>The following sections detail the Trust performance against a number of key indicators.  The report is divided into:</w:t>
      </w:r>
    </w:p>
    <w:p w:rsidR="00D1431F" w:rsidRPr="00CD7EE3" w:rsidRDefault="00D1431F" w:rsidP="00D1431F">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Clinical Indicators</w:t>
      </w:r>
    </w:p>
    <w:p w:rsidR="00D1431F" w:rsidRPr="00CD7EE3" w:rsidRDefault="00D1431F" w:rsidP="00D1431F">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Clinical Pathways</w:t>
      </w:r>
    </w:p>
    <w:p w:rsidR="00D1431F" w:rsidRPr="00CD7EE3" w:rsidRDefault="00D1431F" w:rsidP="00D1431F">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Emergency Access</w:t>
      </w:r>
    </w:p>
    <w:p w:rsidR="00D1431F" w:rsidRPr="00CD7EE3" w:rsidRDefault="00D1431F" w:rsidP="00D1431F">
      <w:pPr>
        <w:pStyle w:val="ListParagraph"/>
        <w:widowControl w:val="0"/>
        <w:numPr>
          <w:ilvl w:val="0"/>
          <w:numId w:val="1"/>
        </w:numPr>
        <w:autoSpaceDE w:val="0"/>
        <w:autoSpaceDN w:val="0"/>
        <w:adjustRightInd w:val="0"/>
        <w:spacing w:after="0"/>
        <w:contextualSpacing w:val="0"/>
        <w:jc w:val="both"/>
        <w:rPr>
          <w:rFonts w:cs="Arial"/>
          <w:i/>
          <w:sz w:val="24"/>
        </w:rPr>
      </w:pPr>
      <w:r w:rsidRPr="00CD7EE3">
        <w:rPr>
          <w:rFonts w:cs="Arial"/>
          <w:i/>
          <w:sz w:val="24"/>
        </w:rPr>
        <w:t>Elective Access</w:t>
      </w:r>
    </w:p>
    <w:p w:rsidR="00D1431F" w:rsidRPr="00CD7EE3" w:rsidRDefault="00D1431F" w:rsidP="00D1431F">
      <w:pPr>
        <w:pStyle w:val="ListParagraph"/>
        <w:widowControl w:val="0"/>
        <w:numPr>
          <w:ilvl w:val="0"/>
          <w:numId w:val="1"/>
        </w:numPr>
        <w:autoSpaceDE w:val="0"/>
        <w:autoSpaceDN w:val="0"/>
        <w:adjustRightInd w:val="0"/>
        <w:spacing w:after="240"/>
        <w:contextualSpacing w:val="0"/>
        <w:jc w:val="both"/>
        <w:rPr>
          <w:rFonts w:cs="Arial"/>
          <w:i/>
          <w:sz w:val="24"/>
        </w:rPr>
      </w:pPr>
      <w:r w:rsidRPr="00CD7EE3">
        <w:rPr>
          <w:rFonts w:cs="Arial"/>
          <w:i/>
          <w:sz w:val="24"/>
        </w:rPr>
        <w:t>Patient Flow</w:t>
      </w:r>
    </w:p>
    <w:p w:rsidR="00D1431F" w:rsidRDefault="00D1431F" w:rsidP="00D1431F">
      <w:pPr>
        <w:pStyle w:val="Heading2"/>
      </w:pPr>
      <w:bookmarkStart w:id="38" w:name="_Toc381084873"/>
      <w:r>
        <w:t>3.3 Clinical Indicators</w:t>
      </w:r>
      <w:bookmarkEnd w:id="38"/>
    </w:p>
    <w:p w:rsidR="00D1431F" w:rsidRPr="00CD7EE3" w:rsidRDefault="00D1431F" w:rsidP="00D1431F">
      <w:pPr>
        <w:rPr>
          <w:rFonts w:cs="Arial"/>
          <w:i/>
          <w:sz w:val="24"/>
        </w:rPr>
      </w:pPr>
      <w:r w:rsidRPr="00CD7EE3">
        <w:rPr>
          <w:rFonts w:cs="Arial"/>
          <w:i/>
          <w:sz w:val="24"/>
        </w:rPr>
        <w:t>This section analyses the clinical indicators which directly influence operational performance.</w:t>
      </w:r>
    </w:p>
    <w:p w:rsidR="00D1431F" w:rsidRPr="00601334" w:rsidRDefault="00D1431F" w:rsidP="00D1431F">
      <w:pPr>
        <w:pStyle w:val="Heading3"/>
        <w:rPr>
          <w:sz w:val="24"/>
        </w:rPr>
      </w:pPr>
      <w:bookmarkStart w:id="39" w:name="_Toc381084874"/>
      <w:r w:rsidRPr="00601334">
        <w:rPr>
          <w:sz w:val="24"/>
        </w:rPr>
        <w:t>3.3.1 Emergency Readmissions</w:t>
      </w:r>
      <w:bookmarkEnd w:id="39"/>
    </w:p>
    <w:p w:rsidR="00A35D63" w:rsidRPr="00CD7EE3" w:rsidRDefault="00D1431F" w:rsidP="00D1431F">
      <w:pPr>
        <w:spacing w:before="240"/>
        <w:jc w:val="both"/>
        <w:rPr>
          <w:rFonts w:cs="Arial"/>
          <w:sz w:val="24"/>
        </w:rPr>
      </w:pPr>
      <w:r w:rsidRPr="00CD7EE3">
        <w:rPr>
          <w:rFonts w:cs="Arial"/>
          <w:sz w:val="24"/>
        </w:rPr>
        <w:t xml:space="preserve">An emergency readmission is defined as an unplanned readmission within an identified time of leaving the hospital.  The ideal readmission rate is zero however this is not </w:t>
      </w:r>
      <w:r w:rsidRPr="00CD7EE3">
        <w:rPr>
          <w:rFonts w:cs="Arial"/>
          <w:sz w:val="24"/>
        </w:rPr>
        <w:lastRenderedPageBreak/>
        <w:t xml:space="preserve">always possible as patients can have multiple co-morbidities or long-term conditions which require frequent medical attention.  Monitoring emergency readmission rates is important to the Trust as it can help to prevent or reduce unplanned readmissions to hospital.  </w:t>
      </w:r>
    </w:p>
    <w:p w:rsidR="00D1431F" w:rsidRPr="00CD7EE3" w:rsidRDefault="00D1431F" w:rsidP="00D1431F">
      <w:pPr>
        <w:spacing w:before="240"/>
        <w:jc w:val="both"/>
        <w:rPr>
          <w:rFonts w:cs="Arial"/>
          <w:sz w:val="24"/>
        </w:rPr>
      </w:pPr>
      <w:r w:rsidRPr="00CD7EE3">
        <w:rPr>
          <w:rFonts w:cs="Arial"/>
          <w:sz w:val="24"/>
        </w:rPr>
        <w:t xml:space="preserve">The Trust monitors emergency readmissions within 14 days and 30 days.  </w:t>
      </w:r>
      <w:r w:rsidRPr="00D556D5">
        <w:rPr>
          <w:rFonts w:cs="Arial"/>
          <w:sz w:val="24"/>
        </w:rPr>
        <w:t xml:space="preserve">As </w:t>
      </w:r>
      <w:r w:rsidR="00671331" w:rsidRPr="00D556D5">
        <w:rPr>
          <w:rFonts w:cs="Arial"/>
          <w:sz w:val="24"/>
        </w:rPr>
        <w:t>illustrated</w:t>
      </w:r>
      <w:r w:rsidRPr="00D556D5">
        <w:rPr>
          <w:rFonts w:cs="Arial"/>
          <w:sz w:val="24"/>
        </w:rPr>
        <w:t xml:space="preserve"> in </w:t>
      </w:r>
      <w:r w:rsidR="006D207F" w:rsidRPr="00DF134A">
        <w:rPr>
          <w:rFonts w:cs="Arial"/>
          <w:i/>
          <w:sz w:val="24"/>
        </w:rPr>
        <w:t xml:space="preserve">Figure </w:t>
      </w:r>
      <w:r w:rsidR="00DF3238">
        <w:rPr>
          <w:rFonts w:cs="Arial"/>
          <w:i/>
          <w:sz w:val="24"/>
        </w:rPr>
        <w:t>20</w:t>
      </w:r>
      <w:r w:rsidRPr="00D556D5">
        <w:rPr>
          <w:rFonts w:cs="Arial"/>
          <w:i/>
          <w:sz w:val="24"/>
        </w:rPr>
        <w:t xml:space="preserve"> </w:t>
      </w:r>
      <w:r w:rsidRPr="00D556D5">
        <w:rPr>
          <w:rFonts w:cs="Arial"/>
          <w:sz w:val="24"/>
        </w:rPr>
        <w:t xml:space="preserve">performance </w:t>
      </w:r>
      <w:r w:rsidR="00671331" w:rsidRPr="00D556D5">
        <w:rPr>
          <w:rFonts w:cs="Arial"/>
          <w:sz w:val="24"/>
        </w:rPr>
        <w:t xml:space="preserve">continued to improve across </w:t>
      </w:r>
      <w:r w:rsidR="00D556D5" w:rsidRPr="00D556D5">
        <w:rPr>
          <w:rFonts w:cs="Arial"/>
          <w:sz w:val="24"/>
        </w:rPr>
        <w:t>June &amp; July</w:t>
      </w:r>
      <w:r w:rsidR="00210A68">
        <w:rPr>
          <w:rFonts w:cs="Arial"/>
          <w:sz w:val="24"/>
        </w:rPr>
        <w:t xml:space="preserve">.  </w:t>
      </w:r>
      <w:r w:rsidRPr="00CD7EE3">
        <w:rPr>
          <w:rFonts w:cs="Arial"/>
          <w:sz w:val="24"/>
        </w:rPr>
        <w:t xml:space="preserve">  </w:t>
      </w:r>
    </w:p>
    <w:p w:rsidR="00D1431F" w:rsidRPr="00671331" w:rsidRDefault="006D207F" w:rsidP="00D1431F">
      <w:pPr>
        <w:spacing w:before="240"/>
        <w:jc w:val="both"/>
        <w:rPr>
          <w:rFonts w:cs="Arial"/>
        </w:rPr>
      </w:pPr>
      <w:r>
        <w:rPr>
          <w:b/>
        </w:rPr>
        <w:t xml:space="preserve">Figure </w:t>
      </w:r>
      <w:r w:rsidR="00DF3238">
        <w:rPr>
          <w:b/>
        </w:rPr>
        <w:t>20</w:t>
      </w:r>
      <w:r w:rsidR="00D1431F" w:rsidRPr="00671331">
        <w:rPr>
          <w:b/>
        </w:rPr>
        <w:t>:</w:t>
      </w:r>
    </w:p>
    <w:p w:rsidR="00D1431F" w:rsidRDefault="004A5299" w:rsidP="00D1431F">
      <w:pPr>
        <w:pStyle w:val="NoSpacing"/>
        <w:jc w:val="center"/>
        <w:rPr>
          <w:noProof/>
        </w:rPr>
      </w:pPr>
      <w:r w:rsidRPr="004A5299">
        <w:rPr>
          <w:noProof/>
        </w:rPr>
        <w:drawing>
          <wp:inline distT="0" distB="0" distL="0" distR="0">
            <wp:extent cx="6645910" cy="3729709"/>
            <wp:effectExtent l="19050" t="0" r="2540"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srcRect/>
                    <a:stretch>
                      <a:fillRect/>
                    </a:stretch>
                  </pic:blipFill>
                  <pic:spPr bwMode="auto">
                    <a:xfrm>
                      <a:off x="0" y="0"/>
                      <a:ext cx="6645910" cy="3729709"/>
                    </a:xfrm>
                    <a:prstGeom prst="rect">
                      <a:avLst/>
                    </a:prstGeom>
                    <a:noFill/>
                    <a:ln w="9525">
                      <a:noFill/>
                      <a:miter lim="800000"/>
                      <a:headEnd/>
                      <a:tailEnd/>
                    </a:ln>
                  </pic:spPr>
                </pic:pic>
              </a:graphicData>
            </a:graphic>
          </wp:inline>
        </w:drawing>
      </w:r>
    </w:p>
    <w:p w:rsidR="004A5299" w:rsidRDefault="004A5299" w:rsidP="00D1431F">
      <w:pPr>
        <w:pStyle w:val="NoSpacing"/>
        <w:jc w:val="center"/>
        <w:rPr>
          <w:noProof/>
        </w:rPr>
      </w:pPr>
      <w:r w:rsidRPr="004A5299">
        <w:rPr>
          <w:noProof/>
        </w:rPr>
        <w:lastRenderedPageBreak/>
        <w:drawing>
          <wp:inline distT="0" distB="0" distL="0" distR="0">
            <wp:extent cx="6645910" cy="3670394"/>
            <wp:effectExtent l="19050" t="0" r="254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srcRect/>
                    <a:stretch>
                      <a:fillRect/>
                    </a:stretch>
                  </pic:blipFill>
                  <pic:spPr bwMode="auto">
                    <a:xfrm>
                      <a:off x="0" y="0"/>
                      <a:ext cx="6645910" cy="3670394"/>
                    </a:xfrm>
                    <a:prstGeom prst="rect">
                      <a:avLst/>
                    </a:prstGeom>
                    <a:noFill/>
                    <a:ln w="9525">
                      <a:noFill/>
                      <a:miter lim="800000"/>
                      <a:headEnd/>
                      <a:tailEnd/>
                    </a:ln>
                  </pic:spPr>
                </pic:pic>
              </a:graphicData>
            </a:graphic>
          </wp:inline>
        </w:drawing>
      </w:r>
    </w:p>
    <w:p w:rsidR="00D1431F" w:rsidRPr="00671331" w:rsidRDefault="00D1431F" w:rsidP="00D1431F">
      <w:pPr>
        <w:spacing w:before="240"/>
        <w:jc w:val="both"/>
        <w:rPr>
          <w:rFonts w:cs="Arial"/>
          <w:b/>
        </w:rPr>
      </w:pPr>
      <w:r w:rsidRPr="00671331">
        <w:rPr>
          <w:rFonts w:cs="Arial"/>
          <w:b/>
        </w:rPr>
        <w:t>Trust Action:</w:t>
      </w:r>
    </w:p>
    <w:p w:rsidR="00210A68" w:rsidRDefault="00671331" w:rsidP="00D1431F">
      <w:pPr>
        <w:spacing w:before="240"/>
        <w:jc w:val="both"/>
        <w:rPr>
          <w:rFonts w:cs="Arial"/>
          <w:sz w:val="24"/>
        </w:rPr>
      </w:pPr>
      <w:r w:rsidRPr="00CD7EE3">
        <w:rPr>
          <w:rFonts w:cs="Arial"/>
          <w:sz w:val="24"/>
        </w:rPr>
        <w:t xml:space="preserve">To provide additional assurance that emergency readmissions are not </w:t>
      </w:r>
      <w:r w:rsidR="008B5FB0">
        <w:rPr>
          <w:rFonts w:cs="Arial"/>
          <w:sz w:val="24"/>
        </w:rPr>
        <w:t>related to the original episode of care,</w:t>
      </w:r>
      <w:r w:rsidR="004D1FDD">
        <w:rPr>
          <w:rFonts w:cs="Arial"/>
          <w:sz w:val="24"/>
        </w:rPr>
        <w:t xml:space="preserve"> the </w:t>
      </w:r>
      <w:r w:rsidRPr="00CD7EE3">
        <w:rPr>
          <w:rFonts w:cs="Arial"/>
          <w:sz w:val="24"/>
        </w:rPr>
        <w:t xml:space="preserve">Emergency &amp; Urgent Care Division </w:t>
      </w:r>
      <w:r w:rsidR="00210A68">
        <w:rPr>
          <w:rFonts w:cs="Arial"/>
          <w:sz w:val="24"/>
        </w:rPr>
        <w:t xml:space="preserve">are undertaking regular audits of the readmissions to provide assurance that patients are not being readmitted as a result of the Trusts treatment and care.  </w:t>
      </w:r>
    </w:p>
    <w:p w:rsidR="00D1431F" w:rsidRPr="00CD7EE3" w:rsidRDefault="00D1431F" w:rsidP="00D1431F">
      <w:pPr>
        <w:pStyle w:val="Heading3"/>
        <w:rPr>
          <w:sz w:val="24"/>
        </w:rPr>
      </w:pPr>
      <w:bookmarkStart w:id="40" w:name="_Toc381084875"/>
      <w:r w:rsidRPr="00CD7EE3">
        <w:rPr>
          <w:sz w:val="24"/>
        </w:rPr>
        <w:t>3.3.2 Average Length of Stay</w:t>
      </w:r>
      <w:bookmarkEnd w:id="40"/>
    </w:p>
    <w:p w:rsidR="00210A68" w:rsidRPr="00C8003E" w:rsidRDefault="00D1431F" w:rsidP="00D1431F">
      <w:pPr>
        <w:spacing w:before="240"/>
        <w:jc w:val="both"/>
        <w:rPr>
          <w:rFonts w:cs="Arial"/>
          <w:sz w:val="24"/>
        </w:rPr>
      </w:pPr>
      <w:r w:rsidRPr="00C8003E">
        <w:rPr>
          <w:rFonts w:cs="Arial"/>
          <w:sz w:val="24"/>
        </w:rPr>
        <w:t>The average length of stay (ALOS) refers to the average number of days that patients spend in hospital.  The Trust strives to have a length of stay below the Trust target as it demonstrates proactive planning of the whole process of care, as well as active discharge planning.</w:t>
      </w:r>
      <w:r w:rsidR="001C5705" w:rsidRPr="00C8003E">
        <w:rPr>
          <w:rFonts w:cs="Arial"/>
          <w:sz w:val="24"/>
        </w:rPr>
        <w:t xml:space="preserve">  In </w:t>
      </w:r>
      <w:r w:rsidR="00210A68" w:rsidRPr="00C8003E">
        <w:rPr>
          <w:rFonts w:cs="Arial"/>
          <w:sz w:val="24"/>
        </w:rPr>
        <w:t xml:space="preserve">July the average LOS reduced further to </w:t>
      </w:r>
      <w:r w:rsidR="00C8003E" w:rsidRPr="00C8003E">
        <w:rPr>
          <w:rFonts w:cs="Arial"/>
          <w:sz w:val="24"/>
        </w:rPr>
        <w:t xml:space="preserve">2.2 days which demonstrates the significant work put into streamlining and optimising the patient’s journey.  </w:t>
      </w:r>
    </w:p>
    <w:p w:rsidR="00573FC5" w:rsidRDefault="00573FC5" w:rsidP="00D1431F">
      <w:pPr>
        <w:pStyle w:val="NoSpacing"/>
        <w:rPr>
          <w:b/>
        </w:rPr>
      </w:pPr>
    </w:p>
    <w:p w:rsidR="00573FC5" w:rsidRDefault="00573FC5" w:rsidP="00D1431F">
      <w:pPr>
        <w:pStyle w:val="NoSpacing"/>
        <w:rPr>
          <w:b/>
        </w:rPr>
      </w:pPr>
    </w:p>
    <w:p w:rsidR="00573FC5" w:rsidRDefault="00573FC5" w:rsidP="00D1431F">
      <w:pPr>
        <w:pStyle w:val="NoSpacing"/>
        <w:rPr>
          <w:b/>
        </w:rPr>
      </w:pPr>
    </w:p>
    <w:p w:rsidR="00573FC5" w:rsidRDefault="00573FC5" w:rsidP="00D1431F">
      <w:pPr>
        <w:pStyle w:val="NoSpacing"/>
        <w:rPr>
          <w:b/>
        </w:rPr>
      </w:pPr>
    </w:p>
    <w:p w:rsidR="00DF134A" w:rsidRDefault="00DF134A" w:rsidP="00D1431F">
      <w:pPr>
        <w:pStyle w:val="NoSpacing"/>
        <w:rPr>
          <w:b/>
        </w:rPr>
      </w:pPr>
    </w:p>
    <w:p w:rsidR="00DF134A" w:rsidRDefault="00DF134A" w:rsidP="00D1431F">
      <w:pPr>
        <w:pStyle w:val="NoSpacing"/>
        <w:rPr>
          <w:b/>
        </w:rPr>
      </w:pPr>
    </w:p>
    <w:p w:rsidR="00D1431F" w:rsidRPr="00E86C33" w:rsidRDefault="00D1431F" w:rsidP="00D1431F">
      <w:pPr>
        <w:pStyle w:val="NoSpacing"/>
        <w:rPr>
          <w:b/>
        </w:rPr>
      </w:pPr>
      <w:r w:rsidRPr="00E86C33">
        <w:rPr>
          <w:b/>
        </w:rPr>
        <w:lastRenderedPageBreak/>
        <w:t xml:space="preserve">Figure </w:t>
      </w:r>
      <w:r w:rsidR="00C42622">
        <w:rPr>
          <w:b/>
        </w:rPr>
        <w:t>2</w:t>
      </w:r>
      <w:r w:rsidR="00DF3238">
        <w:rPr>
          <w:b/>
        </w:rPr>
        <w:t>1</w:t>
      </w:r>
      <w:r w:rsidRPr="00E86C33">
        <w:rPr>
          <w:b/>
        </w:rPr>
        <w:t>:</w:t>
      </w:r>
    </w:p>
    <w:p w:rsidR="00D1431F" w:rsidRDefault="00D556D5" w:rsidP="00D1431F">
      <w:pPr>
        <w:spacing w:before="240"/>
        <w:jc w:val="center"/>
        <w:rPr>
          <w:rFonts w:cs="Arial"/>
        </w:rPr>
      </w:pPr>
      <w:r w:rsidRPr="00D556D5">
        <w:rPr>
          <w:noProof/>
        </w:rPr>
        <w:drawing>
          <wp:inline distT="0" distB="0" distL="0" distR="0">
            <wp:extent cx="5541778" cy="3242930"/>
            <wp:effectExtent l="19050" t="0" r="1772" b="0"/>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547129" cy="3246061"/>
                    </a:xfrm>
                    <a:prstGeom prst="rect">
                      <a:avLst/>
                    </a:prstGeom>
                  </pic:spPr>
                </pic:pic>
              </a:graphicData>
            </a:graphic>
          </wp:inline>
        </w:drawing>
      </w:r>
    </w:p>
    <w:p w:rsidR="00134534" w:rsidRPr="00CD7EE3" w:rsidRDefault="00D1431F" w:rsidP="00A35D63">
      <w:pPr>
        <w:autoSpaceDE w:val="0"/>
        <w:autoSpaceDN w:val="0"/>
        <w:adjustRightInd w:val="0"/>
        <w:spacing w:after="0" w:line="240" w:lineRule="auto"/>
        <w:jc w:val="both"/>
        <w:rPr>
          <w:sz w:val="24"/>
        </w:rPr>
      </w:pPr>
      <w:r w:rsidRPr="004C7386">
        <w:rPr>
          <w:sz w:val="24"/>
        </w:rPr>
        <w:t>The Trust also monitors the percentage of patients with a length of stay (LOS) over 10 days.</w:t>
      </w:r>
      <w:r w:rsidR="00134534" w:rsidRPr="004C7386">
        <w:rPr>
          <w:sz w:val="24"/>
        </w:rPr>
        <w:t xml:space="preserve">  The programme of work to improve </w:t>
      </w:r>
      <w:r w:rsidR="007218B4" w:rsidRPr="004C7386">
        <w:rPr>
          <w:sz w:val="24"/>
        </w:rPr>
        <w:t xml:space="preserve">patient pathways </w:t>
      </w:r>
      <w:r w:rsidR="007218B4" w:rsidRPr="004C7386">
        <w:rPr>
          <w:rFonts w:cs="Arial"/>
          <w:sz w:val="24"/>
        </w:rPr>
        <w:t xml:space="preserve">and the level of care alongside the focus on the Green </w:t>
      </w:r>
      <w:r w:rsidR="004C7386">
        <w:rPr>
          <w:rFonts w:cs="Arial"/>
          <w:sz w:val="24"/>
        </w:rPr>
        <w:t>to Go l</w:t>
      </w:r>
      <w:r w:rsidR="007218B4" w:rsidRPr="004C7386">
        <w:rPr>
          <w:rFonts w:cs="Arial"/>
          <w:sz w:val="24"/>
        </w:rPr>
        <w:t xml:space="preserve">ist has enabled the Trust to </w:t>
      </w:r>
      <w:r w:rsidR="004C7386">
        <w:rPr>
          <w:rFonts w:cs="Arial"/>
          <w:sz w:val="24"/>
        </w:rPr>
        <w:t xml:space="preserve">continue to experience a reduction in the percentage of patients with a LOS over 10 days.  </w:t>
      </w:r>
    </w:p>
    <w:p w:rsidR="00134534" w:rsidRDefault="00134534" w:rsidP="00A35D63">
      <w:pPr>
        <w:autoSpaceDE w:val="0"/>
        <w:autoSpaceDN w:val="0"/>
        <w:adjustRightInd w:val="0"/>
        <w:spacing w:after="0" w:line="240" w:lineRule="auto"/>
        <w:jc w:val="both"/>
      </w:pPr>
    </w:p>
    <w:p w:rsidR="00D1431F" w:rsidRDefault="00D1431F" w:rsidP="00D1431F">
      <w:pPr>
        <w:pStyle w:val="NoSpacing"/>
        <w:rPr>
          <w:b/>
        </w:rPr>
      </w:pPr>
      <w:r w:rsidRPr="004C7386">
        <w:rPr>
          <w:b/>
        </w:rPr>
        <w:t xml:space="preserve">Figure </w:t>
      </w:r>
      <w:r w:rsidR="00DF3238">
        <w:rPr>
          <w:b/>
        </w:rPr>
        <w:t>22</w:t>
      </w:r>
      <w:r w:rsidRPr="004C7386">
        <w:rPr>
          <w:b/>
        </w:rPr>
        <w:t>:</w:t>
      </w:r>
    </w:p>
    <w:p w:rsidR="00D1431F" w:rsidRDefault="00C8003E" w:rsidP="00D1431F">
      <w:pPr>
        <w:spacing w:before="240" w:after="0"/>
        <w:jc w:val="center"/>
        <w:rPr>
          <w:rFonts w:cs="Arial"/>
        </w:rPr>
      </w:pPr>
      <w:r w:rsidRPr="00C8003E">
        <w:rPr>
          <w:noProof/>
        </w:rPr>
        <w:drawing>
          <wp:inline distT="0" distB="0" distL="0" distR="0">
            <wp:extent cx="5499248" cy="3153507"/>
            <wp:effectExtent l="19050" t="0" r="6202" b="0"/>
            <wp:docPr id="3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srcRect/>
                    <a:stretch>
                      <a:fillRect/>
                    </a:stretch>
                  </pic:blipFill>
                  <pic:spPr bwMode="auto">
                    <a:xfrm>
                      <a:off x="0" y="0"/>
                      <a:ext cx="5512239" cy="3160957"/>
                    </a:xfrm>
                    <a:prstGeom prst="rect">
                      <a:avLst/>
                    </a:prstGeom>
                    <a:noFill/>
                    <a:ln w="9525">
                      <a:noFill/>
                      <a:miter lim="800000"/>
                      <a:headEnd/>
                      <a:tailEnd/>
                    </a:ln>
                  </pic:spPr>
                </pic:pic>
              </a:graphicData>
            </a:graphic>
          </wp:inline>
        </w:drawing>
      </w:r>
    </w:p>
    <w:p w:rsidR="00DF134A" w:rsidRDefault="00DF134A" w:rsidP="00D1431F">
      <w:pPr>
        <w:spacing w:before="240"/>
        <w:jc w:val="both"/>
        <w:rPr>
          <w:b/>
          <w:sz w:val="24"/>
        </w:rPr>
      </w:pPr>
    </w:p>
    <w:p w:rsidR="00D1431F" w:rsidRPr="004C7386" w:rsidRDefault="00D1431F" w:rsidP="00D1431F">
      <w:pPr>
        <w:spacing w:before="240"/>
        <w:jc w:val="both"/>
        <w:rPr>
          <w:b/>
          <w:sz w:val="24"/>
        </w:rPr>
      </w:pPr>
      <w:r w:rsidRPr="004C7386">
        <w:rPr>
          <w:b/>
          <w:sz w:val="24"/>
        </w:rPr>
        <w:lastRenderedPageBreak/>
        <w:t>Trust Action:</w:t>
      </w:r>
    </w:p>
    <w:p w:rsidR="00392C94" w:rsidRDefault="004C7386" w:rsidP="00573FC5">
      <w:pPr>
        <w:jc w:val="both"/>
        <w:rPr>
          <w:sz w:val="24"/>
        </w:rPr>
      </w:pPr>
      <w:r>
        <w:rPr>
          <w:sz w:val="24"/>
        </w:rPr>
        <w:t xml:space="preserve">In addition to the work streams already underway as </w:t>
      </w:r>
      <w:r w:rsidR="00810573">
        <w:rPr>
          <w:sz w:val="24"/>
        </w:rPr>
        <w:t>part of the Trusts business plan, the operational teams are focussing on optimising the ward board rounds</w:t>
      </w:r>
      <w:r w:rsidR="003735AB">
        <w:rPr>
          <w:sz w:val="24"/>
        </w:rPr>
        <w:t xml:space="preserve">.  A ward board round takes place twice during the day and is where the multi-disciplinary clinical teams review each of the patient in detail using the rounding tool.  This will ensure that throughout the patients stay all necessary actions are undertaken on time and in line with the clinical </w:t>
      </w:r>
      <w:r w:rsidR="00C262D2">
        <w:rPr>
          <w:sz w:val="24"/>
        </w:rPr>
        <w:t xml:space="preserve">pathway for the patient.  </w:t>
      </w:r>
      <w:r w:rsidR="00392C94">
        <w:rPr>
          <w:sz w:val="24"/>
        </w:rPr>
        <w:t>Each ward has also been allocated a senior manager</w:t>
      </w:r>
      <w:r w:rsidR="00392C94" w:rsidRPr="00C262D2">
        <w:rPr>
          <w:sz w:val="24"/>
        </w:rPr>
        <w:t xml:space="preserve"> </w:t>
      </w:r>
      <w:r w:rsidR="00392C94">
        <w:rPr>
          <w:sz w:val="24"/>
        </w:rPr>
        <w:t>t</w:t>
      </w:r>
      <w:r w:rsidR="00C262D2">
        <w:rPr>
          <w:sz w:val="24"/>
        </w:rPr>
        <w:t xml:space="preserve">o support the teams to deliver </w:t>
      </w:r>
      <w:r w:rsidR="00392C94">
        <w:rPr>
          <w:sz w:val="24"/>
        </w:rPr>
        <w:t>and unblock any difficulties that arise.</w:t>
      </w:r>
    </w:p>
    <w:p w:rsidR="003735AB" w:rsidRDefault="00392C94">
      <w:pPr>
        <w:rPr>
          <w:sz w:val="24"/>
        </w:rPr>
      </w:pPr>
      <w:r>
        <w:rPr>
          <w:sz w:val="24"/>
        </w:rPr>
        <w:t xml:space="preserve">    </w:t>
      </w:r>
    </w:p>
    <w:p w:rsidR="00CD7EE3" w:rsidRDefault="00CD7EE3">
      <w:pPr>
        <w:rPr>
          <w:rFonts w:asciiTheme="majorHAnsi" w:eastAsiaTheme="majorEastAsia" w:hAnsiTheme="majorHAnsi" w:cstheme="majorBidi"/>
          <w:b/>
          <w:bCs/>
          <w:color w:val="2DA2BF" w:themeColor="accent1"/>
          <w:sz w:val="26"/>
          <w:szCs w:val="26"/>
        </w:rPr>
      </w:pPr>
      <w:r>
        <w:br w:type="page"/>
      </w:r>
    </w:p>
    <w:p w:rsidR="00D1431F" w:rsidRPr="0059407D" w:rsidRDefault="00D1431F" w:rsidP="00D1431F">
      <w:pPr>
        <w:pStyle w:val="Heading2"/>
      </w:pPr>
      <w:r>
        <w:lastRenderedPageBreak/>
        <w:t>3.4 Clinical Pathways</w:t>
      </w:r>
    </w:p>
    <w:p w:rsidR="00D1431F" w:rsidRPr="00CD7EE3" w:rsidRDefault="00D1431F" w:rsidP="00D1431F">
      <w:pPr>
        <w:spacing w:before="240" w:after="0"/>
        <w:jc w:val="both"/>
        <w:rPr>
          <w:rFonts w:cs="Arial"/>
          <w:i/>
          <w:sz w:val="24"/>
        </w:rPr>
      </w:pPr>
      <w:r w:rsidRPr="00CD7EE3">
        <w:rPr>
          <w:rFonts w:cs="Arial"/>
          <w:i/>
          <w:sz w:val="24"/>
        </w:rPr>
        <w:t>This section sets out performance indicators related to key clinical pathways, including cancer</w:t>
      </w:r>
      <w:r w:rsidR="002940E0">
        <w:rPr>
          <w:rFonts w:cs="Arial"/>
          <w:i/>
          <w:sz w:val="24"/>
        </w:rPr>
        <w:t xml:space="preserve"> and stroke.  </w:t>
      </w:r>
    </w:p>
    <w:p w:rsidR="00D1431F" w:rsidRPr="00CD7EE3" w:rsidRDefault="00D1431F" w:rsidP="00D1431F">
      <w:pPr>
        <w:pStyle w:val="Heading2"/>
        <w:rPr>
          <w:rFonts w:cs="Arial"/>
          <w:i/>
          <w:sz w:val="24"/>
          <w:szCs w:val="22"/>
        </w:rPr>
      </w:pPr>
      <w:bookmarkStart w:id="41" w:name="_Toc381084877"/>
      <w:r w:rsidRPr="00CD7EE3">
        <w:rPr>
          <w:sz w:val="24"/>
          <w:szCs w:val="22"/>
        </w:rPr>
        <w:t>3.4.1 Cancer Services</w:t>
      </w:r>
      <w:bookmarkEnd w:id="41"/>
    </w:p>
    <w:p w:rsidR="00D1431F" w:rsidRPr="00CD7EE3" w:rsidRDefault="00D1431F" w:rsidP="00392C94">
      <w:pPr>
        <w:spacing w:before="240" w:after="0"/>
        <w:jc w:val="both"/>
        <w:rPr>
          <w:rFonts w:cstheme="minorHAnsi"/>
          <w:sz w:val="24"/>
        </w:rPr>
      </w:pPr>
      <w:r w:rsidRPr="00392C94">
        <w:rPr>
          <w:rFonts w:cstheme="minorHAnsi"/>
          <w:sz w:val="24"/>
        </w:rPr>
        <w:t xml:space="preserve">The Trust strives to achieve the national cancer waiting times as they are important to patients clinical outcomes, are a measure of how the Trust is responding to demands for services, and highlights where there are delays in the system.  </w:t>
      </w:r>
      <w:r w:rsidR="00172B81" w:rsidRPr="00392C94">
        <w:rPr>
          <w:rFonts w:cstheme="minorHAnsi"/>
          <w:sz w:val="24"/>
        </w:rPr>
        <w:t xml:space="preserve">In </w:t>
      </w:r>
      <w:r w:rsidR="00392C94">
        <w:rPr>
          <w:rFonts w:cstheme="minorHAnsi"/>
          <w:sz w:val="24"/>
        </w:rPr>
        <w:t>June</w:t>
      </w:r>
      <w:r w:rsidR="00172B81" w:rsidRPr="00392C94">
        <w:rPr>
          <w:rFonts w:cstheme="minorHAnsi"/>
          <w:sz w:val="24"/>
        </w:rPr>
        <w:t xml:space="preserve"> the Trust </w:t>
      </w:r>
      <w:r w:rsidR="00392C94">
        <w:rPr>
          <w:rFonts w:cstheme="minorHAnsi"/>
          <w:sz w:val="24"/>
        </w:rPr>
        <w:t>achieved all eight</w:t>
      </w:r>
      <w:r w:rsidR="00F07093">
        <w:rPr>
          <w:rFonts w:cstheme="minorHAnsi"/>
          <w:sz w:val="24"/>
        </w:rPr>
        <w:t xml:space="preserve"> of the national cancer targets.  </w:t>
      </w:r>
    </w:p>
    <w:p w:rsidR="00D1431F" w:rsidRPr="00E75BA7" w:rsidRDefault="006D207F" w:rsidP="00D1431F">
      <w:pPr>
        <w:pStyle w:val="Heading4"/>
        <w:spacing w:before="240"/>
        <w:jc w:val="both"/>
        <w:rPr>
          <w:rFonts w:asciiTheme="minorHAnsi" w:hAnsiTheme="minorHAnsi" w:cs="Arial"/>
          <w:sz w:val="22"/>
          <w:szCs w:val="22"/>
        </w:rPr>
      </w:pPr>
      <w:r>
        <w:rPr>
          <w:rFonts w:asciiTheme="minorHAnsi" w:hAnsiTheme="minorHAnsi" w:cs="Arial"/>
          <w:szCs w:val="22"/>
        </w:rPr>
        <w:t>3.4.2</w:t>
      </w:r>
      <w:r w:rsidR="00D1431F" w:rsidRPr="00CD7EE3">
        <w:rPr>
          <w:rFonts w:asciiTheme="minorHAnsi" w:hAnsiTheme="minorHAnsi" w:cs="Arial"/>
          <w:szCs w:val="22"/>
        </w:rPr>
        <w:t xml:space="preserve"> Cancer Two Week Wait</w:t>
      </w:r>
    </w:p>
    <w:p w:rsidR="003274E8" w:rsidRPr="003274E8" w:rsidRDefault="00D1431F" w:rsidP="003274E8">
      <w:pPr>
        <w:spacing w:before="240" w:after="0"/>
        <w:jc w:val="both"/>
        <w:rPr>
          <w:rFonts w:cs="Arial"/>
          <w:sz w:val="24"/>
        </w:rPr>
      </w:pPr>
      <w:r w:rsidRPr="00F07093">
        <w:rPr>
          <w:rFonts w:cs="Arial"/>
          <w:sz w:val="24"/>
        </w:rPr>
        <w:t xml:space="preserve">The two week wait target was achieved in </w:t>
      </w:r>
      <w:r w:rsidR="00F07093" w:rsidRPr="00F07093">
        <w:rPr>
          <w:rFonts w:cs="Arial"/>
          <w:sz w:val="24"/>
        </w:rPr>
        <w:t>both May and June</w:t>
      </w:r>
      <w:r w:rsidR="00F07093">
        <w:rPr>
          <w:rFonts w:cs="Arial"/>
          <w:sz w:val="24"/>
        </w:rPr>
        <w:t xml:space="preserve"> with a score of </w:t>
      </w:r>
      <w:r w:rsidR="003274E8">
        <w:rPr>
          <w:rFonts w:cs="Arial"/>
          <w:sz w:val="24"/>
        </w:rPr>
        <w:t xml:space="preserve">95% and 97.9% respectively.  </w:t>
      </w:r>
      <w:r w:rsidR="003274E8" w:rsidRPr="003274E8">
        <w:rPr>
          <w:rFonts w:cs="Arial"/>
          <w:sz w:val="24"/>
        </w:rPr>
        <w:t xml:space="preserve">Unfortunately the Trust was unable to achieve the two week wait target for referrals with breast symptoms for quarter one but is on track to be achieved in July in line with the recovery plan.    </w:t>
      </w:r>
    </w:p>
    <w:p w:rsidR="00D1431F" w:rsidRPr="003274E8" w:rsidRDefault="00D1431F" w:rsidP="00D1431F">
      <w:pPr>
        <w:spacing w:before="240"/>
        <w:jc w:val="both"/>
        <w:rPr>
          <w:b/>
          <w:sz w:val="24"/>
        </w:rPr>
      </w:pPr>
      <w:r w:rsidRPr="003274E8">
        <w:rPr>
          <w:b/>
          <w:sz w:val="24"/>
        </w:rPr>
        <w:t>Trust Action:</w:t>
      </w:r>
    </w:p>
    <w:p w:rsidR="00172B81" w:rsidRPr="003274E8" w:rsidRDefault="00172B81" w:rsidP="00172B81">
      <w:pPr>
        <w:spacing w:before="240" w:after="0"/>
        <w:jc w:val="both"/>
        <w:rPr>
          <w:rFonts w:cstheme="minorHAnsi"/>
          <w:color w:val="000000" w:themeColor="text1"/>
          <w:sz w:val="24"/>
        </w:rPr>
      </w:pPr>
      <w:r w:rsidRPr="003274E8">
        <w:rPr>
          <w:rFonts w:cstheme="minorHAnsi"/>
          <w:sz w:val="24"/>
        </w:rPr>
        <w:t xml:space="preserve">A </w:t>
      </w:r>
      <w:r w:rsidRPr="003274E8">
        <w:rPr>
          <w:rFonts w:cstheme="minorHAnsi"/>
          <w:color w:val="000000" w:themeColor="text1"/>
          <w:sz w:val="24"/>
        </w:rPr>
        <w:t>number of actions are being undertaken to improve performance against the Breast Symptomatic target:</w:t>
      </w:r>
    </w:p>
    <w:p w:rsidR="00172B81" w:rsidRPr="003274E8" w:rsidRDefault="00172B81" w:rsidP="00CB6E44">
      <w:pPr>
        <w:pStyle w:val="ListParagraph"/>
        <w:numPr>
          <w:ilvl w:val="0"/>
          <w:numId w:val="15"/>
        </w:numPr>
        <w:spacing w:before="240" w:after="0"/>
        <w:jc w:val="both"/>
        <w:rPr>
          <w:rFonts w:cstheme="minorHAnsi"/>
          <w:color w:val="000000" w:themeColor="text1"/>
          <w:sz w:val="24"/>
        </w:rPr>
      </w:pPr>
      <w:r w:rsidRPr="003274E8">
        <w:rPr>
          <w:rFonts w:cstheme="minorHAnsi"/>
          <w:color w:val="000000" w:themeColor="text1"/>
          <w:sz w:val="24"/>
        </w:rPr>
        <w:t>There was a 15% increase</w:t>
      </w:r>
      <w:r w:rsidR="00815B09" w:rsidRPr="003274E8">
        <w:rPr>
          <w:rFonts w:cstheme="minorHAnsi"/>
          <w:color w:val="000000" w:themeColor="text1"/>
          <w:sz w:val="24"/>
        </w:rPr>
        <w:t xml:space="preserve"> in referrals</w:t>
      </w:r>
      <w:r w:rsidRPr="003274E8">
        <w:rPr>
          <w:rFonts w:cstheme="minorHAnsi"/>
          <w:color w:val="000000" w:themeColor="text1"/>
          <w:sz w:val="24"/>
        </w:rPr>
        <w:t xml:space="preserve"> from 2012/13 to 2013/14.  The Cancer manager is </w:t>
      </w:r>
      <w:r w:rsidR="005F5D9D" w:rsidRPr="003274E8">
        <w:rPr>
          <w:rFonts w:cstheme="minorHAnsi"/>
          <w:color w:val="000000" w:themeColor="text1"/>
          <w:sz w:val="24"/>
        </w:rPr>
        <w:t xml:space="preserve">undertaking a capacity and demand analysis </w:t>
      </w:r>
      <w:r w:rsidRPr="003274E8">
        <w:rPr>
          <w:rFonts w:cstheme="minorHAnsi"/>
          <w:color w:val="000000" w:themeColor="text1"/>
          <w:sz w:val="24"/>
        </w:rPr>
        <w:t>alongside the Breast Multi-Disciplinary Team</w:t>
      </w:r>
      <w:r w:rsidR="00815B09" w:rsidRPr="003274E8">
        <w:rPr>
          <w:rFonts w:cstheme="minorHAnsi"/>
          <w:color w:val="000000" w:themeColor="text1"/>
          <w:sz w:val="24"/>
        </w:rPr>
        <w:t xml:space="preserve">.  The results of this analysis will inform a </w:t>
      </w:r>
      <w:r w:rsidRPr="003274E8">
        <w:rPr>
          <w:rFonts w:cstheme="minorHAnsi"/>
          <w:color w:val="000000" w:themeColor="text1"/>
          <w:sz w:val="24"/>
        </w:rPr>
        <w:t xml:space="preserve">redesign </w:t>
      </w:r>
      <w:r w:rsidR="00815B09" w:rsidRPr="003274E8">
        <w:rPr>
          <w:rFonts w:cstheme="minorHAnsi"/>
          <w:color w:val="000000" w:themeColor="text1"/>
          <w:sz w:val="24"/>
        </w:rPr>
        <w:t xml:space="preserve">of </w:t>
      </w:r>
      <w:r w:rsidRPr="003274E8">
        <w:rPr>
          <w:rFonts w:cstheme="minorHAnsi"/>
          <w:color w:val="000000" w:themeColor="text1"/>
          <w:sz w:val="24"/>
        </w:rPr>
        <w:t xml:space="preserve">the service to meet the increasing demand.  </w:t>
      </w:r>
    </w:p>
    <w:p w:rsidR="00CA5D26" w:rsidRPr="003274E8" w:rsidRDefault="00815B09" w:rsidP="00CB6E44">
      <w:pPr>
        <w:pStyle w:val="ListParagraph"/>
        <w:numPr>
          <w:ilvl w:val="0"/>
          <w:numId w:val="15"/>
        </w:numPr>
        <w:spacing w:before="240" w:after="0"/>
        <w:jc w:val="both"/>
        <w:rPr>
          <w:rFonts w:cstheme="minorHAnsi"/>
          <w:color w:val="000000" w:themeColor="text1"/>
          <w:sz w:val="24"/>
        </w:rPr>
      </w:pPr>
      <w:r w:rsidRPr="003274E8">
        <w:rPr>
          <w:rFonts w:cstheme="minorHAnsi"/>
          <w:color w:val="000000" w:themeColor="text1"/>
          <w:sz w:val="24"/>
        </w:rPr>
        <w:t>The main cause of breaches was pa</w:t>
      </w:r>
      <w:r w:rsidR="00172B81" w:rsidRPr="003274E8">
        <w:rPr>
          <w:rFonts w:cstheme="minorHAnsi"/>
          <w:color w:val="000000" w:themeColor="text1"/>
          <w:sz w:val="24"/>
        </w:rPr>
        <w:t xml:space="preserve">tient choice, where patients were not made aware of </w:t>
      </w:r>
      <w:r w:rsidR="00E87913" w:rsidRPr="003274E8">
        <w:rPr>
          <w:rFonts w:cstheme="minorHAnsi"/>
          <w:color w:val="000000" w:themeColor="text1"/>
          <w:sz w:val="24"/>
        </w:rPr>
        <w:t>the need to attend their appointment within two weeks</w:t>
      </w:r>
      <w:r w:rsidR="00172B81" w:rsidRPr="003274E8">
        <w:rPr>
          <w:rFonts w:cstheme="minorHAnsi"/>
          <w:color w:val="000000" w:themeColor="text1"/>
          <w:sz w:val="24"/>
        </w:rPr>
        <w:t>.  To support GP's and other health care professionals to inform patients of the need</w:t>
      </w:r>
      <w:r w:rsidR="00CA5D26" w:rsidRPr="003274E8">
        <w:rPr>
          <w:rFonts w:cstheme="minorHAnsi"/>
          <w:color w:val="000000" w:themeColor="text1"/>
          <w:sz w:val="24"/>
        </w:rPr>
        <w:t xml:space="preserve"> to attend within two weeks</w:t>
      </w:r>
      <w:r w:rsidRPr="003274E8">
        <w:rPr>
          <w:rFonts w:cstheme="minorHAnsi"/>
          <w:color w:val="000000" w:themeColor="text1"/>
          <w:sz w:val="24"/>
        </w:rPr>
        <w:t>,</w:t>
      </w:r>
      <w:r w:rsidR="00CA5D26" w:rsidRPr="003274E8">
        <w:rPr>
          <w:rFonts w:cstheme="minorHAnsi"/>
          <w:color w:val="000000" w:themeColor="text1"/>
          <w:sz w:val="24"/>
        </w:rPr>
        <w:t xml:space="preserve"> the Cancer team have d</w:t>
      </w:r>
      <w:r w:rsidR="00172B81" w:rsidRPr="003274E8">
        <w:rPr>
          <w:rFonts w:cstheme="minorHAnsi"/>
          <w:color w:val="000000" w:themeColor="text1"/>
          <w:sz w:val="24"/>
        </w:rPr>
        <w:t xml:space="preserve">eveloped a patient fast track leaflet which will </w:t>
      </w:r>
      <w:r w:rsidR="00E87913" w:rsidRPr="003274E8">
        <w:rPr>
          <w:rFonts w:cstheme="minorHAnsi"/>
          <w:color w:val="000000" w:themeColor="text1"/>
          <w:sz w:val="24"/>
        </w:rPr>
        <w:t>explain the process to patients</w:t>
      </w:r>
      <w:r w:rsidR="00CA5D26" w:rsidRPr="003274E8">
        <w:rPr>
          <w:rFonts w:cstheme="minorHAnsi"/>
          <w:color w:val="000000" w:themeColor="text1"/>
          <w:sz w:val="24"/>
        </w:rPr>
        <w:t>.  This</w:t>
      </w:r>
      <w:r w:rsidR="00172B81" w:rsidRPr="003274E8">
        <w:rPr>
          <w:rFonts w:cstheme="minorHAnsi"/>
          <w:color w:val="000000" w:themeColor="text1"/>
          <w:sz w:val="24"/>
        </w:rPr>
        <w:t xml:space="preserve"> has been approved by Somerset CCG</w:t>
      </w:r>
      <w:r w:rsidRPr="003274E8">
        <w:rPr>
          <w:rFonts w:cstheme="minorHAnsi"/>
          <w:color w:val="000000" w:themeColor="text1"/>
          <w:sz w:val="24"/>
        </w:rPr>
        <w:t>.  N</w:t>
      </w:r>
      <w:r w:rsidR="00172B81" w:rsidRPr="003274E8">
        <w:rPr>
          <w:rFonts w:cstheme="minorHAnsi"/>
          <w:color w:val="000000" w:themeColor="text1"/>
          <w:sz w:val="24"/>
        </w:rPr>
        <w:t>orth Somerset CCG</w:t>
      </w:r>
      <w:r w:rsidRPr="003274E8">
        <w:rPr>
          <w:rFonts w:cstheme="minorHAnsi"/>
          <w:color w:val="000000" w:themeColor="text1"/>
          <w:sz w:val="24"/>
        </w:rPr>
        <w:t xml:space="preserve"> is currently reviewing the leaflet with their membership.  </w:t>
      </w:r>
    </w:p>
    <w:p w:rsidR="00172B81" w:rsidRPr="003274E8" w:rsidRDefault="00CA5D26" w:rsidP="00CB6E44">
      <w:pPr>
        <w:pStyle w:val="ListParagraph"/>
        <w:numPr>
          <w:ilvl w:val="0"/>
          <w:numId w:val="15"/>
        </w:numPr>
        <w:spacing w:before="240" w:after="0"/>
        <w:jc w:val="both"/>
        <w:rPr>
          <w:rFonts w:cstheme="minorHAnsi"/>
          <w:color w:val="000000" w:themeColor="text1"/>
          <w:sz w:val="24"/>
        </w:rPr>
      </w:pPr>
      <w:r w:rsidRPr="003274E8">
        <w:rPr>
          <w:rFonts w:cstheme="minorHAnsi"/>
          <w:color w:val="000000" w:themeColor="text1"/>
          <w:sz w:val="24"/>
        </w:rPr>
        <w:t xml:space="preserve">A review is being undertaken into </w:t>
      </w:r>
      <w:r w:rsidR="00172B81" w:rsidRPr="003274E8">
        <w:rPr>
          <w:rFonts w:cstheme="minorHAnsi"/>
          <w:color w:val="000000" w:themeColor="text1"/>
          <w:sz w:val="24"/>
        </w:rPr>
        <w:t>how</w:t>
      </w:r>
      <w:r w:rsidRPr="003274E8">
        <w:rPr>
          <w:rFonts w:cstheme="minorHAnsi"/>
          <w:color w:val="000000" w:themeColor="text1"/>
          <w:sz w:val="24"/>
        </w:rPr>
        <w:t xml:space="preserve"> the Trust</w:t>
      </w:r>
      <w:r w:rsidR="00172B81" w:rsidRPr="003274E8">
        <w:rPr>
          <w:rFonts w:cstheme="minorHAnsi"/>
          <w:color w:val="000000" w:themeColor="text1"/>
          <w:sz w:val="24"/>
        </w:rPr>
        <w:t xml:space="preserve"> process</w:t>
      </w:r>
      <w:r w:rsidR="00815B09" w:rsidRPr="003274E8">
        <w:rPr>
          <w:rFonts w:cstheme="minorHAnsi"/>
          <w:color w:val="000000" w:themeColor="text1"/>
          <w:sz w:val="24"/>
        </w:rPr>
        <w:t>es</w:t>
      </w:r>
      <w:r w:rsidR="00172B81" w:rsidRPr="003274E8">
        <w:rPr>
          <w:rFonts w:cstheme="minorHAnsi"/>
          <w:color w:val="000000" w:themeColor="text1"/>
          <w:sz w:val="24"/>
        </w:rPr>
        <w:t xml:space="preserve"> the breast symptomatic referrals </w:t>
      </w:r>
      <w:r w:rsidRPr="003274E8">
        <w:rPr>
          <w:rFonts w:cstheme="minorHAnsi"/>
          <w:color w:val="000000" w:themeColor="text1"/>
          <w:sz w:val="24"/>
        </w:rPr>
        <w:t xml:space="preserve">to ensure that it is streamlined and does not </w:t>
      </w:r>
      <w:r w:rsidR="00E87913" w:rsidRPr="003274E8">
        <w:rPr>
          <w:rFonts w:cstheme="minorHAnsi"/>
          <w:color w:val="000000" w:themeColor="text1"/>
          <w:sz w:val="24"/>
        </w:rPr>
        <w:t>delay</w:t>
      </w:r>
      <w:r w:rsidRPr="003274E8">
        <w:rPr>
          <w:rFonts w:cstheme="minorHAnsi"/>
          <w:color w:val="000000" w:themeColor="text1"/>
          <w:sz w:val="24"/>
        </w:rPr>
        <w:t xml:space="preserve"> patients from receiving an appointment.  </w:t>
      </w:r>
    </w:p>
    <w:p w:rsidR="00D1431F" w:rsidRPr="00CD7EE3" w:rsidRDefault="006D207F" w:rsidP="00D1431F">
      <w:pPr>
        <w:pStyle w:val="Heading4"/>
        <w:spacing w:before="240"/>
        <w:jc w:val="both"/>
        <w:rPr>
          <w:rFonts w:asciiTheme="minorHAnsi" w:hAnsiTheme="minorHAnsi" w:cs="Arial"/>
          <w:szCs w:val="22"/>
        </w:rPr>
      </w:pPr>
      <w:r>
        <w:rPr>
          <w:rFonts w:asciiTheme="minorHAnsi" w:hAnsiTheme="minorHAnsi" w:cs="Arial"/>
          <w:szCs w:val="22"/>
        </w:rPr>
        <w:lastRenderedPageBreak/>
        <w:t xml:space="preserve">3.4.3 </w:t>
      </w:r>
      <w:r w:rsidR="00D1431F" w:rsidRPr="00CD7EE3">
        <w:rPr>
          <w:rFonts w:asciiTheme="minorHAnsi" w:hAnsiTheme="minorHAnsi" w:cs="Arial"/>
          <w:szCs w:val="22"/>
        </w:rPr>
        <w:t xml:space="preserve"> Day Target</w:t>
      </w:r>
    </w:p>
    <w:p w:rsidR="00D1431F" w:rsidRPr="003274E8" w:rsidRDefault="00D1431F" w:rsidP="00D1431F">
      <w:pPr>
        <w:spacing w:before="240" w:after="0"/>
        <w:jc w:val="both"/>
        <w:rPr>
          <w:rFonts w:cs="Arial"/>
          <w:sz w:val="24"/>
        </w:rPr>
      </w:pPr>
      <w:r w:rsidRPr="003274E8">
        <w:rPr>
          <w:rFonts w:cs="Arial"/>
          <w:sz w:val="24"/>
        </w:rPr>
        <w:t xml:space="preserve">The Trust achieved all three of the 31 day targets in </w:t>
      </w:r>
      <w:r w:rsidR="003274E8" w:rsidRPr="003274E8">
        <w:rPr>
          <w:rFonts w:cs="Arial"/>
          <w:sz w:val="24"/>
        </w:rPr>
        <w:t>May, June and for Quarter one dem</w:t>
      </w:r>
      <w:r w:rsidRPr="003274E8">
        <w:rPr>
          <w:rFonts w:cs="Arial"/>
          <w:sz w:val="24"/>
        </w:rPr>
        <w:t>onstrating the Trusts ability to effectively treat patients</w:t>
      </w:r>
      <w:r w:rsidR="00CA5D26" w:rsidRPr="003274E8">
        <w:rPr>
          <w:rFonts w:cs="Arial"/>
          <w:sz w:val="24"/>
        </w:rPr>
        <w:t xml:space="preserve"> once diagnosed with cancer</w:t>
      </w:r>
      <w:r w:rsidRPr="003274E8">
        <w:rPr>
          <w:rFonts w:cs="Arial"/>
          <w:sz w:val="24"/>
        </w:rPr>
        <w:t xml:space="preserve">.     </w:t>
      </w:r>
    </w:p>
    <w:p w:rsidR="00D1431F" w:rsidRPr="003274E8" w:rsidRDefault="00D1431F" w:rsidP="00D1431F">
      <w:pPr>
        <w:spacing w:before="240"/>
        <w:jc w:val="both"/>
        <w:rPr>
          <w:b/>
          <w:sz w:val="24"/>
        </w:rPr>
      </w:pPr>
      <w:r w:rsidRPr="003274E8">
        <w:rPr>
          <w:b/>
          <w:sz w:val="24"/>
        </w:rPr>
        <w:t>Trust Action:</w:t>
      </w:r>
    </w:p>
    <w:p w:rsidR="00D1431F" w:rsidRPr="003274E8" w:rsidRDefault="00D1431F" w:rsidP="00D1431F">
      <w:pPr>
        <w:spacing w:before="240" w:after="0"/>
        <w:jc w:val="both"/>
        <w:rPr>
          <w:rFonts w:cs="Arial"/>
          <w:sz w:val="24"/>
        </w:rPr>
      </w:pPr>
      <w:r w:rsidRPr="003274E8">
        <w:rPr>
          <w:rFonts w:cs="Arial"/>
          <w:sz w:val="24"/>
        </w:rPr>
        <w:t>Daily monitoring of performance by the MDT Coordinator and cancer team leader.</w:t>
      </w:r>
    </w:p>
    <w:p w:rsidR="00D1431F" w:rsidRPr="00CD7EE3" w:rsidRDefault="00D1431F" w:rsidP="00D1431F">
      <w:pPr>
        <w:spacing w:before="240" w:after="0"/>
        <w:jc w:val="both"/>
        <w:rPr>
          <w:rFonts w:cs="Arial"/>
          <w:sz w:val="24"/>
        </w:rPr>
      </w:pPr>
      <w:r w:rsidRPr="003274E8">
        <w:rPr>
          <w:rFonts w:cs="Arial"/>
          <w:sz w:val="24"/>
        </w:rPr>
        <w:t>Weekly monitoring at the Waiting List Forward Planning meeting.</w:t>
      </w:r>
      <w:r w:rsidRPr="00CD7EE3">
        <w:rPr>
          <w:rFonts w:cs="Arial"/>
          <w:sz w:val="24"/>
        </w:rPr>
        <w:t xml:space="preserve">  </w:t>
      </w:r>
    </w:p>
    <w:p w:rsidR="00D1431F" w:rsidRPr="00CD7EE3" w:rsidRDefault="006D207F" w:rsidP="00D1431F">
      <w:pPr>
        <w:pStyle w:val="NormalWeb"/>
        <w:spacing w:before="240" w:beforeAutospacing="0" w:after="0" w:afterAutospacing="0"/>
        <w:jc w:val="both"/>
        <w:rPr>
          <w:rFonts w:asciiTheme="minorHAnsi" w:hAnsiTheme="minorHAnsi" w:cs="Arial"/>
          <w:b/>
          <w:szCs w:val="22"/>
        </w:rPr>
      </w:pPr>
      <w:r>
        <w:rPr>
          <w:rStyle w:val="Heading4Char"/>
          <w:rFonts w:asciiTheme="minorHAnsi" w:hAnsiTheme="minorHAnsi" w:cs="Arial"/>
          <w:szCs w:val="22"/>
        </w:rPr>
        <w:t xml:space="preserve">3.4.4 </w:t>
      </w:r>
      <w:r w:rsidR="00D1431F" w:rsidRPr="00CD7EE3">
        <w:rPr>
          <w:rStyle w:val="Heading4Char"/>
          <w:rFonts w:asciiTheme="minorHAnsi" w:hAnsiTheme="minorHAnsi" w:cs="Arial"/>
          <w:szCs w:val="22"/>
        </w:rPr>
        <w:t xml:space="preserve"> Day Target</w:t>
      </w:r>
      <w:r w:rsidR="00D1431F" w:rsidRPr="00CD7EE3">
        <w:rPr>
          <w:rFonts w:asciiTheme="minorHAnsi" w:hAnsiTheme="minorHAnsi" w:cs="Arial"/>
          <w:b/>
          <w:szCs w:val="22"/>
        </w:rPr>
        <w:t xml:space="preserve"> </w:t>
      </w:r>
    </w:p>
    <w:p w:rsidR="00CA5D26" w:rsidRPr="007332DC" w:rsidRDefault="003274E8" w:rsidP="00D1431F">
      <w:pPr>
        <w:spacing w:before="240" w:after="0"/>
        <w:jc w:val="both"/>
        <w:rPr>
          <w:rFonts w:cs="Arial"/>
          <w:sz w:val="24"/>
        </w:rPr>
      </w:pPr>
      <w:r w:rsidRPr="007332DC">
        <w:rPr>
          <w:rFonts w:cs="Arial"/>
          <w:sz w:val="24"/>
        </w:rPr>
        <w:t xml:space="preserve">The Trust achieved the </w:t>
      </w:r>
      <w:r w:rsidR="007332DC" w:rsidRPr="007332DC">
        <w:rPr>
          <w:rFonts w:cs="Arial"/>
          <w:sz w:val="24"/>
        </w:rPr>
        <w:t>62 days standard</w:t>
      </w:r>
      <w:r w:rsidR="007332DC">
        <w:rPr>
          <w:rFonts w:cs="Arial"/>
          <w:sz w:val="24"/>
        </w:rPr>
        <w:t xml:space="preserve"> for quarter one</w:t>
      </w:r>
      <w:r w:rsidR="007332DC" w:rsidRPr="007332DC">
        <w:rPr>
          <w:rFonts w:cs="Arial"/>
          <w:sz w:val="24"/>
        </w:rPr>
        <w:t xml:space="preserve"> and the months of May and June which is a significant improvement for the Trust.  </w:t>
      </w:r>
      <w:r w:rsidR="00CA5D26" w:rsidRPr="007332DC">
        <w:rPr>
          <w:rFonts w:cs="Arial"/>
          <w:sz w:val="24"/>
        </w:rPr>
        <w:t xml:space="preserve">Unfortunately the Trust did not achieve the 62day upgrade </w:t>
      </w:r>
      <w:r w:rsidR="007332DC" w:rsidRPr="007332DC">
        <w:rPr>
          <w:rFonts w:cs="Arial"/>
          <w:sz w:val="24"/>
        </w:rPr>
        <w:t>standard</w:t>
      </w:r>
      <w:r w:rsidR="007332DC">
        <w:rPr>
          <w:rFonts w:cs="Arial"/>
          <w:sz w:val="24"/>
        </w:rPr>
        <w:t xml:space="preserve">s a result of the single figure number of patients treated within the month and the effect of patient choice.  </w:t>
      </w:r>
    </w:p>
    <w:p w:rsidR="00D1431F" w:rsidRPr="007332DC" w:rsidRDefault="00D1431F" w:rsidP="00D1431F">
      <w:pPr>
        <w:spacing w:before="240" w:after="0"/>
        <w:jc w:val="both"/>
        <w:rPr>
          <w:b/>
          <w:sz w:val="24"/>
        </w:rPr>
      </w:pPr>
      <w:r w:rsidRPr="007332DC">
        <w:rPr>
          <w:b/>
          <w:sz w:val="24"/>
        </w:rPr>
        <w:t>Trust Action:</w:t>
      </w:r>
    </w:p>
    <w:p w:rsidR="00CA5D26" w:rsidRPr="007332DC" w:rsidRDefault="00CA5D26" w:rsidP="00CA5D26">
      <w:pPr>
        <w:spacing w:before="240" w:after="0"/>
        <w:jc w:val="both"/>
        <w:rPr>
          <w:rFonts w:cs="Arial"/>
          <w:sz w:val="24"/>
        </w:rPr>
      </w:pPr>
      <w:bookmarkStart w:id="42" w:name="_Toc381084878"/>
      <w:r w:rsidRPr="007332DC">
        <w:rPr>
          <w:rFonts w:cs="Arial"/>
          <w:sz w:val="24"/>
        </w:rPr>
        <w:t>Daily monitoring of performance by the MDT Coordinator and cancer team leader.</w:t>
      </w:r>
    </w:p>
    <w:p w:rsidR="00CA5D26" w:rsidRPr="00CD7EE3" w:rsidRDefault="00CA5D26" w:rsidP="00CA5D26">
      <w:pPr>
        <w:spacing w:before="240" w:after="0"/>
        <w:jc w:val="both"/>
        <w:rPr>
          <w:rFonts w:cs="Arial"/>
          <w:sz w:val="24"/>
        </w:rPr>
      </w:pPr>
      <w:r w:rsidRPr="007332DC">
        <w:rPr>
          <w:rFonts w:cs="Arial"/>
          <w:sz w:val="24"/>
        </w:rPr>
        <w:t>Weekly monitoring at the Waiting List Forward Planning meeting.</w:t>
      </w:r>
      <w:r w:rsidRPr="00CD7EE3">
        <w:rPr>
          <w:rFonts w:cs="Arial"/>
          <w:sz w:val="24"/>
        </w:rPr>
        <w:t xml:space="preserve">  </w:t>
      </w:r>
    </w:p>
    <w:p w:rsidR="00CA5D26" w:rsidRPr="00CD7EE3" w:rsidRDefault="00CA5D26">
      <w:pPr>
        <w:rPr>
          <w:rFonts w:asciiTheme="majorHAnsi" w:eastAsiaTheme="majorEastAsia" w:hAnsiTheme="majorHAnsi" w:cstheme="majorBidi"/>
          <w:b/>
          <w:bCs/>
          <w:color w:val="2DA2BF" w:themeColor="accent1"/>
          <w:sz w:val="24"/>
        </w:rPr>
      </w:pPr>
      <w:r w:rsidRPr="00CD7EE3">
        <w:rPr>
          <w:sz w:val="24"/>
        </w:rPr>
        <w:br w:type="page"/>
      </w:r>
    </w:p>
    <w:p w:rsidR="00D1431F" w:rsidRPr="00CD7EE3" w:rsidRDefault="006D207F" w:rsidP="00D1431F">
      <w:pPr>
        <w:pStyle w:val="Heading2"/>
        <w:rPr>
          <w:sz w:val="24"/>
          <w:szCs w:val="22"/>
        </w:rPr>
      </w:pPr>
      <w:r>
        <w:rPr>
          <w:sz w:val="24"/>
          <w:szCs w:val="22"/>
        </w:rPr>
        <w:lastRenderedPageBreak/>
        <w:t>3.4.5</w:t>
      </w:r>
      <w:r w:rsidR="00D1431F" w:rsidRPr="00CD7EE3">
        <w:rPr>
          <w:sz w:val="24"/>
          <w:szCs w:val="22"/>
        </w:rPr>
        <w:t xml:space="preserve"> Stroke</w:t>
      </w:r>
      <w:bookmarkEnd w:id="42"/>
    </w:p>
    <w:p w:rsidR="00AC3C60" w:rsidRDefault="00F82861" w:rsidP="00262253">
      <w:pPr>
        <w:pStyle w:val="NoSpacing"/>
        <w:jc w:val="both"/>
        <w:rPr>
          <w:rFonts w:cs="Arial"/>
        </w:rPr>
      </w:pPr>
      <w:r>
        <w:rPr>
          <w:rFonts w:cs="Arial"/>
        </w:rPr>
        <w:t xml:space="preserve">Whilst the Trust achieved </w:t>
      </w:r>
      <w:r w:rsidRPr="002641D2">
        <w:rPr>
          <w:rFonts w:cs="Arial"/>
        </w:rPr>
        <w:t xml:space="preserve">the stroke target of patients diagnosed with a stroke spending 90% of their time on the Stroke Unit for 80% of patients </w:t>
      </w:r>
      <w:r>
        <w:rPr>
          <w:rFonts w:cs="Arial"/>
        </w:rPr>
        <w:t xml:space="preserve">in quarter one, unfortunately as a result of the pressure on patient flow in </w:t>
      </w:r>
      <w:r w:rsidR="00AC3C60">
        <w:rPr>
          <w:rFonts w:cs="Arial"/>
        </w:rPr>
        <w:t>July the Trust did not achieve the target with a score of 75%</w:t>
      </w:r>
      <w:r w:rsidR="00262253" w:rsidRPr="002641D2">
        <w:rPr>
          <w:rFonts w:cs="Arial"/>
        </w:rPr>
        <w:t xml:space="preserve"> (</w:t>
      </w:r>
      <w:r w:rsidR="00262253" w:rsidRPr="002641D2">
        <w:rPr>
          <w:rFonts w:cs="Arial"/>
          <w:i/>
        </w:rPr>
        <w:t xml:space="preserve">Figure </w:t>
      </w:r>
      <w:r w:rsidR="001E4F9A">
        <w:rPr>
          <w:rFonts w:cs="Arial"/>
          <w:i/>
        </w:rPr>
        <w:t>2</w:t>
      </w:r>
      <w:r w:rsidR="00DF3238">
        <w:rPr>
          <w:rFonts w:cs="Arial"/>
          <w:i/>
        </w:rPr>
        <w:t>3</w:t>
      </w:r>
      <w:r w:rsidR="00262253" w:rsidRPr="002641D2">
        <w:rPr>
          <w:rFonts w:cs="Arial"/>
        </w:rPr>
        <w:t xml:space="preserve">).  </w:t>
      </w:r>
    </w:p>
    <w:p w:rsidR="00AC3C60" w:rsidRDefault="00AC3C60" w:rsidP="00D1431F">
      <w:pPr>
        <w:pStyle w:val="NoSpacing"/>
        <w:jc w:val="both"/>
        <w:rPr>
          <w:rFonts w:cs="Arial"/>
        </w:rPr>
      </w:pPr>
    </w:p>
    <w:p w:rsidR="00D1431F" w:rsidRPr="000A51CA" w:rsidRDefault="00D1431F" w:rsidP="00D1431F">
      <w:pPr>
        <w:pStyle w:val="NoSpacing"/>
        <w:jc w:val="both"/>
        <w:rPr>
          <w:rFonts w:cs="Arial"/>
          <w:b/>
        </w:rPr>
      </w:pPr>
      <w:r w:rsidRPr="000A51CA">
        <w:rPr>
          <w:rFonts w:cs="Arial"/>
          <w:b/>
        </w:rPr>
        <w:t xml:space="preserve">Figure </w:t>
      </w:r>
      <w:r w:rsidR="00DF3238">
        <w:rPr>
          <w:rFonts w:cs="Arial"/>
          <w:b/>
        </w:rPr>
        <w:t>23</w:t>
      </w:r>
      <w:r w:rsidRPr="000A51CA">
        <w:rPr>
          <w:rFonts w:cs="Arial"/>
          <w:b/>
        </w:rPr>
        <w:t>:</w:t>
      </w:r>
    </w:p>
    <w:p w:rsidR="00D1431F" w:rsidRDefault="00D1431F" w:rsidP="00D1431F">
      <w:pPr>
        <w:pStyle w:val="NoSpacing"/>
        <w:jc w:val="both"/>
        <w:rPr>
          <w:rFonts w:cs="Arial"/>
          <w:sz w:val="20"/>
        </w:rPr>
      </w:pPr>
    </w:p>
    <w:p w:rsidR="00D1431F" w:rsidRDefault="00983420" w:rsidP="00D1431F">
      <w:pPr>
        <w:jc w:val="center"/>
      </w:pPr>
      <w:r w:rsidRPr="00983420">
        <w:rPr>
          <w:noProof/>
        </w:rPr>
        <w:drawing>
          <wp:inline distT="0" distB="0" distL="0" distR="0">
            <wp:extent cx="6645910" cy="3868241"/>
            <wp:effectExtent l="19050" t="0" r="254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6645910" cy="3868241"/>
                    </a:xfrm>
                    <a:prstGeom prst="rect">
                      <a:avLst/>
                    </a:prstGeom>
                    <a:noFill/>
                    <a:ln w="9525">
                      <a:noFill/>
                      <a:miter lim="800000"/>
                      <a:headEnd/>
                      <a:tailEnd/>
                    </a:ln>
                  </pic:spPr>
                </pic:pic>
              </a:graphicData>
            </a:graphic>
          </wp:inline>
        </w:drawing>
      </w:r>
    </w:p>
    <w:p w:rsidR="00D1431F" w:rsidRPr="00CD7EE3" w:rsidRDefault="00D1431F" w:rsidP="00D1431F">
      <w:pPr>
        <w:spacing w:before="240"/>
        <w:jc w:val="both"/>
        <w:rPr>
          <w:b/>
          <w:sz w:val="24"/>
        </w:rPr>
      </w:pPr>
      <w:r w:rsidRPr="00CD7EE3">
        <w:rPr>
          <w:b/>
          <w:sz w:val="24"/>
        </w:rPr>
        <w:t>Trust Action:</w:t>
      </w:r>
    </w:p>
    <w:p w:rsidR="00AC3C60" w:rsidRPr="00ED4EFE" w:rsidRDefault="00AC3C60" w:rsidP="00AC3C60">
      <w:pPr>
        <w:rPr>
          <w:sz w:val="24"/>
        </w:rPr>
        <w:sectPr w:rsidR="00AC3C60" w:rsidRPr="00ED4EFE" w:rsidSect="00265B12">
          <w:pgSz w:w="11906" w:h="16838"/>
          <w:pgMar w:top="720" w:right="720" w:bottom="720" w:left="720" w:header="708" w:footer="708" w:gutter="0"/>
          <w:cols w:space="708"/>
          <w:docGrid w:linePitch="360"/>
        </w:sectPr>
      </w:pPr>
      <w:r>
        <w:rPr>
          <w:sz w:val="24"/>
        </w:rPr>
        <w:t>The patient flow team have been instructed to create and keep a stroke hot bed for both sex’s available at all times</w:t>
      </w:r>
      <w:r w:rsidR="00ED4EFE">
        <w:rPr>
          <w:sz w:val="24"/>
        </w:rPr>
        <w:t xml:space="preserve">.  This will ensure that patients diagnosed with a Stroke or TIA in the Emergency Department can be transferred straight to the unit to start their care and treatment.    </w:t>
      </w:r>
    </w:p>
    <w:p w:rsidR="00D1431F" w:rsidRDefault="00D1431F" w:rsidP="00D1431F">
      <w:pPr>
        <w:pStyle w:val="Heading2"/>
        <w:rPr>
          <w:noProof/>
        </w:rPr>
      </w:pPr>
      <w:bookmarkStart w:id="43" w:name="_Toc381084879"/>
      <w:r w:rsidRPr="00376585">
        <w:lastRenderedPageBreak/>
        <w:t>3.5 Emergency Access</w:t>
      </w:r>
      <w:bookmarkEnd w:id="43"/>
    </w:p>
    <w:p w:rsidR="00D1431F" w:rsidRDefault="00754188" w:rsidP="00D1431F">
      <w:pPr>
        <w:jc w:val="center"/>
      </w:pPr>
      <w:r w:rsidRPr="00754188">
        <w:rPr>
          <w:noProof/>
        </w:rPr>
        <w:drawing>
          <wp:inline distT="0" distB="0" distL="0" distR="0">
            <wp:extent cx="9122793" cy="5624623"/>
            <wp:effectExtent l="19050" t="0" r="2157" b="0"/>
            <wp:docPr id="3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srcRect/>
                    <a:stretch>
                      <a:fillRect/>
                    </a:stretch>
                  </pic:blipFill>
                  <pic:spPr bwMode="auto">
                    <a:xfrm>
                      <a:off x="0" y="0"/>
                      <a:ext cx="9123045" cy="5624778"/>
                    </a:xfrm>
                    <a:prstGeom prst="rect">
                      <a:avLst/>
                    </a:prstGeom>
                    <a:noFill/>
                    <a:ln w="9525">
                      <a:noFill/>
                      <a:miter lim="800000"/>
                      <a:headEnd/>
                      <a:tailEnd/>
                    </a:ln>
                  </pic:spPr>
                </pic:pic>
              </a:graphicData>
            </a:graphic>
          </wp:inline>
        </w:drawing>
      </w:r>
    </w:p>
    <w:p w:rsidR="00461ED6" w:rsidRPr="003C0979" w:rsidRDefault="00ED4EFE" w:rsidP="00D1431F">
      <w:pPr>
        <w:jc w:val="center"/>
        <w:sectPr w:rsidR="00461ED6" w:rsidRPr="003C0979" w:rsidSect="00DC2362">
          <w:pgSz w:w="16838" w:h="11906" w:orient="landscape"/>
          <w:pgMar w:top="720" w:right="720" w:bottom="720" w:left="720" w:header="708" w:footer="708" w:gutter="0"/>
          <w:cols w:space="708"/>
          <w:docGrid w:linePitch="360"/>
        </w:sectPr>
      </w:pPr>
      <w:r w:rsidRPr="00ED4EFE">
        <w:rPr>
          <w:noProof/>
        </w:rPr>
        <w:lastRenderedPageBreak/>
        <w:drawing>
          <wp:inline distT="0" distB="0" distL="0" distR="0">
            <wp:extent cx="9112102" cy="5868092"/>
            <wp:effectExtent l="1905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cstate="print"/>
                    <a:srcRect/>
                    <a:stretch>
                      <a:fillRect/>
                    </a:stretch>
                  </pic:blipFill>
                  <pic:spPr bwMode="auto">
                    <a:xfrm>
                      <a:off x="0" y="0"/>
                      <a:ext cx="9114031" cy="5869334"/>
                    </a:xfrm>
                    <a:prstGeom prst="rect">
                      <a:avLst/>
                    </a:prstGeom>
                    <a:noFill/>
                    <a:ln w="9525">
                      <a:noFill/>
                      <a:miter lim="800000"/>
                      <a:headEnd/>
                      <a:tailEnd/>
                    </a:ln>
                  </pic:spPr>
                </pic:pic>
              </a:graphicData>
            </a:graphic>
          </wp:inline>
        </w:drawing>
      </w:r>
    </w:p>
    <w:p w:rsidR="00D1431F" w:rsidRPr="00CD7EE3" w:rsidRDefault="00D1431F" w:rsidP="00D1431F">
      <w:pPr>
        <w:pStyle w:val="Heading3"/>
        <w:rPr>
          <w:sz w:val="24"/>
        </w:rPr>
      </w:pPr>
      <w:bookmarkStart w:id="44" w:name="_Toc381084880"/>
      <w:r w:rsidRPr="00CD7EE3">
        <w:rPr>
          <w:sz w:val="24"/>
        </w:rPr>
        <w:lastRenderedPageBreak/>
        <w:t>3.5.1 Emergency Department (ED) Performance</w:t>
      </w:r>
      <w:bookmarkEnd w:id="44"/>
    </w:p>
    <w:p w:rsidR="000F5895" w:rsidRDefault="00D1431F" w:rsidP="00D1431F">
      <w:pPr>
        <w:jc w:val="both"/>
        <w:rPr>
          <w:rFonts w:cs="Arial"/>
          <w:sz w:val="24"/>
        </w:rPr>
      </w:pPr>
      <w:r w:rsidRPr="00CD7EE3">
        <w:rPr>
          <w:rFonts w:cs="Arial"/>
          <w:sz w:val="24"/>
        </w:rPr>
        <w:t xml:space="preserve">The NHS constitution set the national standard wherein 95% of all patients attending NHS Emergency Department’s spend a maximum of four hours in the department before being discharged, referred/transferred to other services or admitted to the hospital and transferred to an inpatient bed.  The target was achieved in </w:t>
      </w:r>
      <w:r w:rsidR="000F5895">
        <w:rPr>
          <w:rFonts w:cs="Arial"/>
          <w:sz w:val="24"/>
        </w:rPr>
        <w:t xml:space="preserve">June (97.96%) but was not achieved in July (93.66%) as illustrated in </w:t>
      </w:r>
      <w:r w:rsidR="00C42622">
        <w:rPr>
          <w:rFonts w:cs="Arial"/>
          <w:i/>
          <w:sz w:val="24"/>
        </w:rPr>
        <w:t>Figure 2</w:t>
      </w:r>
      <w:r w:rsidR="00DF134A">
        <w:rPr>
          <w:rFonts w:cs="Arial"/>
          <w:i/>
          <w:sz w:val="24"/>
        </w:rPr>
        <w:t>5</w:t>
      </w:r>
      <w:r w:rsidRPr="00CD7EE3">
        <w:rPr>
          <w:rFonts w:cs="Arial"/>
          <w:sz w:val="24"/>
        </w:rPr>
        <w:t>.</w:t>
      </w:r>
      <w:r w:rsidR="000F5895">
        <w:rPr>
          <w:rFonts w:cs="Arial"/>
          <w:sz w:val="24"/>
        </w:rPr>
        <w:t xml:space="preserve">  This as a result of </w:t>
      </w:r>
      <w:r w:rsidR="0073533B">
        <w:rPr>
          <w:rFonts w:cs="Arial"/>
          <w:sz w:val="24"/>
        </w:rPr>
        <w:t xml:space="preserve">two key </w:t>
      </w:r>
      <w:r w:rsidR="000F5895">
        <w:rPr>
          <w:rFonts w:cs="Arial"/>
          <w:sz w:val="24"/>
        </w:rPr>
        <w:t>factors:</w:t>
      </w:r>
    </w:p>
    <w:p w:rsidR="000F5895" w:rsidRPr="000F5895" w:rsidRDefault="000F5895" w:rsidP="00CB6E44">
      <w:pPr>
        <w:pStyle w:val="ListParagraph"/>
        <w:numPr>
          <w:ilvl w:val="0"/>
          <w:numId w:val="25"/>
        </w:numPr>
        <w:jc w:val="both"/>
        <w:rPr>
          <w:sz w:val="24"/>
        </w:rPr>
      </w:pPr>
      <w:r w:rsidRPr="000F5895">
        <w:rPr>
          <w:rFonts w:cs="Arial"/>
          <w:sz w:val="24"/>
        </w:rPr>
        <w:t xml:space="preserve">The increase in demand for beds (emergency and elective) has </w:t>
      </w:r>
      <w:r>
        <w:rPr>
          <w:rFonts w:cs="Arial"/>
          <w:sz w:val="24"/>
        </w:rPr>
        <w:t xml:space="preserve">outstripped capacity despite the continued reduction in the length of stay.   </w:t>
      </w:r>
    </w:p>
    <w:p w:rsidR="000F5895" w:rsidRPr="000F5895" w:rsidRDefault="000F5895" w:rsidP="00CB6E44">
      <w:pPr>
        <w:pStyle w:val="ListParagraph"/>
        <w:numPr>
          <w:ilvl w:val="0"/>
          <w:numId w:val="25"/>
        </w:numPr>
        <w:jc w:val="both"/>
        <w:rPr>
          <w:sz w:val="24"/>
        </w:rPr>
      </w:pPr>
      <w:r>
        <w:rPr>
          <w:sz w:val="24"/>
        </w:rPr>
        <w:t>In July the Trust experienced a sudden spike in activity be</w:t>
      </w:r>
      <w:r w:rsidR="0073533B">
        <w:rPr>
          <w:sz w:val="24"/>
        </w:rPr>
        <w:t xml:space="preserve">tween 17:00 and 19:00 which </w:t>
      </w:r>
      <w:r>
        <w:rPr>
          <w:sz w:val="24"/>
        </w:rPr>
        <w:t xml:space="preserve">put significant pressure on the Emergency Department.  This activity is a mixture of both an increase in walk-in patients and </w:t>
      </w:r>
      <w:r w:rsidR="0073533B">
        <w:rPr>
          <w:sz w:val="24"/>
        </w:rPr>
        <w:t>ambulance</w:t>
      </w:r>
      <w:r w:rsidR="009E1CE3">
        <w:rPr>
          <w:sz w:val="24"/>
        </w:rPr>
        <w:t xml:space="preserve"> arrivals.  </w:t>
      </w:r>
      <w:r w:rsidR="0073533B">
        <w:rPr>
          <w:sz w:val="24"/>
        </w:rPr>
        <w:t xml:space="preserve"> </w:t>
      </w:r>
      <w:r>
        <w:rPr>
          <w:sz w:val="24"/>
        </w:rPr>
        <w:t xml:space="preserve">  </w:t>
      </w:r>
    </w:p>
    <w:p w:rsidR="00D1431F" w:rsidRPr="000F5895" w:rsidRDefault="00C42622" w:rsidP="000F5895">
      <w:pPr>
        <w:jc w:val="both"/>
        <w:rPr>
          <w:b/>
          <w:sz w:val="24"/>
        </w:rPr>
      </w:pPr>
      <w:r w:rsidRPr="000F5895">
        <w:rPr>
          <w:b/>
          <w:sz w:val="24"/>
        </w:rPr>
        <w:t>Figure 2</w:t>
      </w:r>
      <w:r w:rsidR="00DF3238">
        <w:rPr>
          <w:b/>
          <w:sz w:val="24"/>
        </w:rPr>
        <w:t>4</w:t>
      </w:r>
      <w:r w:rsidR="00D1431F" w:rsidRPr="000F5895">
        <w:rPr>
          <w:b/>
          <w:sz w:val="24"/>
        </w:rPr>
        <w:t>:</w:t>
      </w:r>
    </w:p>
    <w:p w:rsidR="00D1431F" w:rsidRDefault="00754188" w:rsidP="00D1431F">
      <w:pPr>
        <w:jc w:val="center"/>
        <w:rPr>
          <w:sz w:val="20"/>
        </w:rPr>
      </w:pPr>
      <w:r w:rsidRPr="00754188">
        <w:rPr>
          <w:noProof/>
        </w:rPr>
        <w:drawing>
          <wp:inline distT="0" distB="0" distL="0" distR="0">
            <wp:extent cx="6112076" cy="3391786"/>
            <wp:effectExtent l="19050" t="0" r="2974" b="0"/>
            <wp:docPr id="3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0" cstate="print"/>
                    <a:srcRect/>
                    <a:stretch>
                      <a:fillRect/>
                    </a:stretch>
                  </pic:blipFill>
                  <pic:spPr bwMode="auto">
                    <a:xfrm>
                      <a:off x="0" y="0"/>
                      <a:ext cx="6111624" cy="3391535"/>
                    </a:xfrm>
                    <a:prstGeom prst="rect">
                      <a:avLst/>
                    </a:prstGeom>
                    <a:noFill/>
                    <a:ln w="9525">
                      <a:noFill/>
                      <a:miter lim="800000"/>
                      <a:headEnd/>
                      <a:tailEnd/>
                    </a:ln>
                  </pic:spPr>
                </pic:pic>
              </a:graphicData>
            </a:graphic>
          </wp:inline>
        </w:drawing>
      </w:r>
    </w:p>
    <w:p w:rsidR="00DF134A" w:rsidRDefault="00DF134A" w:rsidP="00FF2E65">
      <w:pPr>
        <w:jc w:val="both"/>
        <w:rPr>
          <w:rFonts w:cs="Arial"/>
          <w:b/>
          <w:sz w:val="24"/>
        </w:rPr>
      </w:pPr>
    </w:p>
    <w:p w:rsidR="00DF134A" w:rsidRDefault="00DF134A" w:rsidP="00FF2E65">
      <w:pPr>
        <w:jc w:val="both"/>
        <w:rPr>
          <w:rFonts w:cs="Arial"/>
          <w:b/>
          <w:sz w:val="24"/>
        </w:rPr>
      </w:pPr>
    </w:p>
    <w:p w:rsidR="00D1431F" w:rsidRPr="00FF2E65" w:rsidRDefault="00D1431F" w:rsidP="00FF2E65">
      <w:pPr>
        <w:jc w:val="both"/>
        <w:rPr>
          <w:rFonts w:cs="Arial"/>
          <w:b/>
          <w:sz w:val="24"/>
        </w:rPr>
      </w:pPr>
      <w:r w:rsidRPr="00FF2E65">
        <w:rPr>
          <w:rFonts w:cs="Arial"/>
          <w:b/>
          <w:sz w:val="24"/>
        </w:rPr>
        <w:lastRenderedPageBreak/>
        <w:t>Trust Action:</w:t>
      </w:r>
    </w:p>
    <w:p w:rsidR="00FF2E65" w:rsidRDefault="00FF2E65" w:rsidP="00CB6E44">
      <w:pPr>
        <w:pStyle w:val="ListParagraph"/>
        <w:numPr>
          <w:ilvl w:val="0"/>
          <w:numId w:val="26"/>
        </w:numPr>
        <w:jc w:val="both"/>
        <w:rPr>
          <w:rFonts w:cs="Arial"/>
          <w:sz w:val="24"/>
        </w:rPr>
      </w:pPr>
      <w:r>
        <w:rPr>
          <w:rFonts w:cs="Arial"/>
          <w:sz w:val="24"/>
        </w:rPr>
        <w:t xml:space="preserve">The Trust has undertaken a detailed review of </w:t>
      </w:r>
      <w:r w:rsidRPr="00FF2E65">
        <w:rPr>
          <w:rFonts w:cs="Arial"/>
          <w:sz w:val="24"/>
        </w:rPr>
        <w:t xml:space="preserve">internal and external </w:t>
      </w:r>
      <w:r>
        <w:rPr>
          <w:rFonts w:cs="Arial"/>
          <w:sz w:val="24"/>
        </w:rPr>
        <w:t xml:space="preserve">performance and activity data to understand the causes behind the sudden drop in performance.  The review has been shared with key staff internal and external to the Trust to </w:t>
      </w:r>
      <w:r w:rsidR="00313DD9">
        <w:rPr>
          <w:rFonts w:cs="Arial"/>
          <w:sz w:val="24"/>
        </w:rPr>
        <w:t>support the development and implementation of the necessary</w:t>
      </w:r>
      <w:r>
        <w:rPr>
          <w:rFonts w:cs="Arial"/>
          <w:sz w:val="24"/>
        </w:rPr>
        <w:t xml:space="preserve"> </w:t>
      </w:r>
      <w:r w:rsidR="00313DD9">
        <w:rPr>
          <w:rFonts w:cs="Arial"/>
          <w:sz w:val="24"/>
        </w:rPr>
        <w:t xml:space="preserve">actions to bring about positive change.   </w:t>
      </w:r>
      <w:r>
        <w:rPr>
          <w:rFonts w:cs="Arial"/>
          <w:sz w:val="24"/>
        </w:rPr>
        <w:t xml:space="preserve"> </w:t>
      </w:r>
    </w:p>
    <w:p w:rsidR="00FF2E65" w:rsidRDefault="00FF2E65" w:rsidP="00FF2E65">
      <w:pPr>
        <w:pStyle w:val="ListParagraph"/>
        <w:jc w:val="both"/>
        <w:rPr>
          <w:rFonts w:cs="Arial"/>
          <w:sz w:val="24"/>
        </w:rPr>
      </w:pPr>
    </w:p>
    <w:p w:rsidR="00027BF8" w:rsidRPr="00F1145A" w:rsidRDefault="00313DD9" w:rsidP="00CB6E44">
      <w:pPr>
        <w:pStyle w:val="ListParagraph"/>
        <w:numPr>
          <w:ilvl w:val="0"/>
          <w:numId w:val="26"/>
        </w:numPr>
        <w:jc w:val="both"/>
        <w:rPr>
          <w:rFonts w:cs="Arial"/>
          <w:sz w:val="24"/>
        </w:rPr>
      </w:pPr>
      <w:r w:rsidRPr="00F1145A">
        <w:rPr>
          <w:rFonts w:cs="Arial"/>
          <w:sz w:val="24"/>
        </w:rPr>
        <w:t>North Somerset</w:t>
      </w:r>
      <w:r w:rsidR="00027BF8" w:rsidRPr="00F1145A">
        <w:rPr>
          <w:rFonts w:cs="Arial"/>
          <w:sz w:val="24"/>
        </w:rPr>
        <w:t xml:space="preserve"> CCG</w:t>
      </w:r>
      <w:r w:rsidRPr="00F1145A">
        <w:rPr>
          <w:rFonts w:cs="Arial"/>
          <w:sz w:val="24"/>
        </w:rPr>
        <w:t xml:space="preserve"> has increased the daily calls from three to five days per week to ensure that performance across the health and social care system is reviewed in detail to en</w:t>
      </w:r>
      <w:r w:rsidR="00027BF8" w:rsidRPr="00F1145A">
        <w:rPr>
          <w:rFonts w:cs="Arial"/>
          <w:sz w:val="24"/>
        </w:rPr>
        <w:t>sure all</w:t>
      </w:r>
      <w:r w:rsidRPr="00F1145A">
        <w:rPr>
          <w:rFonts w:cs="Arial"/>
          <w:sz w:val="24"/>
        </w:rPr>
        <w:t xml:space="preserve"> capacity</w:t>
      </w:r>
      <w:r w:rsidR="00027BF8" w:rsidRPr="00F1145A">
        <w:rPr>
          <w:rFonts w:cs="Arial"/>
          <w:sz w:val="24"/>
        </w:rPr>
        <w:t xml:space="preserve"> is maximised</w:t>
      </w:r>
      <w:r w:rsidRPr="00F1145A">
        <w:rPr>
          <w:rFonts w:cs="Arial"/>
          <w:sz w:val="24"/>
        </w:rPr>
        <w:t xml:space="preserve"> to manage </w:t>
      </w:r>
      <w:r w:rsidR="00027BF8" w:rsidRPr="00F1145A">
        <w:rPr>
          <w:rFonts w:cs="Arial"/>
          <w:sz w:val="24"/>
        </w:rPr>
        <w:t>patients the</w:t>
      </w:r>
      <w:r w:rsidRPr="00F1145A">
        <w:rPr>
          <w:rFonts w:cs="Arial"/>
          <w:sz w:val="24"/>
        </w:rPr>
        <w:t xml:space="preserve"> most effective</w:t>
      </w:r>
      <w:r w:rsidR="00027BF8" w:rsidRPr="00F1145A">
        <w:rPr>
          <w:rFonts w:cs="Arial"/>
          <w:sz w:val="24"/>
        </w:rPr>
        <w:t xml:space="preserve"> and caring manner.  </w:t>
      </w:r>
    </w:p>
    <w:p w:rsidR="00027BF8" w:rsidRPr="00F1145A" w:rsidRDefault="00027BF8" w:rsidP="00F1145A">
      <w:pPr>
        <w:pStyle w:val="ListParagraph"/>
        <w:jc w:val="both"/>
        <w:rPr>
          <w:rFonts w:cs="Arial"/>
          <w:sz w:val="24"/>
        </w:rPr>
      </w:pPr>
    </w:p>
    <w:p w:rsidR="00027BF8" w:rsidRPr="00F1145A" w:rsidRDefault="00027BF8" w:rsidP="00CB6E44">
      <w:pPr>
        <w:pStyle w:val="ListParagraph"/>
        <w:numPr>
          <w:ilvl w:val="0"/>
          <w:numId w:val="26"/>
        </w:numPr>
        <w:jc w:val="both"/>
        <w:rPr>
          <w:rFonts w:cs="Arial"/>
          <w:sz w:val="24"/>
        </w:rPr>
      </w:pPr>
      <w:r w:rsidRPr="00F1145A">
        <w:rPr>
          <w:rFonts w:cs="Arial"/>
          <w:sz w:val="24"/>
        </w:rPr>
        <w:t>Trust has increased the number of site meetings throughout the day and increased the seniority of attendance to ensure appropriate actions are taken and barriers escalated both internally and externally.</w:t>
      </w:r>
    </w:p>
    <w:p w:rsidR="00027BF8" w:rsidRPr="00F1145A" w:rsidRDefault="00027BF8" w:rsidP="00F1145A">
      <w:pPr>
        <w:pStyle w:val="ListParagraph"/>
        <w:jc w:val="both"/>
        <w:rPr>
          <w:rFonts w:cs="Arial"/>
          <w:sz w:val="24"/>
        </w:rPr>
      </w:pPr>
    </w:p>
    <w:p w:rsidR="00027BF8" w:rsidRPr="00F1145A" w:rsidRDefault="0073533B" w:rsidP="00CB6E44">
      <w:pPr>
        <w:pStyle w:val="ListParagraph"/>
        <w:numPr>
          <w:ilvl w:val="0"/>
          <w:numId w:val="26"/>
        </w:numPr>
        <w:jc w:val="both"/>
        <w:rPr>
          <w:rFonts w:cs="Arial"/>
          <w:sz w:val="24"/>
        </w:rPr>
      </w:pPr>
      <w:r w:rsidRPr="00F1145A">
        <w:rPr>
          <w:rFonts w:cs="Arial"/>
          <w:sz w:val="24"/>
        </w:rPr>
        <w:t xml:space="preserve">Daily review meetings are held each morning with ward representation, matrons and senior management where all breaches and any issues highlighted are reviewed in detail with clear actions.  </w:t>
      </w:r>
    </w:p>
    <w:p w:rsidR="00D1431F" w:rsidRPr="00027BF8" w:rsidRDefault="00D1431F" w:rsidP="00027BF8">
      <w:pPr>
        <w:pStyle w:val="NoSpacing"/>
      </w:pPr>
      <w:r w:rsidRPr="00027BF8">
        <w:br w:type="page"/>
      </w:r>
    </w:p>
    <w:p w:rsidR="00D1431F" w:rsidRPr="00327EA5" w:rsidRDefault="00D1431F" w:rsidP="00D1431F">
      <w:pPr>
        <w:pStyle w:val="Heading1"/>
        <w:rPr>
          <w:sz w:val="22"/>
        </w:rPr>
      </w:pPr>
      <w:bookmarkStart w:id="45" w:name="_Toc381084881"/>
      <w:r w:rsidRPr="00327EA5">
        <w:lastRenderedPageBreak/>
        <w:t>3.6 Elective Access</w:t>
      </w:r>
      <w:bookmarkEnd w:id="45"/>
    </w:p>
    <w:p w:rsidR="00D1431F" w:rsidRPr="00327EA5" w:rsidRDefault="00D1431F" w:rsidP="00D1431F">
      <w:pPr>
        <w:jc w:val="both"/>
        <w:rPr>
          <w:rFonts w:cs="Arial"/>
          <w:i/>
          <w:sz w:val="24"/>
          <w:szCs w:val="24"/>
        </w:rPr>
      </w:pPr>
      <w:r w:rsidRPr="00327EA5">
        <w:rPr>
          <w:rFonts w:cs="Arial"/>
          <w:i/>
          <w:sz w:val="24"/>
          <w:szCs w:val="24"/>
        </w:rPr>
        <w:t xml:space="preserve">This section reviews the key elective access targets to understand the effectiveness and the quality of care throughout the elective care pathways. </w:t>
      </w:r>
    </w:p>
    <w:p w:rsidR="00D1431F" w:rsidRPr="00327EA5" w:rsidRDefault="00D1431F" w:rsidP="00D1431F">
      <w:pPr>
        <w:pStyle w:val="Heading3"/>
        <w:rPr>
          <w:sz w:val="24"/>
          <w:szCs w:val="24"/>
        </w:rPr>
      </w:pPr>
      <w:bookmarkStart w:id="46" w:name="_Toc381084882"/>
      <w:r w:rsidRPr="00327EA5">
        <w:rPr>
          <w:sz w:val="24"/>
          <w:szCs w:val="24"/>
        </w:rPr>
        <w:t>3.6.1 Referral to Treatment (RTT)</w:t>
      </w:r>
      <w:bookmarkEnd w:id="46"/>
    </w:p>
    <w:p w:rsidR="00D1431F" w:rsidRPr="00327EA5" w:rsidRDefault="00D1431F" w:rsidP="00D1431F">
      <w:pPr>
        <w:jc w:val="both"/>
        <w:rPr>
          <w:iCs/>
          <w:sz w:val="24"/>
          <w:szCs w:val="24"/>
        </w:rPr>
      </w:pPr>
      <w:r w:rsidRPr="00327EA5">
        <w:rPr>
          <w:iCs/>
          <w:sz w:val="24"/>
          <w:szCs w:val="24"/>
        </w:rPr>
        <w:t xml:space="preserve">The NHS constitution states that patients have the legal right to start their NHS consultant-led treatment within a maximum of 18 weeks from referral, unless the patient chooses to wait longer or it is clinically appropriate to wait longer.  For the months of </w:t>
      </w:r>
      <w:r w:rsidR="00327EA5">
        <w:rPr>
          <w:iCs/>
          <w:sz w:val="24"/>
          <w:szCs w:val="24"/>
        </w:rPr>
        <w:t>June and July</w:t>
      </w:r>
      <w:r w:rsidRPr="00327EA5">
        <w:rPr>
          <w:iCs/>
          <w:sz w:val="24"/>
          <w:szCs w:val="24"/>
        </w:rPr>
        <w:t xml:space="preserve"> the following sub-sections will review the Trust performance against the three national 18 week targets.   </w:t>
      </w:r>
    </w:p>
    <w:p w:rsidR="00D1431F" w:rsidRPr="00327EA5" w:rsidRDefault="00D1431F" w:rsidP="00D1431F">
      <w:pPr>
        <w:pStyle w:val="Heading3"/>
        <w:rPr>
          <w:sz w:val="24"/>
          <w:szCs w:val="24"/>
        </w:rPr>
      </w:pPr>
      <w:bookmarkStart w:id="47" w:name="_Toc381084883"/>
      <w:r w:rsidRPr="00327EA5">
        <w:rPr>
          <w:sz w:val="24"/>
          <w:szCs w:val="24"/>
        </w:rPr>
        <w:t>3.6.2 Referral to Treatment (RTT) Admitted</w:t>
      </w:r>
      <w:bookmarkEnd w:id="47"/>
    </w:p>
    <w:p w:rsidR="00D1431F" w:rsidRPr="00327EA5" w:rsidRDefault="00293522" w:rsidP="00D1431F">
      <w:pPr>
        <w:pStyle w:val="NoSpacing"/>
        <w:jc w:val="both"/>
      </w:pPr>
      <w:r w:rsidRPr="00327EA5">
        <w:rPr>
          <w:rFonts w:eastAsiaTheme="minorHAnsi" w:cstheme="minorBidi"/>
          <w:iCs/>
          <w:color w:val="auto"/>
          <w:lang w:eastAsia="en-US"/>
        </w:rPr>
        <w:t>The Trust did not achieve the admitted</w:t>
      </w:r>
      <w:r w:rsidR="00327EA5">
        <w:rPr>
          <w:rFonts w:eastAsiaTheme="minorHAnsi" w:cstheme="minorBidi"/>
          <w:iCs/>
          <w:color w:val="auto"/>
          <w:lang w:eastAsia="en-US"/>
        </w:rPr>
        <w:t xml:space="preserve"> 18 week target in June and July</w:t>
      </w:r>
      <w:r w:rsidRPr="00327EA5">
        <w:rPr>
          <w:rFonts w:eastAsiaTheme="minorHAnsi" w:cstheme="minorBidi"/>
          <w:iCs/>
          <w:color w:val="auto"/>
          <w:lang w:eastAsia="en-US"/>
        </w:rPr>
        <w:t xml:space="preserve"> in line with a plan agreed with the Clinical Commissioning Group and the Trust Development Authority to enable the Trust to </w:t>
      </w:r>
      <w:r w:rsidR="00F60065" w:rsidRPr="00327EA5">
        <w:rPr>
          <w:rFonts w:eastAsiaTheme="minorHAnsi" w:cstheme="minorBidi"/>
          <w:iCs/>
          <w:color w:val="auto"/>
          <w:lang w:eastAsia="en-US"/>
        </w:rPr>
        <w:t xml:space="preserve">treat all patients over 18 weeks </w:t>
      </w:r>
      <w:r w:rsidRPr="00327EA5">
        <w:rPr>
          <w:rFonts w:eastAsiaTheme="minorHAnsi" w:cstheme="minorBidi"/>
          <w:iCs/>
          <w:color w:val="auto"/>
          <w:lang w:eastAsia="en-US"/>
        </w:rPr>
        <w:t>for Urology and Trauma &amp; Orthopaedics</w:t>
      </w:r>
      <w:r w:rsidR="00F60065" w:rsidRPr="00327EA5">
        <w:rPr>
          <w:rFonts w:eastAsiaTheme="minorHAnsi" w:cstheme="minorBidi"/>
          <w:iCs/>
          <w:color w:val="auto"/>
          <w:lang w:eastAsia="en-US"/>
        </w:rPr>
        <w:t xml:space="preserve">.  </w:t>
      </w:r>
    </w:p>
    <w:p w:rsidR="00D1431F" w:rsidRPr="00327EA5" w:rsidRDefault="00D1431F" w:rsidP="00D1431F">
      <w:pPr>
        <w:pStyle w:val="NoSpacing"/>
        <w:jc w:val="both"/>
      </w:pPr>
    </w:p>
    <w:p w:rsidR="00D1431F" w:rsidRPr="00327EA5" w:rsidRDefault="00DF3238" w:rsidP="00D1431F">
      <w:pPr>
        <w:pStyle w:val="NoSpacing"/>
        <w:jc w:val="both"/>
        <w:rPr>
          <w:b/>
        </w:rPr>
      </w:pPr>
      <w:r>
        <w:rPr>
          <w:b/>
        </w:rPr>
        <w:t>Figure 25</w:t>
      </w:r>
      <w:r w:rsidR="00D1431F" w:rsidRPr="00327EA5">
        <w:rPr>
          <w:b/>
        </w:rPr>
        <w:t>:</w:t>
      </w:r>
    </w:p>
    <w:p w:rsidR="00F377DC" w:rsidRPr="00F1145A" w:rsidRDefault="00F377DC" w:rsidP="00D1431F">
      <w:pPr>
        <w:pStyle w:val="NoSpacing"/>
        <w:jc w:val="both"/>
        <w:rPr>
          <w:b/>
          <w:sz w:val="14"/>
          <w:highlight w:val="yellow"/>
        </w:rPr>
      </w:pPr>
    </w:p>
    <w:p w:rsidR="00D1431F" w:rsidRPr="00F1145A" w:rsidRDefault="00787AA9" w:rsidP="00D1431F">
      <w:pPr>
        <w:pStyle w:val="NoSpacing"/>
        <w:jc w:val="center"/>
        <w:rPr>
          <w:highlight w:val="yellow"/>
        </w:rPr>
      </w:pPr>
      <w:r w:rsidRPr="00787AA9">
        <w:rPr>
          <w:noProof/>
        </w:rPr>
        <w:drawing>
          <wp:inline distT="0" distB="0" distL="0" distR="0">
            <wp:extent cx="5390477" cy="3400000"/>
            <wp:effectExtent l="19050" t="0" r="673" b="0"/>
            <wp:docPr id="7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cstate="print"/>
                    <a:stretch>
                      <a:fillRect/>
                    </a:stretch>
                  </pic:blipFill>
                  <pic:spPr>
                    <a:xfrm>
                      <a:off x="0" y="0"/>
                      <a:ext cx="5390477" cy="3400000"/>
                    </a:xfrm>
                    <a:prstGeom prst="rect">
                      <a:avLst/>
                    </a:prstGeom>
                  </pic:spPr>
                </pic:pic>
              </a:graphicData>
            </a:graphic>
          </wp:inline>
        </w:drawing>
      </w:r>
    </w:p>
    <w:p w:rsidR="00D1431F" w:rsidRPr="00F1145A" w:rsidRDefault="00D1431F" w:rsidP="00D1431F">
      <w:pPr>
        <w:pStyle w:val="NoSpacing"/>
        <w:jc w:val="center"/>
        <w:rPr>
          <w:highlight w:val="yellow"/>
        </w:rPr>
      </w:pPr>
    </w:p>
    <w:p w:rsidR="00D1431F" w:rsidRPr="00327EA5" w:rsidRDefault="00D1431F" w:rsidP="00D1431F">
      <w:pPr>
        <w:spacing w:before="240"/>
        <w:jc w:val="both"/>
        <w:rPr>
          <w:b/>
          <w:sz w:val="24"/>
        </w:rPr>
      </w:pPr>
      <w:r w:rsidRPr="00327EA5">
        <w:rPr>
          <w:b/>
          <w:sz w:val="24"/>
        </w:rPr>
        <w:lastRenderedPageBreak/>
        <w:t>Trust Action:</w:t>
      </w:r>
    </w:p>
    <w:p w:rsidR="00F60065" w:rsidRPr="00327EA5" w:rsidRDefault="00F60065" w:rsidP="00F60065">
      <w:pPr>
        <w:spacing w:before="240" w:after="0"/>
        <w:jc w:val="both"/>
        <w:rPr>
          <w:rFonts w:cs="Arial"/>
          <w:sz w:val="24"/>
        </w:rPr>
      </w:pPr>
      <w:r w:rsidRPr="00327EA5">
        <w:rPr>
          <w:rFonts w:cs="Arial"/>
          <w:sz w:val="24"/>
        </w:rPr>
        <w:t>The Trust continues to reduce the numbers o</w:t>
      </w:r>
      <w:r w:rsidR="00E87913" w:rsidRPr="00327EA5">
        <w:rPr>
          <w:rFonts w:cs="Arial"/>
          <w:sz w:val="24"/>
        </w:rPr>
        <w:t xml:space="preserve">f patients over 18 weeks for </w:t>
      </w:r>
      <w:r w:rsidRPr="00327EA5">
        <w:rPr>
          <w:rFonts w:cs="Arial"/>
          <w:sz w:val="24"/>
        </w:rPr>
        <w:t xml:space="preserve">Trauma and Orthopaedics and Urology in line with the agreed trajectory. </w:t>
      </w:r>
      <w:r w:rsidR="00F45957">
        <w:rPr>
          <w:rFonts w:cs="Arial"/>
          <w:sz w:val="24"/>
        </w:rPr>
        <w:t>There are now no patients waiting over 18 weeks within the speciality of Urology.</w:t>
      </w:r>
      <w:r w:rsidRPr="00327EA5">
        <w:rPr>
          <w:rFonts w:cs="Arial"/>
          <w:sz w:val="24"/>
        </w:rPr>
        <w:t xml:space="preserve">   </w:t>
      </w:r>
    </w:p>
    <w:p w:rsidR="00F60065" w:rsidRPr="00327EA5" w:rsidRDefault="00F60065" w:rsidP="00F60065">
      <w:pPr>
        <w:pStyle w:val="NoSpacing"/>
        <w:rPr>
          <w:sz w:val="16"/>
        </w:rPr>
      </w:pPr>
    </w:p>
    <w:p w:rsidR="00D1431F" w:rsidRPr="00327EA5" w:rsidRDefault="00D1431F" w:rsidP="00A35D63">
      <w:pPr>
        <w:pStyle w:val="NoSpacing"/>
        <w:jc w:val="both"/>
        <w:rPr>
          <w:szCs w:val="22"/>
        </w:rPr>
      </w:pPr>
      <w:r w:rsidRPr="00327EA5">
        <w:rPr>
          <w:szCs w:val="22"/>
        </w:rPr>
        <w:t>The Trust continues</w:t>
      </w:r>
      <w:r w:rsidR="00E87913" w:rsidRPr="00327EA5">
        <w:rPr>
          <w:szCs w:val="22"/>
        </w:rPr>
        <w:t xml:space="preserve"> to </w:t>
      </w:r>
      <w:r w:rsidR="00C42622" w:rsidRPr="00327EA5">
        <w:rPr>
          <w:szCs w:val="22"/>
        </w:rPr>
        <w:t>undertake</w:t>
      </w:r>
      <w:r w:rsidRPr="00327EA5">
        <w:rPr>
          <w:szCs w:val="22"/>
        </w:rPr>
        <w:t xml:space="preserve"> weekly waiting list forward planning meetings where the waiting list for each specialty and the theatre timetable is reviewed by the Assistant Divisional Manager of Planned Care, Access Manager and Theatre Manager.   From the new financial year this has been strengthened with the Director of Operations in attendance.</w:t>
      </w:r>
      <w:r w:rsidR="00DC136A">
        <w:rPr>
          <w:szCs w:val="22"/>
        </w:rPr>
        <w:t xml:space="preserve">  The Trust aim to bring patients in within 16 weeks and additional finances have been agreed to assist with this.</w:t>
      </w:r>
    </w:p>
    <w:p w:rsidR="00D1431F" w:rsidRPr="00F45957" w:rsidRDefault="00D1431F" w:rsidP="00D1431F">
      <w:pPr>
        <w:pStyle w:val="Heading3"/>
        <w:rPr>
          <w:sz w:val="24"/>
          <w:szCs w:val="24"/>
        </w:rPr>
      </w:pPr>
      <w:bookmarkStart w:id="48" w:name="_Toc381084884"/>
      <w:r w:rsidRPr="00F45957">
        <w:rPr>
          <w:sz w:val="24"/>
          <w:szCs w:val="24"/>
        </w:rPr>
        <w:t>3.6.3 Referral to Treatment (RTT) Non-Admitted</w:t>
      </w:r>
      <w:bookmarkEnd w:id="48"/>
    </w:p>
    <w:p w:rsidR="00D1431F" w:rsidRPr="00F45957" w:rsidRDefault="00D1431F" w:rsidP="00A35D63">
      <w:pPr>
        <w:pStyle w:val="NoSpacing"/>
        <w:jc w:val="both"/>
      </w:pPr>
      <w:r w:rsidRPr="00F45957">
        <w:t xml:space="preserve">The Trust continued to achieve the non-admitted target in </w:t>
      </w:r>
      <w:r w:rsidR="00DC136A">
        <w:t>June</w:t>
      </w:r>
      <w:r w:rsidR="00F60065" w:rsidRPr="00F45957">
        <w:t xml:space="preserve"> as illustrated in </w:t>
      </w:r>
      <w:r w:rsidR="00DF3238">
        <w:rPr>
          <w:i/>
        </w:rPr>
        <w:t>Figure 26</w:t>
      </w:r>
      <w:r w:rsidR="00F60065" w:rsidRPr="00F45957">
        <w:rPr>
          <w:i/>
        </w:rPr>
        <w:t>.</w:t>
      </w:r>
      <w:r w:rsidR="00F60065" w:rsidRPr="00F45957">
        <w:t xml:space="preserve">  </w:t>
      </w:r>
    </w:p>
    <w:p w:rsidR="00D1431F" w:rsidRPr="00F45957" w:rsidRDefault="00D1431F" w:rsidP="00D1431F">
      <w:pPr>
        <w:pStyle w:val="NoSpacing"/>
        <w:rPr>
          <w:sz w:val="12"/>
        </w:rPr>
      </w:pPr>
    </w:p>
    <w:p w:rsidR="00D1431F" w:rsidRPr="00F45957" w:rsidRDefault="00DF3238" w:rsidP="00D1431F">
      <w:pPr>
        <w:pStyle w:val="NoSpacing"/>
        <w:jc w:val="both"/>
        <w:rPr>
          <w:b/>
          <w:sz w:val="22"/>
        </w:rPr>
      </w:pPr>
      <w:r>
        <w:rPr>
          <w:b/>
          <w:sz w:val="22"/>
        </w:rPr>
        <w:t>Figure 26</w:t>
      </w:r>
      <w:r w:rsidR="00D1431F" w:rsidRPr="00F45957">
        <w:rPr>
          <w:b/>
          <w:sz w:val="22"/>
        </w:rPr>
        <w:t>:</w:t>
      </w:r>
    </w:p>
    <w:p w:rsidR="00D1431F" w:rsidRPr="00F1145A" w:rsidRDefault="00D1431F" w:rsidP="00D1431F">
      <w:pPr>
        <w:pStyle w:val="NoSpacing"/>
        <w:jc w:val="both"/>
        <w:rPr>
          <w:b/>
          <w:sz w:val="8"/>
          <w:highlight w:val="yellow"/>
        </w:rPr>
      </w:pPr>
    </w:p>
    <w:p w:rsidR="00D1431F" w:rsidRPr="00F1145A" w:rsidRDefault="00787AA9" w:rsidP="00D1431F">
      <w:pPr>
        <w:pStyle w:val="NoSpacing"/>
        <w:jc w:val="center"/>
        <w:rPr>
          <w:highlight w:val="yellow"/>
        </w:rPr>
      </w:pPr>
      <w:r w:rsidRPr="00787AA9">
        <w:rPr>
          <w:noProof/>
        </w:rPr>
        <w:drawing>
          <wp:inline distT="0" distB="0" distL="0" distR="0">
            <wp:extent cx="5580953" cy="3390476"/>
            <wp:effectExtent l="19050" t="0" r="697" b="0"/>
            <wp:docPr id="7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stretch>
                      <a:fillRect/>
                    </a:stretch>
                  </pic:blipFill>
                  <pic:spPr>
                    <a:xfrm>
                      <a:off x="0" y="0"/>
                      <a:ext cx="5580953" cy="3390476"/>
                    </a:xfrm>
                    <a:prstGeom prst="rect">
                      <a:avLst/>
                    </a:prstGeom>
                  </pic:spPr>
                </pic:pic>
              </a:graphicData>
            </a:graphic>
          </wp:inline>
        </w:drawing>
      </w:r>
    </w:p>
    <w:p w:rsidR="00D1431F" w:rsidRPr="00DC136A" w:rsidRDefault="00D1431F" w:rsidP="00D1431F">
      <w:pPr>
        <w:spacing w:before="240"/>
        <w:jc w:val="both"/>
        <w:rPr>
          <w:b/>
          <w:sz w:val="24"/>
          <w:szCs w:val="24"/>
        </w:rPr>
      </w:pPr>
      <w:r w:rsidRPr="00DC136A">
        <w:rPr>
          <w:b/>
          <w:sz w:val="24"/>
          <w:szCs w:val="24"/>
        </w:rPr>
        <w:lastRenderedPageBreak/>
        <w:t>Trust Action:</w:t>
      </w:r>
    </w:p>
    <w:p w:rsidR="00D1431F" w:rsidRPr="00DC136A" w:rsidRDefault="00D1431F" w:rsidP="00A35D63">
      <w:pPr>
        <w:pStyle w:val="NoSpacing"/>
        <w:jc w:val="both"/>
      </w:pPr>
      <w:r w:rsidRPr="00DC136A">
        <w:t>The Trust will continue to undertake waiting list forward planning meetings where the waiting list for each specialty and the theatre timetable is reviewed on a weekly basis with the Assistant Divisional Manager of Planned Care, Access Manager and Theatre Manager.  This has been strengthened with attendance of the Director of Operations to ensure improvement trajectories are delivered moving forward.</w:t>
      </w:r>
    </w:p>
    <w:p w:rsidR="00D1431F" w:rsidRPr="00DC136A" w:rsidRDefault="00D1431F" w:rsidP="00D1431F">
      <w:pPr>
        <w:pStyle w:val="Heading3"/>
        <w:rPr>
          <w:sz w:val="24"/>
          <w:szCs w:val="24"/>
        </w:rPr>
      </w:pPr>
      <w:bookmarkStart w:id="49" w:name="_Toc381084885"/>
      <w:r w:rsidRPr="00DC136A">
        <w:rPr>
          <w:sz w:val="24"/>
          <w:szCs w:val="24"/>
        </w:rPr>
        <w:t>3.6.4 Referral to Treatment (RTT) Incomplete</w:t>
      </w:r>
      <w:bookmarkEnd w:id="49"/>
    </w:p>
    <w:p w:rsidR="00D1431F" w:rsidRPr="00DC136A" w:rsidRDefault="00D1431F" w:rsidP="00D1431F">
      <w:pPr>
        <w:pStyle w:val="NoSpacing"/>
        <w:jc w:val="both"/>
      </w:pPr>
      <w:r w:rsidRPr="00DC136A">
        <w:t xml:space="preserve">The 92% target </w:t>
      </w:r>
      <w:r w:rsidR="008F56CB" w:rsidRPr="00DC136A">
        <w:t>was</w:t>
      </w:r>
      <w:r w:rsidR="00540D6C">
        <w:t xml:space="preserve"> achieved for June</w:t>
      </w:r>
      <w:r w:rsidR="008F56CB" w:rsidRPr="00DC136A">
        <w:t xml:space="preserve"> 2014 as illustrated in </w:t>
      </w:r>
      <w:r w:rsidR="008F56CB" w:rsidRPr="00DC136A">
        <w:rPr>
          <w:i/>
        </w:rPr>
        <w:t xml:space="preserve">Figure </w:t>
      </w:r>
      <w:r w:rsidR="00C42622" w:rsidRPr="00DC136A">
        <w:rPr>
          <w:i/>
        </w:rPr>
        <w:t>2</w:t>
      </w:r>
      <w:r w:rsidR="00DF3238">
        <w:rPr>
          <w:i/>
        </w:rPr>
        <w:t>7</w:t>
      </w:r>
      <w:r w:rsidR="008F56CB" w:rsidRPr="00DC136A">
        <w:t xml:space="preserve">.    </w:t>
      </w:r>
    </w:p>
    <w:p w:rsidR="00D1431F" w:rsidRPr="00DC136A" w:rsidRDefault="00D1431F" w:rsidP="00D1431F">
      <w:pPr>
        <w:pStyle w:val="NoSpacing"/>
        <w:jc w:val="both"/>
        <w:rPr>
          <w:sz w:val="22"/>
          <w:szCs w:val="22"/>
        </w:rPr>
      </w:pPr>
    </w:p>
    <w:p w:rsidR="00D1431F" w:rsidRPr="00DC136A" w:rsidRDefault="00DF3238" w:rsidP="00D1431F">
      <w:pPr>
        <w:pStyle w:val="NoSpacing"/>
        <w:jc w:val="both"/>
        <w:rPr>
          <w:b/>
          <w:szCs w:val="22"/>
        </w:rPr>
      </w:pPr>
      <w:r>
        <w:rPr>
          <w:b/>
          <w:szCs w:val="22"/>
        </w:rPr>
        <w:t>Figure 27</w:t>
      </w:r>
      <w:r w:rsidR="00D1431F" w:rsidRPr="00DC136A">
        <w:rPr>
          <w:b/>
          <w:szCs w:val="22"/>
        </w:rPr>
        <w:t>:</w:t>
      </w:r>
    </w:p>
    <w:p w:rsidR="00D1431F" w:rsidRPr="00F1145A" w:rsidRDefault="00787AA9" w:rsidP="00D1431F">
      <w:pPr>
        <w:pStyle w:val="NoSpacing"/>
        <w:jc w:val="center"/>
        <w:rPr>
          <w:b/>
          <w:sz w:val="22"/>
          <w:szCs w:val="22"/>
          <w:highlight w:val="yellow"/>
        </w:rPr>
      </w:pPr>
      <w:r w:rsidRPr="00787AA9">
        <w:rPr>
          <w:noProof/>
        </w:rPr>
        <w:drawing>
          <wp:inline distT="0" distB="0" distL="0" distR="0">
            <wp:extent cx="5409524" cy="3523810"/>
            <wp:effectExtent l="19050" t="0" r="676" b="0"/>
            <wp:docPr id="7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cstate="print"/>
                    <a:stretch>
                      <a:fillRect/>
                    </a:stretch>
                  </pic:blipFill>
                  <pic:spPr>
                    <a:xfrm>
                      <a:off x="0" y="0"/>
                      <a:ext cx="5409524" cy="3523810"/>
                    </a:xfrm>
                    <a:prstGeom prst="rect">
                      <a:avLst/>
                    </a:prstGeom>
                  </pic:spPr>
                </pic:pic>
              </a:graphicData>
            </a:graphic>
          </wp:inline>
        </w:drawing>
      </w:r>
    </w:p>
    <w:p w:rsidR="00D1431F" w:rsidRPr="00DC136A" w:rsidRDefault="00D1431F" w:rsidP="00D1431F">
      <w:pPr>
        <w:spacing w:before="240"/>
        <w:jc w:val="both"/>
        <w:rPr>
          <w:b/>
        </w:rPr>
      </w:pPr>
      <w:r w:rsidRPr="00DC136A">
        <w:rPr>
          <w:b/>
        </w:rPr>
        <w:t>Trust Action:</w:t>
      </w:r>
    </w:p>
    <w:p w:rsidR="00787AA9" w:rsidRDefault="00D1431F" w:rsidP="00787AA9">
      <w:pPr>
        <w:pStyle w:val="NoSpacing"/>
        <w:jc w:val="both"/>
      </w:pPr>
      <w:r w:rsidRPr="00DC136A">
        <w:t>The Trust will continue to undertake waiting list forward planning meetings where the waiting list for each specialty and the theatre timetable is reviewed on a weekly basis with the Assistant Divisional Manager of Planned Care, Access Manager and Theatre Manager, attendance has now been strengthened with the Director of Operations in attendance.</w:t>
      </w:r>
      <w:r w:rsidRPr="008F56CB">
        <w:t xml:space="preserve">   </w:t>
      </w:r>
      <w:bookmarkStart w:id="50" w:name="_Toc381084886"/>
    </w:p>
    <w:p w:rsidR="00DC136A" w:rsidRDefault="00DC136A" w:rsidP="00787AA9">
      <w:pPr>
        <w:pStyle w:val="NoSpacing"/>
        <w:jc w:val="both"/>
      </w:pPr>
      <w:r>
        <w:lastRenderedPageBreak/>
        <w:t>Towards the end of June 2014, The Trust received notification that the planned fail of the RTT was extended throughout July and August.  Therefore there will be not be reporting information available for this period.</w:t>
      </w:r>
    </w:p>
    <w:p w:rsidR="00E87913" w:rsidRDefault="00E87913">
      <w:pPr>
        <w:rPr>
          <w:rFonts w:asciiTheme="majorHAnsi" w:eastAsiaTheme="majorEastAsia" w:hAnsiTheme="majorHAnsi" w:cstheme="majorBidi"/>
          <w:b/>
          <w:bCs/>
          <w:color w:val="2DA2BF" w:themeColor="accent1"/>
          <w:sz w:val="24"/>
        </w:rPr>
      </w:pPr>
      <w:r>
        <w:rPr>
          <w:sz w:val="24"/>
        </w:rPr>
        <w:br w:type="page"/>
      </w:r>
    </w:p>
    <w:p w:rsidR="00D1431F" w:rsidRPr="001F4302" w:rsidRDefault="00D1431F" w:rsidP="00D1431F">
      <w:pPr>
        <w:pStyle w:val="Heading3"/>
        <w:rPr>
          <w:sz w:val="24"/>
        </w:rPr>
      </w:pPr>
      <w:r w:rsidRPr="001F4302">
        <w:rPr>
          <w:sz w:val="24"/>
        </w:rPr>
        <w:lastRenderedPageBreak/>
        <w:t>3.6.5 Choose and Book</w:t>
      </w:r>
      <w:bookmarkEnd w:id="50"/>
    </w:p>
    <w:p w:rsidR="00D1431F" w:rsidRDefault="008F56CB" w:rsidP="00A35D63">
      <w:pPr>
        <w:pStyle w:val="NoSpacing"/>
        <w:jc w:val="both"/>
      </w:pPr>
      <w:r w:rsidRPr="00E87913">
        <w:t xml:space="preserve">In </w:t>
      </w:r>
      <w:r w:rsidR="00C02959">
        <w:t>June and July</w:t>
      </w:r>
      <w:r w:rsidRPr="00E87913">
        <w:t xml:space="preserve"> t</w:t>
      </w:r>
      <w:r w:rsidR="00D1431F" w:rsidRPr="00E87913">
        <w:t xml:space="preserve">he Trust did not achieve the 96% National target for Choose and Book slot availability target as depicted in </w:t>
      </w:r>
      <w:r w:rsidR="00D1431F" w:rsidRPr="00E87913">
        <w:rPr>
          <w:i/>
        </w:rPr>
        <w:t>Fi</w:t>
      </w:r>
      <w:r w:rsidR="00DF3238">
        <w:rPr>
          <w:i/>
        </w:rPr>
        <w:t>gure 28</w:t>
      </w:r>
      <w:r w:rsidR="00D1431F" w:rsidRPr="00E87913">
        <w:rPr>
          <w:i/>
        </w:rPr>
        <w:t>.</w:t>
      </w:r>
      <w:r w:rsidR="00D1431F" w:rsidRPr="00E87913">
        <w:t xml:space="preserve">  </w:t>
      </w:r>
      <w:r w:rsidRPr="00E87913">
        <w:t>Current performance is caused by a number of factors:</w:t>
      </w:r>
    </w:p>
    <w:p w:rsidR="002A3C02" w:rsidRPr="009C61CA" w:rsidRDefault="002A3C02" w:rsidP="009C61CA">
      <w:pPr>
        <w:pStyle w:val="NoSpacing"/>
      </w:pPr>
    </w:p>
    <w:p w:rsidR="009A292E" w:rsidRPr="00E87913" w:rsidRDefault="008F56CB" w:rsidP="00CB6E44">
      <w:pPr>
        <w:pStyle w:val="NoSpacing"/>
        <w:numPr>
          <w:ilvl w:val="0"/>
          <w:numId w:val="16"/>
        </w:numPr>
        <w:jc w:val="both"/>
      </w:pPr>
      <w:r w:rsidRPr="00E87913">
        <w:t xml:space="preserve">The </w:t>
      </w:r>
      <w:r w:rsidR="009A292E" w:rsidRPr="00E87913">
        <w:t xml:space="preserve">planned </w:t>
      </w:r>
      <w:r w:rsidRPr="00E87913">
        <w:t>closur</w:t>
      </w:r>
      <w:r w:rsidR="009A292E" w:rsidRPr="00E87913">
        <w:t>e and transfer of two clinical services to specialist providers has impacted on the ability to provide slots ahead of the move.</w:t>
      </w:r>
    </w:p>
    <w:p w:rsidR="008F56CB" w:rsidRPr="00E87913" w:rsidRDefault="009A292E" w:rsidP="00CB6E44">
      <w:pPr>
        <w:pStyle w:val="NoSpacing"/>
        <w:numPr>
          <w:ilvl w:val="0"/>
          <w:numId w:val="16"/>
        </w:numPr>
        <w:jc w:val="both"/>
      </w:pPr>
      <w:r w:rsidRPr="00E87913">
        <w:t>The Trust has experienced a continued increase in two week wait referrals resulting in choose and book slots being used to provide additional urgent appointments</w:t>
      </w:r>
    </w:p>
    <w:p w:rsidR="009A292E" w:rsidRPr="00E87913" w:rsidRDefault="009A292E" w:rsidP="00CB6E44">
      <w:pPr>
        <w:pStyle w:val="NoSpacing"/>
        <w:numPr>
          <w:ilvl w:val="0"/>
          <w:numId w:val="16"/>
        </w:numPr>
        <w:jc w:val="both"/>
      </w:pPr>
      <w:r w:rsidRPr="00E87913">
        <w:t xml:space="preserve">Capacity provided by visiting Trusts has not been enough to match demand leading to no slots being available for patients.  </w:t>
      </w:r>
    </w:p>
    <w:p w:rsidR="00D1431F" w:rsidRPr="008F56CB" w:rsidRDefault="00D1431F" w:rsidP="00D1431F">
      <w:pPr>
        <w:pStyle w:val="NoSpacing"/>
        <w:rPr>
          <w:b/>
          <w:sz w:val="22"/>
          <w:szCs w:val="22"/>
        </w:rPr>
      </w:pPr>
    </w:p>
    <w:p w:rsidR="00D1431F" w:rsidRPr="00E87913" w:rsidRDefault="00DF3238" w:rsidP="00D1431F">
      <w:pPr>
        <w:pStyle w:val="NoSpacing"/>
        <w:rPr>
          <w:b/>
          <w:szCs w:val="22"/>
        </w:rPr>
      </w:pPr>
      <w:r>
        <w:rPr>
          <w:b/>
          <w:szCs w:val="22"/>
        </w:rPr>
        <w:t>Figure 28</w:t>
      </w:r>
      <w:r w:rsidR="00D1431F" w:rsidRPr="00E87913">
        <w:rPr>
          <w:b/>
          <w:szCs w:val="22"/>
        </w:rPr>
        <w:t>:</w:t>
      </w:r>
    </w:p>
    <w:p w:rsidR="00D1431F" w:rsidRPr="008346DA" w:rsidRDefault="002A3C02" w:rsidP="00D1431F">
      <w:pPr>
        <w:jc w:val="center"/>
        <w:rPr>
          <w:highlight w:val="yellow"/>
        </w:rPr>
      </w:pPr>
      <w:r w:rsidRPr="002A3C02">
        <w:rPr>
          <w:noProof/>
        </w:rPr>
        <w:drawing>
          <wp:inline distT="0" distB="0" distL="0" distR="0">
            <wp:extent cx="5762846" cy="3519377"/>
            <wp:effectExtent l="19050" t="0" r="9304"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srcRect/>
                    <a:stretch>
                      <a:fillRect/>
                    </a:stretch>
                  </pic:blipFill>
                  <pic:spPr bwMode="auto">
                    <a:xfrm>
                      <a:off x="0" y="0"/>
                      <a:ext cx="5762507" cy="3519170"/>
                    </a:xfrm>
                    <a:prstGeom prst="rect">
                      <a:avLst/>
                    </a:prstGeom>
                    <a:noFill/>
                    <a:ln w="9525">
                      <a:noFill/>
                      <a:miter lim="800000"/>
                      <a:headEnd/>
                      <a:tailEnd/>
                    </a:ln>
                  </pic:spPr>
                </pic:pic>
              </a:graphicData>
            </a:graphic>
          </wp:inline>
        </w:drawing>
      </w:r>
    </w:p>
    <w:p w:rsidR="00D1431F" w:rsidRPr="00E87913" w:rsidRDefault="00D1431F" w:rsidP="009A292E">
      <w:pPr>
        <w:spacing w:before="240"/>
        <w:jc w:val="both"/>
        <w:rPr>
          <w:b/>
          <w:sz w:val="24"/>
          <w:szCs w:val="24"/>
        </w:rPr>
      </w:pPr>
      <w:r w:rsidRPr="00E87913">
        <w:rPr>
          <w:b/>
          <w:sz w:val="24"/>
          <w:szCs w:val="24"/>
        </w:rPr>
        <w:t>Trust Action:</w:t>
      </w:r>
    </w:p>
    <w:p w:rsidR="009A292E" w:rsidRPr="00E87913" w:rsidRDefault="009A292E" w:rsidP="009A292E">
      <w:pPr>
        <w:pStyle w:val="NoSpacing"/>
        <w:jc w:val="both"/>
      </w:pPr>
      <w:r w:rsidRPr="00E87913">
        <w:t xml:space="preserve">A plan is being developed to redesign the entire Planned Care pathway from referral to treatment as it forms a key part of the Trust's Business Plan.  As </w:t>
      </w:r>
      <w:r w:rsidRPr="00E87913">
        <w:lastRenderedPageBreak/>
        <w:t xml:space="preserve">part of this work demand and capacity and the process of referral is being reviewed which will significantly improve performance against the Choose &amp; Book target in the long-term.  </w:t>
      </w:r>
    </w:p>
    <w:p w:rsidR="00D1431F" w:rsidRPr="00E87913" w:rsidRDefault="009A292E" w:rsidP="00A35D63">
      <w:pPr>
        <w:pStyle w:val="NoSpacing"/>
        <w:jc w:val="both"/>
      </w:pPr>
      <w:r w:rsidRPr="00E87913">
        <w:t xml:space="preserve">In the short-term the </w:t>
      </w:r>
      <w:r w:rsidR="00D1431F" w:rsidRPr="00E87913">
        <w:t xml:space="preserve">Trust is working closely with the provider Trusts of the visiting services of ENT and </w:t>
      </w:r>
      <w:r w:rsidR="00F1145A" w:rsidRPr="00E87913">
        <w:t>Ophthalmology</w:t>
      </w:r>
      <w:r w:rsidR="00D1431F" w:rsidRPr="00E87913">
        <w:t xml:space="preserve"> to ensure that the Trust receives the capacity required.</w:t>
      </w:r>
      <w:r w:rsidRPr="00E87913">
        <w:t xml:space="preserve">  Also, work is ongoing to increase internal capacity trough additional waiting list initiatives and changes to job plans to facilitate increased capacity.  </w:t>
      </w:r>
    </w:p>
    <w:p w:rsidR="00D1431F" w:rsidRPr="00E87913" w:rsidRDefault="00D1431F" w:rsidP="00D1431F">
      <w:pPr>
        <w:pStyle w:val="Heading3"/>
        <w:rPr>
          <w:sz w:val="24"/>
          <w:szCs w:val="24"/>
        </w:rPr>
      </w:pPr>
      <w:bookmarkStart w:id="51" w:name="_Toc381084887"/>
      <w:r w:rsidRPr="00E87913">
        <w:rPr>
          <w:sz w:val="24"/>
          <w:szCs w:val="24"/>
        </w:rPr>
        <w:t>3.6.6 Cancelled Operations</w:t>
      </w:r>
      <w:bookmarkEnd w:id="51"/>
    </w:p>
    <w:p w:rsidR="00D1431F" w:rsidRPr="00E87913" w:rsidRDefault="00D1431F" w:rsidP="00D1431F">
      <w:pPr>
        <w:spacing w:before="240" w:after="0"/>
        <w:jc w:val="both"/>
        <w:rPr>
          <w:rFonts w:cs="Arial"/>
          <w:sz w:val="24"/>
          <w:szCs w:val="24"/>
        </w:rPr>
      </w:pPr>
      <w:r w:rsidRPr="00E87913">
        <w:rPr>
          <w:rFonts w:cs="Arial"/>
          <w:sz w:val="24"/>
          <w:szCs w:val="24"/>
        </w:rPr>
        <w:t>Minimising the number of last minute cancelled operations for non clinical reasons is a key target for the Trust.  Elective surgery can be cancelled for a number of reasons including:</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Hospital Beds unavailable</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Surgeon or Anaesthetist unavailable</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Emergency case needing theatre</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Theatre list over-ran</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Equipment failure</w:t>
      </w:r>
    </w:p>
    <w:p w:rsidR="00D1431F" w:rsidRPr="00E87913" w:rsidRDefault="00D1431F" w:rsidP="00CB6E44">
      <w:pPr>
        <w:pStyle w:val="ListParagraph"/>
        <w:numPr>
          <w:ilvl w:val="0"/>
          <w:numId w:val="10"/>
        </w:numPr>
        <w:spacing w:before="240" w:after="0"/>
        <w:jc w:val="both"/>
        <w:rPr>
          <w:rFonts w:cs="Arial"/>
          <w:sz w:val="24"/>
          <w:szCs w:val="24"/>
        </w:rPr>
      </w:pPr>
      <w:r w:rsidRPr="00E87913">
        <w:rPr>
          <w:rFonts w:cs="Arial"/>
          <w:sz w:val="24"/>
          <w:szCs w:val="24"/>
        </w:rPr>
        <w:t>Administrative error</w:t>
      </w:r>
    </w:p>
    <w:p w:rsidR="00D1431F" w:rsidRPr="00E87913" w:rsidRDefault="00D1431F" w:rsidP="00D1431F">
      <w:pPr>
        <w:pStyle w:val="NoSpacing"/>
        <w:rPr>
          <w:highlight w:val="yellow"/>
        </w:rPr>
      </w:pPr>
    </w:p>
    <w:p w:rsidR="00D1431F" w:rsidRPr="00E87913" w:rsidRDefault="00D1431F" w:rsidP="00A35D63">
      <w:pPr>
        <w:jc w:val="both"/>
        <w:rPr>
          <w:sz w:val="24"/>
          <w:szCs w:val="24"/>
        </w:rPr>
      </w:pPr>
      <w:r w:rsidRPr="00E87913">
        <w:rPr>
          <w:sz w:val="24"/>
          <w:szCs w:val="24"/>
        </w:rPr>
        <w:t xml:space="preserve">In </w:t>
      </w:r>
      <w:r w:rsidR="00FA64D6" w:rsidRPr="00E87913">
        <w:rPr>
          <w:sz w:val="24"/>
          <w:szCs w:val="24"/>
        </w:rPr>
        <w:t xml:space="preserve">April and May </w:t>
      </w:r>
      <w:r w:rsidRPr="00E87913">
        <w:rPr>
          <w:sz w:val="24"/>
          <w:szCs w:val="24"/>
        </w:rPr>
        <w:t>the Trust did not achieve the internal Trust target for the cancellation of elective care operations for non-clinical reasons</w:t>
      </w:r>
      <w:r w:rsidR="00FA64D6" w:rsidRPr="00E87913">
        <w:rPr>
          <w:sz w:val="24"/>
          <w:szCs w:val="24"/>
        </w:rPr>
        <w:t xml:space="preserve">.  </w:t>
      </w:r>
      <w:r w:rsidRPr="00E87913">
        <w:rPr>
          <w:sz w:val="24"/>
          <w:szCs w:val="24"/>
        </w:rPr>
        <w:t xml:space="preserve"> </w:t>
      </w:r>
    </w:p>
    <w:p w:rsidR="00D1431F" w:rsidRPr="00E87913" w:rsidRDefault="00D1431F" w:rsidP="00D1431F">
      <w:pPr>
        <w:spacing w:before="240"/>
        <w:jc w:val="both"/>
        <w:rPr>
          <w:b/>
          <w:sz w:val="24"/>
          <w:szCs w:val="24"/>
        </w:rPr>
      </w:pPr>
      <w:r w:rsidRPr="00E87913">
        <w:rPr>
          <w:b/>
          <w:sz w:val="24"/>
          <w:szCs w:val="24"/>
        </w:rPr>
        <w:t>Trust Action:</w:t>
      </w:r>
    </w:p>
    <w:p w:rsidR="00FA64D6" w:rsidRPr="00E87913" w:rsidRDefault="00FA64D6" w:rsidP="00FA64D6">
      <w:pPr>
        <w:jc w:val="both"/>
        <w:rPr>
          <w:sz w:val="24"/>
          <w:szCs w:val="24"/>
        </w:rPr>
      </w:pPr>
      <w:bookmarkStart w:id="52" w:name="_Toc381084889"/>
      <w:r w:rsidRPr="00E87913">
        <w:rPr>
          <w:sz w:val="24"/>
          <w:szCs w:val="24"/>
        </w:rPr>
        <w:t>To reduce the level of non-clinical cancellations a Theatre Scheduling meeting has been introduced where the theatre team, access team and operational managers will meet to review all theatre lists to ensure that all the theatre kit is ordered, the patient mix and order is optimised and to provide an opportunity to learn from past mistakes through reviewing cancellations a</w:t>
      </w:r>
      <w:r w:rsidR="0066113E">
        <w:rPr>
          <w:sz w:val="24"/>
          <w:szCs w:val="24"/>
        </w:rPr>
        <w:t>nd putting in place actions to s</w:t>
      </w:r>
      <w:r w:rsidRPr="00E87913">
        <w:rPr>
          <w:sz w:val="24"/>
          <w:szCs w:val="24"/>
        </w:rPr>
        <w:t xml:space="preserve">top reoccurrence.  </w:t>
      </w:r>
    </w:p>
    <w:p w:rsidR="00FD13A8" w:rsidRPr="00E87913" w:rsidRDefault="00FD13A8">
      <w:pPr>
        <w:rPr>
          <w:rFonts w:asciiTheme="majorHAnsi" w:eastAsiaTheme="majorEastAsia" w:hAnsiTheme="majorHAnsi" w:cstheme="majorBidi"/>
          <w:b/>
          <w:bCs/>
          <w:color w:val="2DA2BF" w:themeColor="accent1"/>
          <w:sz w:val="24"/>
          <w:szCs w:val="24"/>
        </w:rPr>
      </w:pPr>
      <w:r w:rsidRPr="00E87913">
        <w:rPr>
          <w:sz w:val="24"/>
          <w:szCs w:val="24"/>
        </w:rPr>
        <w:br w:type="page"/>
      </w:r>
    </w:p>
    <w:p w:rsidR="00D1431F" w:rsidRPr="007D3BC9" w:rsidRDefault="00D1431F" w:rsidP="00D1431F">
      <w:pPr>
        <w:pStyle w:val="Heading2"/>
        <w:rPr>
          <w:sz w:val="28"/>
        </w:rPr>
      </w:pPr>
      <w:r w:rsidRPr="007D3BC9">
        <w:rPr>
          <w:sz w:val="28"/>
        </w:rPr>
        <w:lastRenderedPageBreak/>
        <w:t>3.7 Patient Flow</w:t>
      </w:r>
      <w:bookmarkEnd w:id="52"/>
    </w:p>
    <w:p w:rsidR="00D1431F" w:rsidRPr="0066113E" w:rsidRDefault="00D1431F" w:rsidP="00D1431F">
      <w:pPr>
        <w:pStyle w:val="Default"/>
        <w:spacing w:line="276" w:lineRule="auto"/>
        <w:jc w:val="both"/>
        <w:rPr>
          <w:rFonts w:asciiTheme="minorHAnsi" w:hAnsiTheme="minorHAnsi" w:cs="Arial"/>
          <w:i/>
          <w:color w:val="auto"/>
        </w:rPr>
      </w:pPr>
      <w:r w:rsidRPr="0066113E">
        <w:rPr>
          <w:rFonts w:asciiTheme="minorHAnsi" w:hAnsiTheme="minorHAnsi" w:cs="Arial"/>
          <w:i/>
          <w:color w:val="auto"/>
        </w:rPr>
        <w:t xml:space="preserve">To support the delivery of key operational targets, it is vital that the Trust has good patient flow.  An important aspect of ensuring good patient flow is the level of discharges throughout the day and at the weekend.   </w:t>
      </w:r>
    </w:p>
    <w:p w:rsidR="00D1431F" w:rsidRPr="00D0237E" w:rsidRDefault="00D1431F" w:rsidP="00D0237E">
      <w:pPr>
        <w:pStyle w:val="Heading3"/>
      </w:pPr>
      <w:bookmarkStart w:id="53" w:name="_Toc381084890"/>
      <w:r w:rsidRPr="007D3BC9">
        <w:t>3.7.1 Delayed Transfer of Care</w:t>
      </w:r>
      <w:bookmarkEnd w:id="53"/>
    </w:p>
    <w:p w:rsidR="00D1431F" w:rsidRPr="0066113E" w:rsidRDefault="00D1431F" w:rsidP="00A35D63">
      <w:pPr>
        <w:autoSpaceDE w:val="0"/>
        <w:autoSpaceDN w:val="0"/>
        <w:adjustRightInd w:val="0"/>
        <w:spacing w:after="0" w:line="240" w:lineRule="auto"/>
        <w:jc w:val="both"/>
        <w:rPr>
          <w:sz w:val="24"/>
        </w:rPr>
      </w:pPr>
      <w:r w:rsidRPr="0066113E">
        <w:rPr>
          <w:sz w:val="24"/>
        </w:rPr>
        <w:t>A delayed transfer of care is defined as when a patient is ready for transfer from acute care, but is still occupying an acute bed.  Patients can be delayed for the following reasons:</w:t>
      </w:r>
    </w:p>
    <w:p w:rsidR="00A35D63" w:rsidRPr="00787AA9" w:rsidRDefault="00A35D63" w:rsidP="00A35D63">
      <w:pPr>
        <w:autoSpaceDE w:val="0"/>
        <w:autoSpaceDN w:val="0"/>
        <w:adjustRightInd w:val="0"/>
        <w:spacing w:after="0" w:line="240" w:lineRule="auto"/>
        <w:jc w:val="both"/>
        <w:rPr>
          <w:sz w:val="8"/>
        </w:rPr>
      </w:pPr>
    </w:p>
    <w:p w:rsidR="00D1431F" w:rsidRPr="0066113E" w:rsidRDefault="00D1431F" w:rsidP="00CB6E44">
      <w:pPr>
        <w:pStyle w:val="ListParagraph"/>
        <w:numPr>
          <w:ilvl w:val="0"/>
          <w:numId w:val="9"/>
        </w:numPr>
        <w:autoSpaceDE w:val="0"/>
        <w:autoSpaceDN w:val="0"/>
        <w:adjustRightInd w:val="0"/>
        <w:spacing w:after="0" w:line="240" w:lineRule="auto"/>
        <w:jc w:val="both"/>
        <w:rPr>
          <w:sz w:val="24"/>
        </w:rPr>
      </w:pPr>
      <w:r w:rsidRPr="0066113E">
        <w:rPr>
          <w:sz w:val="24"/>
        </w:rPr>
        <w:t>Further assessment required before their discharge destination can be decided</w:t>
      </w:r>
    </w:p>
    <w:p w:rsidR="00D1431F" w:rsidRPr="0066113E" w:rsidRDefault="00D1431F" w:rsidP="00CB6E44">
      <w:pPr>
        <w:pStyle w:val="ListParagraph"/>
        <w:numPr>
          <w:ilvl w:val="0"/>
          <w:numId w:val="9"/>
        </w:numPr>
        <w:autoSpaceDE w:val="0"/>
        <w:autoSpaceDN w:val="0"/>
        <w:adjustRightInd w:val="0"/>
        <w:spacing w:after="0" w:line="240" w:lineRule="auto"/>
        <w:rPr>
          <w:sz w:val="24"/>
        </w:rPr>
      </w:pPr>
      <w:r w:rsidRPr="0066113E">
        <w:rPr>
          <w:sz w:val="24"/>
        </w:rPr>
        <w:t>Lack of capacity in local nursing/residential homes</w:t>
      </w:r>
    </w:p>
    <w:p w:rsidR="00D1431F" w:rsidRPr="0066113E" w:rsidRDefault="00D1431F" w:rsidP="00CB6E44">
      <w:pPr>
        <w:pStyle w:val="ListParagraph"/>
        <w:numPr>
          <w:ilvl w:val="0"/>
          <w:numId w:val="9"/>
        </w:numPr>
        <w:autoSpaceDE w:val="0"/>
        <w:autoSpaceDN w:val="0"/>
        <w:adjustRightInd w:val="0"/>
        <w:spacing w:after="0" w:line="240" w:lineRule="auto"/>
        <w:rPr>
          <w:sz w:val="24"/>
        </w:rPr>
      </w:pPr>
      <w:r w:rsidRPr="0066113E">
        <w:rPr>
          <w:sz w:val="24"/>
        </w:rPr>
        <w:t>They may require a specialist placement</w:t>
      </w:r>
    </w:p>
    <w:p w:rsidR="00D1431F" w:rsidRPr="0066113E" w:rsidRDefault="00D1431F" w:rsidP="00CB6E44">
      <w:pPr>
        <w:pStyle w:val="ListParagraph"/>
        <w:numPr>
          <w:ilvl w:val="0"/>
          <w:numId w:val="9"/>
        </w:numPr>
        <w:autoSpaceDE w:val="0"/>
        <w:autoSpaceDN w:val="0"/>
        <w:adjustRightInd w:val="0"/>
        <w:spacing w:after="0" w:line="240" w:lineRule="auto"/>
        <w:rPr>
          <w:sz w:val="24"/>
        </w:rPr>
      </w:pPr>
      <w:r w:rsidRPr="0066113E">
        <w:rPr>
          <w:sz w:val="24"/>
        </w:rPr>
        <w:t>Patient or their family/carer needs more time to make a decision about a long-term placement</w:t>
      </w:r>
    </w:p>
    <w:p w:rsidR="00D1431F" w:rsidRPr="00787AA9" w:rsidRDefault="00D1431F" w:rsidP="00D1431F">
      <w:pPr>
        <w:autoSpaceDE w:val="0"/>
        <w:autoSpaceDN w:val="0"/>
        <w:adjustRightInd w:val="0"/>
        <w:spacing w:after="0" w:line="240" w:lineRule="auto"/>
        <w:rPr>
          <w:sz w:val="8"/>
          <w:highlight w:val="yellow"/>
        </w:rPr>
      </w:pPr>
    </w:p>
    <w:p w:rsidR="00D1431F" w:rsidRPr="0066113E" w:rsidRDefault="00D1431F" w:rsidP="00A35D63">
      <w:pPr>
        <w:autoSpaceDE w:val="0"/>
        <w:autoSpaceDN w:val="0"/>
        <w:adjustRightInd w:val="0"/>
        <w:spacing w:after="0" w:line="240" w:lineRule="auto"/>
        <w:jc w:val="both"/>
        <w:rPr>
          <w:sz w:val="24"/>
        </w:rPr>
      </w:pPr>
      <w:r w:rsidRPr="0066113E">
        <w:rPr>
          <w:sz w:val="24"/>
        </w:rPr>
        <w:t xml:space="preserve">The Trust monitors performance daily against delayed transfers of care as high levels can have a big impact on the daily numbers of discharges, causing delays in allocating beds for emergency admissions or planned operations.  Performance in </w:t>
      </w:r>
      <w:r w:rsidR="0066113E">
        <w:rPr>
          <w:sz w:val="24"/>
        </w:rPr>
        <w:t>April fel</w:t>
      </w:r>
      <w:r w:rsidR="00FD13A8" w:rsidRPr="0066113E">
        <w:rPr>
          <w:sz w:val="24"/>
        </w:rPr>
        <w:t xml:space="preserve">l slightly </w:t>
      </w:r>
      <w:r w:rsidR="0066113E">
        <w:rPr>
          <w:sz w:val="24"/>
        </w:rPr>
        <w:t xml:space="preserve">compared to the previous month, </w:t>
      </w:r>
      <w:r w:rsidR="00FD13A8" w:rsidRPr="0066113E">
        <w:rPr>
          <w:sz w:val="24"/>
        </w:rPr>
        <w:t xml:space="preserve">but significant reduced in May to 1.96% </w:t>
      </w:r>
      <w:r w:rsidRPr="0066113E">
        <w:rPr>
          <w:sz w:val="24"/>
        </w:rPr>
        <w:t>(</w:t>
      </w:r>
      <w:r w:rsidRPr="0066113E">
        <w:rPr>
          <w:i/>
          <w:sz w:val="24"/>
        </w:rPr>
        <w:t xml:space="preserve">Figure </w:t>
      </w:r>
      <w:r w:rsidR="00DF3238">
        <w:rPr>
          <w:i/>
          <w:sz w:val="24"/>
        </w:rPr>
        <w:t>29</w:t>
      </w:r>
      <w:r w:rsidRPr="0066113E">
        <w:rPr>
          <w:sz w:val="24"/>
        </w:rPr>
        <w:t>).</w:t>
      </w:r>
      <w:r w:rsidR="00FD13A8" w:rsidRPr="0066113E">
        <w:rPr>
          <w:sz w:val="24"/>
        </w:rPr>
        <w:t xml:space="preserve">  This demonstrates that the introduction of the new case manager</w:t>
      </w:r>
      <w:r w:rsidR="0066113E">
        <w:rPr>
          <w:sz w:val="24"/>
        </w:rPr>
        <w:t xml:space="preserve"> team and the use of the </w:t>
      </w:r>
      <w:r w:rsidR="0066113E" w:rsidRPr="0066113E">
        <w:rPr>
          <w:b/>
          <w:color w:val="00B050"/>
          <w:sz w:val="24"/>
        </w:rPr>
        <w:t>‘Green to Go’</w:t>
      </w:r>
      <w:r w:rsidR="00FD13A8" w:rsidRPr="0066113E">
        <w:rPr>
          <w:sz w:val="24"/>
        </w:rPr>
        <w:t xml:space="preserve"> list is having the desired impact.    </w:t>
      </w:r>
    </w:p>
    <w:p w:rsidR="00A35D63" w:rsidRPr="00787AA9" w:rsidRDefault="00A35D63" w:rsidP="00D1431F">
      <w:pPr>
        <w:autoSpaceDE w:val="0"/>
        <w:autoSpaceDN w:val="0"/>
        <w:adjustRightInd w:val="0"/>
        <w:spacing w:after="0" w:line="240" w:lineRule="auto"/>
        <w:rPr>
          <w:sz w:val="6"/>
        </w:rPr>
      </w:pPr>
    </w:p>
    <w:p w:rsidR="00D1431F" w:rsidRDefault="00DF3238" w:rsidP="00D1431F">
      <w:pPr>
        <w:autoSpaceDE w:val="0"/>
        <w:autoSpaceDN w:val="0"/>
        <w:adjustRightInd w:val="0"/>
        <w:spacing w:after="0" w:line="240" w:lineRule="auto"/>
        <w:rPr>
          <w:b/>
          <w:sz w:val="24"/>
        </w:rPr>
      </w:pPr>
      <w:r>
        <w:rPr>
          <w:b/>
          <w:sz w:val="24"/>
        </w:rPr>
        <w:t>Figure 29</w:t>
      </w:r>
      <w:r w:rsidR="00D1431F" w:rsidRPr="0066113E">
        <w:rPr>
          <w:b/>
          <w:sz w:val="24"/>
        </w:rPr>
        <w:t>:</w:t>
      </w:r>
    </w:p>
    <w:p w:rsidR="00787AA9" w:rsidRPr="0066113E" w:rsidRDefault="00787AA9" w:rsidP="00D1431F">
      <w:pPr>
        <w:autoSpaceDE w:val="0"/>
        <w:autoSpaceDN w:val="0"/>
        <w:adjustRightInd w:val="0"/>
        <w:spacing w:after="0" w:line="240" w:lineRule="auto"/>
        <w:rPr>
          <w:b/>
          <w:sz w:val="24"/>
        </w:rPr>
      </w:pPr>
    </w:p>
    <w:p w:rsidR="00D1431F" w:rsidRPr="008346DA" w:rsidRDefault="00F377DC" w:rsidP="00D1431F">
      <w:pPr>
        <w:autoSpaceDE w:val="0"/>
        <w:autoSpaceDN w:val="0"/>
        <w:adjustRightInd w:val="0"/>
        <w:spacing w:after="0" w:line="240" w:lineRule="auto"/>
        <w:jc w:val="center"/>
        <w:rPr>
          <w:highlight w:val="yellow"/>
        </w:rPr>
      </w:pPr>
      <w:r w:rsidRPr="00F377DC">
        <w:rPr>
          <w:noProof/>
        </w:rPr>
        <w:drawing>
          <wp:inline distT="0" distB="0" distL="0" distR="0">
            <wp:extent cx="4623302" cy="2571750"/>
            <wp:effectExtent l="19050" t="0" r="5848" b="0"/>
            <wp:docPr id="4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5" cstate="print"/>
                    <a:srcRect/>
                    <a:stretch>
                      <a:fillRect/>
                    </a:stretch>
                  </pic:blipFill>
                  <pic:spPr bwMode="auto">
                    <a:xfrm>
                      <a:off x="0" y="0"/>
                      <a:ext cx="4632182" cy="2576690"/>
                    </a:xfrm>
                    <a:prstGeom prst="rect">
                      <a:avLst/>
                    </a:prstGeom>
                    <a:noFill/>
                    <a:ln w="9525">
                      <a:noFill/>
                      <a:miter lim="800000"/>
                      <a:headEnd/>
                      <a:tailEnd/>
                    </a:ln>
                  </pic:spPr>
                </pic:pic>
              </a:graphicData>
            </a:graphic>
          </wp:inline>
        </w:drawing>
      </w:r>
    </w:p>
    <w:p w:rsidR="00D1431F" w:rsidRPr="0066113E" w:rsidRDefault="00D1431F" w:rsidP="00A35D63">
      <w:pPr>
        <w:spacing w:before="240"/>
        <w:jc w:val="both"/>
        <w:rPr>
          <w:b/>
          <w:sz w:val="24"/>
        </w:rPr>
      </w:pPr>
      <w:r w:rsidRPr="0066113E">
        <w:rPr>
          <w:b/>
          <w:sz w:val="24"/>
        </w:rPr>
        <w:lastRenderedPageBreak/>
        <w:t>Trust Action:</w:t>
      </w:r>
    </w:p>
    <w:p w:rsidR="00FD13A8" w:rsidRPr="0066113E" w:rsidRDefault="00FD13A8" w:rsidP="00A35D63">
      <w:pPr>
        <w:jc w:val="both"/>
        <w:rPr>
          <w:sz w:val="24"/>
        </w:rPr>
      </w:pPr>
      <w:r w:rsidRPr="0066113E">
        <w:rPr>
          <w:sz w:val="24"/>
        </w:rPr>
        <w:t xml:space="preserve">The site manager and senior case manager are visiting both Clevedon community hospital and Burnham community hospital to further strengthen relationships and facilitate a streamlined process for the referral and acceptance of patients.  </w:t>
      </w:r>
    </w:p>
    <w:p w:rsidR="005A0BFB" w:rsidRPr="0066113E" w:rsidRDefault="00D1431F" w:rsidP="00A35D63">
      <w:pPr>
        <w:jc w:val="both"/>
        <w:rPr>
          <w:sz w:val="24"/>
        </w:rPr>
      </w:pPr>
      <w:r w:rsidRPr="0066113E">
        <w:rPr>
          <w:sz w:val="24"/>
        </w:rPr>
        <w:t xml:space="preserve">The Trust continues to work with health and social care partners in North Somerset to manage the </w:t>
      </w:r>
      <w:r w:rsidRPr="0066113E">
        <w:rPr>
          <w:b/>
          <w:color w:val="00B050"/>
          <w:sz w:val="24"/>
        </w:rPr>
        <w:t xml:space="preserve">‘Green to Go’ </w:t>
      </w:r>
      <w:r w:rsidRPr="0066113E">
        <w:rPr>
          <w:sz w:val="24"/>
        </w:rPr>
        <w:t>list, and where gaps in services are discovered, work with the Clinical Commissioning Group to identify how future commissioning can be organised to close these gaps, providing higher quality joined up care between all partners.   The numbers on the list are monitored daily on the system operational calls which include all partner organisations.</w:t>
      </w:r>
      <w:bookmarkStart w:id="54" w:name="_Toc381084891"/>
    </w:p>
    <w:bookmarkEnd w:id="54"/>
    <w:p w:rsidR="00D1431F" w:rsidRPr="00BD0AEF" w:rsidRDefault="00D1431F" w:rsidP="00D1431F">
      <w:pPr>
        <w:pStyle w:val="Heading3"/>
        <w:rPr>
          <w:sz w:val="8"/>
        </w:rPr>
      </w:pPr>
    </w:p>
    <w:p w:rsidR="00D1431F" w:rsidRDefault="00D1431F" w:rsidP="00D1431F"/>
    <w:p w:rsidR="00D1431F" w:rsidRDefault="00D1431F" w:rsidP="00D1431F"/>
    <w:p w:rsidR="00D1431F" w:rsidRDefault="00D1431F" w:rsidP="00D1431F"/>
    <w:p w:rsidR="00D1431F" w:rsidRDefault="00D1431F" w:rsidP="00D1431F">
      <w:pPr>
        <w:rPr>
          <w:sz w:val="56"/>
        </w:rPr>
      </w:pPr>
      <w:r>
        <w:rPr>
          <w:sz w:val="56"/>
        </w:rPr>
        <w:br w:type="page"/>
      </w:r>
    </w:p>
    <w:p w:rsidR="00FD13A8" w:rsidRDefault="005866E8" w:rsidP="00FD13A8">
      <w:pPr>
        <w:pStyle w:val="Heading1"/>
      </w:pPr>
      <w:bookmarkStart w:id="55" w:name="_Toc328574063"/>
      <w:bookmarkStart w:id="56" w:name="_Toc339280278"/>
      <w:r>
        <w:rPr>
          <w:noProof/>
        </w:rPr>
        <w:lastRenderedPageBreak/>
        <w:pict>
          <v:roundrect id="AutoShape 33" o:spid="_x0000_s1042" style="position:absolute;margin-left:-19.5pt;margin-top:45.15pt;width:498pt;height:205.2pt;z-index:-25159884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" fillcolor="white [3201]" strokecolor="#79cbdf [1940]" strokeweight="1pt">
            <v:fill color2="#a6dcea [1300]" focus="100%" type="gradient"/>
            <v:shadow on="t" color="#16505e [1604]" opacity=".5" offset="1pt"/>
          </v:roundrect>
        </w:pict>
      </w:r>
      <w:r w:rsidR="00FD13A8" w:rsidRPr="00EC07FC">
        <w:rPr>
          <w:sz w:val="56"/>
        </w:rPr>
        <w:t xml:space="preserve">Section </w:t>
      </w:r>
      <w:r w:rsidR="009B6D65">
        <w:rPr>
          <w:sz w:val="56"/>
        </w:rPr>
        <w:t>4</w:t>
      </w:r>
      <w:r w:rsidR="00FD13A8" w:rsidRPr="00EC07FC">
        <w:rPr>
          <w:sz w:val="56"/>
        </w:rPr>
        <w:t xml:space="preserve"> </w:t>
      </w:r>
      <w:r w:rsidR="00FD13A8">
        <w:rPr>
          <w:sz w:val="56"/>
        </w:rPr>
        <w:t>W</w:t>
      </w:r>
      <w:r w:rsidR="003E4C07">
        <w:rPr>
          <w:sz w:val="56"/>
        </w:rPr>
        <w:t>orkforce</w:t>
      </w:r>
    </w:p>
    <w:p w:rsidR="00857860" w:rsidRPr="00B944EC" w:rsidRDefault="00857860" w:rsidP="00857860">
      <w:pPr>
        <w:pStyle w:val="Heading2"/>
        <w:spacing w:after="100" w:afterAutospacing="1"/>
      </w:pPr>
      <w:bookmarkStart w:id="57" w:name="_Toc328574064"/>
      <w:bookmarkStart w:id="58" w:name="_Toc339280279"/>
      <w:r>
        <w:rPr>
          <w:rFonts w:cs="Arial"/>
          <w:sz w:val="22"/>
          <w:szCs w:val="22"/>
        </w:rPr>
        <w:t>4</w:t>
      </w:r>
      <w:r w:rsidRPr="00B944EC">
        <w:rPr>
          <w:rFonts w:cs="Arial"/>
          <w:sz w:val="22"/>
          <w:szCs w:val="22"/>
        </w:rPr>
        <w:t xml:space="preserve">.1 </w:t>
      </w:r>
      <w:bookmarkStart w:id="59" w:name="_Toc321407879"/>
      <w:r>
        <w:rPr>
          <w:rFonts w:cs="Arial"/>
          <w:sz w:val="22"/>
          <w:szCs w:val="22"/>
        </w:rPr>
        <w:tab/>
      </w:r>
      <w:r w:rsidRPr="00B944EC">
        <w:t>Executive Summary Headlines</w:t>
      </w:r>
      <w:bookmarkEnd w:id="57"/>
      <w:bookmarkEnd w:id="58"/>
      <w:r w:rsidRPr="00B944EC">
        <w:t xml:space="preserve"> </w:t>
      </w:r>
    </w:p>
    <w:p w:rsidR="008F22EE" w:rsidRPr="004A6B55" w:rsidRDefault="008F22EE" w:rsidP="004A6B55">
      <w:pPr>
        <w:pStyle w:val="BodyTextIndent"/>
        <w:widowControl/>
        <w:numPr>
          <w:ilvl w:val="0"/>
          <w:numId w:val="32"/>
        </w:numPr>
        <w:autoSpaceDE/>
        <w:autoSpaceDN/>
        <w:adjustRightInd/>
        <w:spacing w:after="240"/>
        <w:ind w:hanging="578"/>
        <w:jc w:val="both"/>
        <w:rPr>
          <w:rFonts w:asciiTheme="minorHAnsi" w:hAnsiTheme="minorHAnsi" w:cs="Arial"/>
        </w:rPr>
      </w:pPr>
      <w:bookmarkStart w:id="60" w:name="_Toc326332013"/>
      <w:bookmarkStart w:id="61" w:name="_Toc339280260"/>
      <w:bookmarkEnd w:id="59"/>
      <w:bookmarkEnd w:id="55"/>
      <w:bookmarkEnd w:id="56"/>
      <w:r w:rsidRPr="004A6B55">
        <w:rPr>
          <w:rFonts w:asciiTheme="minorHAnsi" w:hAnsiTheme="minorHAnsi" w:cs="Arial"/>
        </w:rPr>
        <w:t>The temporary staffing cost in June was 8.1% of the total pay bill compared to 9.9% in July.</w:t>
      </w:r>
    </w:p>
    <w:p w:rsidR="008F22EE" w:rsidRPr="004A6B55" w:rsidRDefault="008F22EE" w:rsidP="004A6B55">
      <w:pPr>
        <w:pStyle w:val="BodyTextIndent"/>
        <w:widowControl/>
        <w:numPr>
          <w:ilvl w:val="0"/>
          <w:numId w:val="32"/>
        </w:numPr>
        <w:autoSpaceDE/>
        <w:autoSpaceDN/>
        <w:adjustRightInd/>
        <w:spacing w:after="240"/>
        <w:ind w:hanging="578"/>
        <w:jc w:val="both"/>
        <w:rPr>
          <w:rFonts w:asciiTheme="minorHAnsi" w:hAnsiTheme="minorHAnsi" w:cs="Arial"/>
        </w:rPr>
      </w:pPr>
      <w:r w:rsidRPr="004A6B55">
        <w:rPr>
          <w:rFonts w:asciiTheme="minorHAnsi" w:hAnsiTheme="minorHAnsi" w:cs="Arial"/>
        </w:rPr>
        <w:t>Sickness rates were 3.88% in June and 4.53% in July.</w:t>
      </w:r>
    </w:p>
    <w:p w:rsidR="008F22EE" w:rsidRPr="004A6B55" w:rsidRDefault="008F22EE" w:rsidP="004A6B55">
      <w:pPr>
        <w:pStyle w:val="BodyTextIndent"/>
        <w:widowControl/>
        <w:numPr>
          <w:ilvl w:val="0"/>
          <w:numId w:val="32"/>
        </w:numPr>
        <w:autoSpaceDE/>
        <w:autoSpaceDN/>
        <w:adjustRightInd/>
        <w:spacing w:after="240"/>
        <w:ind w:hanging="578"/>
        <w:jc w:val="both"/>
        <w:rPr>
          <w:rFonts w:asciiTheme="minorHAnsi" w:hAnsiTheme="minorHAnsi" w:cs="Arial"/>
        </w:rPr>
      </w:pPr>
      <w:r w:rsidRPr="004A6B55">
        <w:rPr>
          <w:rFonts w:asciiTheme="minorHAnsi" w:hAnsiTheme="minorHAnsi" w:cs="Arial"/>
        </w:rPr>
        <w:t xml:space="preserve">The appraisal rate was 84.22% in June and 85.54% in July. </w:t>
      </w:r>
    </w:p>
    <w:p w:rsidR="008F22EE" w:rsidRPr="004A6B55" w:rsidRDefault="008F22EE" w:rsidP="004A6B55">
      <w:pPr>
        <w:pStyle w:val="BodyTextIndent"/>
        <w:widowControl/>
        <w:numPr>
          <w:ilvl w:val="0"/>
          <w:numId w:val="32"/>
        </w:numPr>
        <w:autoSpaceDE/>
        <w:autoSpaceDN/>
        <w:adjustRightInd/>
        <w:spacing w:after="240"/>
        <w:ind w:hanging="578"/>
        <w:jc w:val="both"/>
        <w:rPr>
          <w:rFonts w:asciiTheme="minorHAnsi" w:hAnsiTheme="minorHAnsi" w:cs="Arial"/>
        </w:rPr>
      </w:pPr>
      <w:r w:rsidRPr="004A6B55">
        <w:rPr>
          <w:rFonts w:asciiTheme="minorHAnsi" w:hAnsiTheme="minorHAnsi" w:cs="Arial"/>
        </w:rPr>
        <w:t>The training compliance rate was 82.74% in June and decreased to 81.61% in July</w:t>
      </w:r>
    </w:p>
    <w:p w:rsidR="008F22EE" w:rsidRPr="00787AA9" w:rsidRDefault="008F22EE" w:rsidP="008F22EE">
      <w:pPr>
        <w:pStyle w:val="Heading2"/>
        <w:spacing w:after="100" w:afterAutospacing="1"/>
        <w:jc w:val="both"/>
        <w:rPr>
          <w:rFonts w:asciiTheme="minorHAnsi" w:hAnsiTheme="minorHAnsi" w:cstheme="minorHAnsi"/>
          <w:sz w:val="2"/>
          <w:szCs w:val="24"/>
        </w:rPr>
      </w:pPr>
      <w:bookmarkStart w:id="62" w:name="_Toc328574065"/>
      <w:bookmarkStart w:id="63" w:name="_Toc339280280"/>
    </w:p>
    <w:p w:rsidR="008F22EE" w:rsidRPr="008F22EE" w:rsidRDefault="008F22EE" w:rsidP="008F22EE">
      <w:pPr>
        <w:pStyle w:val="Heading2"/>
        <w:spacing w:after="100" w:afterAutospacing="1"/>
        <w:jc w:val="both"/>
        <w:rPr>
          <w:rFonts w:asciiTheme="minorHAnsi" w:hAnsiTheme="minorHAnsi" w:cstheme="minorHAnsi"/>
          <w:sz w:val="24"/>
          <w:szCs w:val="24"/>
        </w:rPr>
      </w:pPr>
      <w:r w:rsidRPr="008F22EE">
        <w:rPr>
          <w:rFonts w:asciiTheme="minorHAnsi" w:hAnsiTheme="minorHAnsi" w:cstheme="minorHAnsi"/>
          <w:sz w:val="24"/>
          <w:szCs w:val="24"/>
        </w:rPr>
        <w:t xml:space="preserve">4.2 </w:t>
      </w:r>
      <w:r w:rsidRPr="008F22EE">
        <w:rPr>
          <w:rFonts w:asciiTheme="minorHAnsi" w:hAnsiTheme="minorHAnsi" w:cstheme="minorHAnsi"/>
          <w:sz w:val="24"/>
          <w:szCs w:val="24"/>
        </w:rPr>
        <w:tab/>
        <w:t>Workforce</w:t>
      </w:r>
      <w:bookmarkEnd w:id="62"/>
      <w:bookmarkEnd w:id="63"/>
    </w:p>
    <w:p w:rsidR="008F22EE" w:rsidRPr="008F22EE" w:rsidRDefault="00787AA9" w:rsidP="008F22EE">
      <w:pPr>
        <w:spacing w:after="100" w:afterAutospacing="1"/>
        <w:jc w:val="both"/>
        <w:rPr>
          <w:rFonts w:cstheme="minorHAnsi"/>
          <w:sz w:val="24"/>
          <w:szCs w:val="24"/>
        </w:rPr>
      </w:pPr>
      <w:r w:rsidRPr="00787AA9">
        <w:rPr>
          <w:rFonts w:cstheme="minorHAnsi"/>
          <w:i/>
          <w:sz w:val="24"/>
          <w:szCs w:val="24"/>
        </w:rPr>
        <w:t>Figure</w:t>
      </w:r>
      <w:r w:rsidR="00E02087" w:rsidRPr="00787AA9">
        <w:rPr>
          <w:rFonts w:cstheme="minorHAnsi"/>
          <w:i/>
          <w:sz w:val="24"/>
          <w:szCs w:val="24"/>
        </w:rPr>
        <w:t xml:space="preserve"> 3</w:t>
      </w:r>
      <w:r w:rsidR="00DF3238">
        <w:rPr>
          <w:rFonts w:cstheme="minorHAnsi"/>
          <w:i/>
          <w:sz w:val="24"/>
          <w:szCs w:val="24"/>
        </w:rPr>
        <w:t>0</w:t>
      </w:r>
      <w:r w:rsidR="008F22EE" w:rsidRPr="008F22EE">
        <w:rPr>
          <w:rFonts w:cstheme="minorHAnsi"/>
          <w:sz w:val="24"/>
          <w:szCs w:val="24"/>
        </w:rPr>
        <w:t xml:space="preserve"> below shows the pay expenditure for contracted staff, for agency staff.</w:t>
      </w:r>
    </w:p>
    <w:p w:rsidR="008F22EE" w:rsidRPr="00787AA9" w:rsidRDefault="00DF3238" w:rsidP="008F22EE">
      <w:pPr>
        <w:pStyle w:val="Heading2"/>
        <w:spacing w:after="100" w:afterAutospacing="1"/>
        <w:jc w:val="both"/>
        <w:rPr>
          <w:rFonts w:asciiTheme="minorHAnsi" w:hAnsiTheme="minorHAnsi" w:cstheme="minorHAnsi"/>
          <w:color w:val="auto"/>
          <w:sz w:val="24"/>
          <w:szCs w:val="24"/>
        </w:rPr>
      </w:pPr>
      <w:r>
        <w:rPr>
          <w:rFonts w:asciiTheme="minorHAnsi" w:hAnsiTheme="minorHAnsi" w:cstheme="minorHAnsi"/>
          <w:color w:val="auto"/>
          <w:sz w:val="24"/>
          <w:szCs w:val="24"/>
        </w:rPr>
        <w:t>Figure 30</w:t>
      </w:r>
      <w:r w:rsidR="00787AA9" w:rsidRPr="00787AA9">
        <w:rPr>
          <w:rFonts w:asciiTheme="minorHAnsi" w:hAnsiTheme="minorHAnsi" w:cstheme="minorHAnsi"/>
          <w:color w:val="auto"/>
          <w:sz w:val="24"/>
          <w:szCs w:val="24"/>
        </w:rPr>
        <w:t>:</w:t>
      </w:r>
    </w:p>
    <w:p w:rsidR="008F22EE" w:rsidRPr="008F22EE" w:rsidRDefault="00D703D4" w:rsidP="008F22EE">
      <w:pPr>
        <w:pStyle w:val="Default"/>
        <w:spacing w:after="100" w:afterAutospacing="1"/>
        <w:jc w:val="center"/>
        <w:rPr>
          <w:rFonts w:asciiTheme="minorHAnsi" w:hAnsiTheme="minorHAnsi" w:cstheme="minorHAnsi"/>
        </w:rPr>
      </w:pPr>
      <w:r w:rsidRPr="00D703D4">
        <w:rPr>
          <w:noProof/>
        </w:rPr>
        <w:drawing>
          <wp:inline distT="0" distB="0" distL="0" distR="0">
            <wp:extent cx="5731510" cy="3512387"/>
            <wp:effectExtent l="19050" t="0" r="2540" b="0"/>
            <wp:docPr id="7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stretch>
                      <a:fillRect/>
                    </a:stretch>
                  </pic:blipFill>
                  <pic:spPr>
                    <a:xfrm>
                      <a:off x="0" y="0"/>
                      <a:ext cx="5731510" cy="3512387"/>
                    </a:xfrm>
                    <a:prstGeom prst="rect">
                      <a:avLst/>
                    </a:prstGeom>
                  </pic:spPr>
                </pic:pic>
              </a:graphicData>
            </a:graphic>
          </wp:inline>
        </w:drawing>
      </w:r>
    </w:p>
    <w:p w:rsidR="008F22EE" w:rsidRPr="008F22EE" w:rsidRDefault="00D703D4" w:rsidP="008F22EE">
      <w:pPr>
        <w:pStyle w:val="Default"/>
        <w:jc w:val="both"/>
        <w:rPr>
          <w:rFonts w:asciiTheme="minorHAnsi" w:hAnsiTheme="minorHAnsi" w:cstheme="minorHAnsi"/>
        </w:rPr>
      </w:pPr>
      <w:r w:rsidRPr="00D703D4">
        <w:rPr>
          <w:rFonts w:asciiTheme="minorHAnsi" w:hAnsiTheme="minorHAnsi" w:cstheme="minorHAnsi"/>
          <w:i/>
        </w:rPr>
        <w:lastRenderedPageBreak/>
        <w:t>Figure</w:t>
      </w:r>
      <w:r w:rsidR="008F22EE" w:rsidRPr="00D703D4">
        <w:rPr>
          <w:rFonts w:asciiTheme="minorHAnsi" w:hAnsiTheme="minorHAnsi" w:cstheme="minorHAnsi"/>
          <w:i/>
        </w:rPr>
        <w:t xml:space="preserve"> </w:t>
      </w:r>
      <w:r w:rsidRPr="00D703D4">
        <w:rPr>
          <w:rFonts w:asciiTheme="minorHAnsi" w:hAnsiTheme="minorHAnsi" w:cstheme="minorHAnsi"/>
          <w:i/>
        </w:rPr>
        <w:t>3</w:t>
      </w:r>
      <w:r w:rsidR="00DF3238">
        <w:rPr>
          <w:rFonts w:asciiTheme="minorHAnsi" w:hAnsiTheme="minorHAnsi" w:cstheme="minorHAnsi"/>
          <w:i/>
        </w:rPr>
        <w:t>1</w:t>
      </w:r>
      <w:r w:rsidR="008F22EE" w:rsidRPr="008F22EE">
        <w:rPr>
          <w:rFonts w:asciiTheme="minorHAnsi" w:hAnsiTheme="minorHAnsi" w:cstheme="minorHAnsi"/>
        </w:rPr>
        <w:t xml:space="preserve">, shows the temporary staffing usage as a month on month comparator.  There is a significant decrease in June in the nurse agency usage.  This is mainly attributed to the closure of Cheddar Ward which reduced temporary staffing requirements and enabled the Trust to use permanent staff more effectively.   At the end of July there were 8.73 vacancies across the core ward areas.  </w:t>
      </w:r>
    </w:p>
    <w:p w:rsidR="008F22EE" w:rsidRPr="008F22EE" w:rsidRDefault="008F22EE" w:rsidP="008F22EE">
      <w:pPr>
        <w:pStyle w:val="Default"/>
        <w:jc w:val="both"/>
        <w:rPr>
          <w:rFonts w:asciiTheme="minorHAnsi" w:hAnsiTheme="minorHAnsi" w:cstheme="minorHAnsi"/>
        </w:rPr>
      </w:pPr>
    </w:p>
    <w:p w:rsidR="008F22EE" w:rsidRPr="008F22EE" w:rsidRDefault="008F22EE" w:rsidP="008F22EE">
      <w:pPr>
        <w:pStyle w:val="Default"/>
        <w:jc w:val="both"/>
        <w:rPr>
          <w:rFonts w:asciiTheme="minorHAnsi" w:hAnsiTheme="minorHAnsi" w:cstheme="minorHAnsi"/>
        </w:rPr>
      </w:pPr>
      <w:r w:rsidRPr="008F22EE">
        <w:rPr>
          <w:rFonts w:asciiTheme="minorHAnsi" w:hAnsiTheme="minorHAnsi" w:cstheme="minorHAnsi"/>
        </w:rPr>
        <w:t>The nurse agency usage in July has increased; reports generated from the e-rostering system identify an increased level of annual leave being granted during July and August, which has an adverse impact on our temporary staffing usage. Sickness across nursing (registered and unregistered) has remained consistent between months and will not have resulted in an increased requirement for temporary staffing.</w:t>
      </w:r>
    </w:p>
    <w:p w:rsidR="008F22EE" w:rsidRPr="008F22EE" w:rsidRDefault="008F22EE" w:rsidP="008F22EE">
      <w:pPr>
        <w:pStyle w:val="Default"/>
        <w:jc w:val="both"/>
        <w:rPr>
          <w:rFonts w:asciiTheme="minorHAnsi" w:hAnsiTheme="minorHAnsi" w:cstheme="minorHAnsi"/>
        </w:rPr>
      </w:pPr>
    </w:p>
    <w:p w:rsidR="008F22EE" w:rsidRPr="008F22EE" w:rsidRDefault="008F22EE" w:rsidP="008F22EE">
      <w:pPr>
        <w:pStyle w:val="Default"/>
        <w:jc w:val="both"/>
        <w:rPr>
          <w:rFonts w:asciiTheme="minorHAnsi" w:hAnsiTheme="minorHAnsi" w:cstheme="minorHAnsi"/>
          <w:vanish/>
          <w:specVanish/>
        </w:rPr>
      </w:pPr>
    </w:p>
    <w:p w:rsidR="008F22EE" w:rsidRDefault="008F22EE" w:rsidP="008F22EE">
      <w:pPr>
        <w:pStyle w:val="Default"/>
        <w:jc w:val="both"/>
        <w:rPr>
          <w:rFonts w:asciiTheme="minorHAnsi" w:hAnsiTheme="minorHAnsi" w:cstheme="minorHAnsi"/>
        </w:rPr>
      </w:pPr>
      <w:r w:rsidRPr="008F22EE">
        <w:rPr>
          <w:rFonts w:asciiTheme="minorHAnsi" w:hAnsiTheme="minorHAnsi" w:cstheme="minorHAnsi"/>
        </w:rPr>
        <w:t>Recruitment to the medical workforce remains a challenge across all areas; however we continue to work hard to attract high calibre candidates.  In the last two months we have successfully recruited to the Emergency Department, Radiology department and surgery.  Gastroenterology and community paediatrics remain a challenge and we are working on a number of initiatives in an attempt to fill these gaps.</w:t>
      </w:r>
    </w:p>
    <w:p w:rsidR="004B16E0" w:rsidRPr="004B16E0" w:rsidRDefault="004B16E0" w:rsidP="008F22EE">
      <w:pPr>
        <w:pStyle w:val="Default"/>
        <w:jc w:val="both"/>
        <w:rPr>
          <w:rFonts w:asciiTheme="minorHAnsi" w:hAnsiTheme="minorHAnsi" w:cstheme="minorHAnsi"/>
          <w:sz w:val="6"/>
        </w:rPr>
      </w:pPr>
    </w:p>
    <w:p w:rsidR="008F22EE" w:rsidRPr="00D703D4" w:rsidRDefault="00DF3238" w:rsidP="008F22EE">
      <w:pPr>
        <w:pStyle w:val="Default"/>
        <w:jc w:val="both"/>
        <w:rPr>
          <w:rFonts w:asciiTheme="minorHAnsi" w:hAnsiTheme="minorHAnsi" w:cstheme="minorHAnsi"/>
          <w:b/>
        </w:rPr>
      </w:pPr>
      <w:r>
        <w:rPr>
          <w:rFonts w:asciiTheme="minorHAnsi" w:hAnsiTheme="minorHAnsi" w:cstheme="minorHAnsi"/>
          <w:b/>
        </w:rPr>
        <w:t>Figure 31</w:t>
      </w:r>
      <w:r w:rsidR="00D703D4" w:rsidRPr="00D703D4">
        <w:rPr>
          <w:rFonts w:asciiTheme="minorHAnsi" w:hAnsiTheme="minorHAnsi" w:cstheme="minorHAnsi"/>
          <w:b/>
        </w:rPr>
        <w:t>:</w:t>
      </w:r>
    </w:p>
    <w:p w:rsidR="008F22EE" w:rsidRPr="00D703D4" w:rsidRDefault="008F22EE" w:rsidP="008F22EE">
      <w:pPr>
        <w:pStyle w:val="Default"/>
        <w:jc w:val="both"/>
        <w:rPr>
          <w:rFonts w:asciiTheme="minorHAnsi" w:hAnsiTheme="minorHAnsi" w:cstheme="minorHAnsi"/>
          <w:sz w:val="10"/>
        </w:rPr>
      </w:pPr>
    </w:p>
    <w:p w:rsidR="008F22EE" w:rsidRPr="008F22EE" w:rsidRDefault="00D703D4" w:rsidP="00D703D4">
      <w:pPr>
        <w:pStyle w:val="Default"/>
        <w:jc w:val="center"/>
        <w:rPr>
          <w:rFonts w:asciiTheme="minorHAnsi" w:hAnsiTheme="minorHAnsi" w:cstheme="minorHAnsi"/>
        </w:rPr>
      </w:pPr>
      <w:r w:rsidRPr="00D703D4">
        <w:rPr>
          <w:noProof/>
        </w:rPr>
        <w:drawing>
          <wp:inline distT="0" distB="0" distL="0" distR="0">
            <wp:extent cx="5591175" cy="3343275"/>
            <wp:effectExtent l="19050" t="0" r="9525" b="0"/>
            <wp:docPr id="7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5591175" cy="3343275"/>
                    </a:xfrm>
                    <a:prstGeom prst="rect">
                      <a:avLst/>
                    </a:prstGeom>
                  </pic:spPr>
                </pic:pic>
              </a:graphicData>
            </a:graphic>
          </wp:inline>
        </w:drawing>
      </w:r>
    </w:p>
    <w:p w:rsidR="008F22EE" w:rsidRPr="008F22EE" w:rsidRDefault="008F22EE" w:rsidP="008F22EE">
      <w:pPr>
        <w:pStyle w:val="Default"/>
        <w:jc w:val="both"/>
        <w:rPr>
          <w:rFonts w:asciiTheme="minorHAnsi" w:hAnsiTheme="minorHAnsi" w:cstheme="minorHAnsi"/>
        </w:rPr>
      </w:pPr>
    </w:p>
    <w:p w:rsidR="008F22EE" w:rsidRPr="008F22EE" w:rsidRDefault="008F22EE" w:rsidP="008F22EE">
      <w:pPr>
        <w:pStyle w:val="Heading3"/>
        <w:spacing w:before="0" w:after="100" w:afterAutospacing="1"/>
        <w:jc w:val="both"/>
        <w:rPr>
          <w:rFonts w:asciiTheme="minorHAnsi" w:hAnsiTheme="minorHAnsi" w:cstheme="minorHAnsi"/>
          <w:i/>
          <w:sz w:val="24"/>
          <w:szCs w:val="24"/>
        </w:rPr>
        <w:sectPr w:rsidR="008F22EE" w:rsidRPr="008F22EE" w:rsidSect="004B16E0">
          <w:pgSz w:w="11906" w:h="16838"/>
          <w:pgMar w:top="1440" w:right="1440" w:bottom="1440" w:left="1440" w:header="709" w:footer="709" w:gutter="0"/>
          <w:cols w:space="708"/>
          <w:docGrid w:linePitch="360"/>
        </w:sectPr>
      </w:pPr>
      <w:bookmarkStart w:id="64" w:name="_Toc328574066"/>
      <w:bookmarkStart w:id="65" w:name="_Toc339280281"/>
    </w:p>
    <w:p w:rsidR="008F22EE" w:rsidRPr="008F22EE" w:rsidRDefault="008F22EE" w:rsidP="008F22EE">
      <w:pPr>
        <w:pStyle w:val="Heading3"/>
        <w:spacing w:before="0" w:after="100" w:afterAutospacing="1"/>
        <w:jc w:val="both"/>
        <w:rPr>
          <w:rFonts w:asciiTheme="minorHAnsi" w:hAnsiTheme="minorHAnsi" w:cstheme="minorHAnsi"/>
          <w:i/>
          <w:sz w:val="24"/>
          <w:szCs w:val="24"/>
        </w:rPr>
      </w:pPr>
      <w:r w:rsidRPr="008F22EE">
        <w:rPr>
          <w:rFonts w:asciiTheme="minorHAnsi" w:hAnsiTheme="minorHAnsi" w:cstheme="minorHAnsi"/>
          <w:sz w:val="24"/>
          <w:szCs w:val="24"/>
        </w:rPr>
        <w:lastRenderedPageBreak/>
        <w:t>4.2.1</w:t>
      </w:r>
      <w:r w:rsidRPr="008F22EE">
        <w:rPr>
          <w:rFonts w:asciiTheme="minorHAnsi" w:hAnsiTheme="minorHAnsi" w:cstheme="minorHAnsi"/>
          <w:sz w:val="24"/>
          <w:szCs w:val="24"/>
        </w:rPr>
        <w:tab/>
        <w:t>Sickness</w:t>
      </w:r>
      <w:bookmarkEnd w:id="64"/>
      <w:bookmarkEnd w:id="65"/>
    </w:p>
    <w:p w:rsidR="008F22EE" w:rsidRDefault="008F22EE" w:rsidP="004B16E0">
      <w:pPr>
        <w:pStyle w:val="NoSpacing"/>
        <w:spacing w:after="100" w:afterAutospacing="1"/>
        <w:jc w:val="both"/>
        <w:rPr>
          <w:rFonts w:cstheme="minorHAnsi"/>
        </w:rPr>
      </w:pPr>
      <w:r w:rsidRPr="008F22EE">
        <w:rPr>
          <w:rFonts w:cstheme="minorHAnsi"/>
        </w:rPr>
        <w:t>Sickness reduced in June to 3.88% but increased again in July to 4.53%, with the current run rate significantly higher compared to the same period last year.  Sickness rate in the Planned Care Division is high at 5% and is having a significant impact on the Trusts overall sickness rate.  Audits of the worst performing areas across each division have been completed to identify those areas that are managing sickness absence in accordance with Trust policy.  Managers will be provided with guidance, support and direction on the correct application of the policy.</w:t>
      </w:r>
    </w:p>
    <w:p w:rsidR="004B16E0" w:rsidRPr="004B16E0" w:rsidRDefault="00DF3238" w:rsidP="004B16E0">
      <w:pPr>
        <w:pStyle w:val="NoSpacing"/>
        <w:spacing w:after="100" w:afterAutospacing="1"/>
        <w:jc w:val="both"/>
        <w:rPr>
          <w:rFonts w:cstheme="minorHAnsi"/>
          <w:b/>
        </w:rPr>
      </w:pPr>
      <w:r>
        <w:rPr>
          <w:rFonts w:cstheme="minorHAnsi"/>
          <w:b/>
        </w:rPr>
        <w:t>Figure 32</w:t>
      </w:r>
      <w:r w:rsidR="004B16E0" w:rsidRPr="004B16E0">
        <w:rPr>
          <w:rFonts w:cstheme="minorHAnsi"/>
          <w:b/>
        </w:rPr>
        <w:t>:</w:t>
      </w:r>
    </w:p>
    <w:p w:rsidR="004B16E0" w:rsidRPr="004B16E0" w:rsidRDefault="004B16E0" w:rsidP="004B16E0">
      <w:pPr>
        <w:spacing w:after="100" w:afterAutospacing="1"/>
        <w:jc w:val="center"/>
        <w:rPr>
          <w:rFonts w:cstheme="minorHAnsi"/>
          <w:sz w:val="2"/>
        </w:rPr>
      </w:pPr>
      <w:r w:rsidRPr="004B16E0">
        <w:rPr>
          <w:noProof/>
        </w:rPr>
        <w:drawing>
          <wp:inline distT="0" distB="0" distL="0" distR="0">
            <wp:extent cx="5835650" cy="3436549"/>
            <wp:effectExtent l="19050" t="0" r="0" b="0"/>
            <wp:docPr id="7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cstate="print"/>
                    <a:stretch>
                      <a:fillRect/>
                    </a:stretch>
                  </pic:blipFill>
                  <pic:spPr>
                    <a:xfrm>
                      <a:off x="0" y="0"/>
                      <a:ext cx="5835650" cy="3436549"/>
                    </a:xfrm>
                    <a:prstGeom prst="rect">
                      <a:avLst/>
                    </a:prstGeom>
                  </pic:spPr>
                </pic:pic>
              </a:graphicData>
            </a:graphic>
          </wp:inline>
        </w:drawing>
      </w:r>
    </w:p>
    <w:p w:rsidR="008F22EE" w:rsidRPr="004B16E0" w:rsidRDefault="008F22EE" w:rsidP="004B16E0">
      <w:pPr>
        <w:spacing w:after="100" w:afterAutospacing="1"/>
        <w:rPr>
          <w:rFonts w:cstheme="minorHAnsi"/>
          <w:sz w:val="20"/>
          <w:szCs w:val="20"/>
        </w:rPr>
      </w:pPr>
      <w:r w:rsidRPr="004B16E0">
        <w:rPr>
          <w:rFonts w:cstheme="minorHAnsi"/>
          <w:sz w:val="20"/>
          <w:szCs w:val="20"/>
        </w:rPr>
        <w:t>* Trust standard is ≤ 3.0%</w:t>
      </w:r>
    </w:p>
    <w:p w:rsidR="008F22EE" w:rsidRPr="008F22EE" w:rsidRDefault="008F22EE" w:rsidP="008F22EE">
      <w:pPr>
        <w:pStyle w:val="Heading3"/>
        <w:spacing w:before="0" w:after="100" w:afterAutospacing="1"/>
        <w:jc w:val="both"/>
        <w:rPr>
          <w:rFonts w:asciiTheme="minorHAnsi" w:hAnsiTheme="minorHAnsi" w:cstheme="minorHAnsi"/>
          <w:i/>
          <w:sz w:val="24"/>
          <w:szCs w:val="24"/>
        </w:rPr>
      </w:pPr>
      <w:bookmarkStart w:id="66" w:name="_Toc328574067"/>
      <w:bookmarkStart w:id="67" w:name="_Toc339280282"/>
      <w:r w:rsidRPr="008F22EE">
        <w:rPr>
          <w:rFonts w:asciiTheme="minorHAnsi" w:hAnsiTheme="minorHAnsi" w:cstheme="minorHAnsi"/>
          <w:sz w:val="24"/>
          <w:szCs w:val="24"/>
        </w:rPr>
        <w:t xml:space="preserve">4.2.2 </w:t>
      </w:r>
      <w:r w:rsidRPr="008F22EE">
        <w:rPr>
          <w:rFonts w:asciiTheme="minorHAnsi" w:hAnsiTheme="minorHAnsi" w:cstheme="minorHAnsi"/>
          <w:sz w:val="24"/>
          <w:szCs w:val="24"/>
        </w:rPr>
        <w:tab/>
        <w:t>Statutory/Mandatory Training</w:t>
      </w:r>
      <w:bookmarkEnd w:id="66"/>
      <w:bookmarkEnd w:id="67"/>
    </w:p>
    <w:p w:rsidR="008F22EE" w:rsidRPr="008F22EE" w:rsidRDefault="008F22EE" w:rsidP="008F22EE">
      <w:pPr>
        <w:jc w:val="both"/>
        <w:rPr>
          <w:rFonts w:cstheme="minorHAnsi"/>
          <w:sz w:val="24"/>
          <w:szCs w:val="24"/>
        </w:rPr>
      </w:pPr>
      <w:r w:rsidRPr="008F22EE">
        <w:rPr>
          <w:rFonts w:cstheme="minorHAnsi"/>
          <w:sz w:val="24"/>
          <w:szCs w:val="24"/>
        </w:rPr>
        <w:t>The statutory/mandatory training compliance rate was 82.74% in June and decreased slightly to 81.61% in July.  A new and robust approach is being taken by the Trust against staff who continually fail to meet their contractual requirements for training.</w:t>
      </w:r>
    </w:p>
    <w:p w:rsidR="008F22EE" w:rsidRPr="008F22EE" w:rsidRDefault="008F22EE" w:rsidP="008F22EE">
      <w:pPr>
        <w:pStyle w:val="Default"/>
        <w:jc w:val="both"/>
        <w:rPr>
          <w:rFonts w:asciiTheme="minorHAnsi" w:hAnsiTheme="minorHAnsi" w:cstheme="minorHAnsi"/>
        </w:rPr>
      </w:pPr>
    </w:p>
    <w:p w:rsidR="008F22EE" w:rsidRPr="008F22EE" w:rsidRDefault="008F22EE" w:rsidP="008F22EE">
      <w:pPr>
        <w:pStyle w:val="Heading3"/>
        <w:spacing w:before="0" w:after="100" w:afterAutospacing="1"/>
        <w:jc w:val="both"/>
        <w:rPr>
          <w:rFonts w:asciiTheme="minorHAnsi" w:hAnsiTheme="minorHAnsi" w:cstheme="minorHAnsi"/>
          <w:i/>
          <w:sz w:val="24"/>
          <w:szCs w:val="24"/>
        </w:rPr>
      </w:pPr>
      <w:bookmarkStart w:id="68" w:name="_Toc328574068"/>
      <w:bookmarkStart w:id="69" w:name="_Toc339280283"/>
      <w:r w:rsidRPr="008F22EE">
        <w:rPr>
          <w:rFonts w:asciiTheme="minorHAnsi" w:hAnsiTheme="minorHAnsi" w:cstheme="minorHAnsi"/>
          <w:sz w:val="24"/>
          <w:szCs w:val="24"/>
        </w:rPr>
        <w:lastRenderedPageBreak/>
        <w:t>4.2.3 Appraisal</w:t>
      </w:r>
      <w:bookmarkEnd w:id="68"/>
      <w:bookmarkEnd w:id="69"/>
    </w:p>
    <w:p w:rsidR="008F22EE" w:rsidRPr="008F22EE" w:rsidRDefault="008F22EE" w:rsidP="008F22EE">
      <w:pPr>
        <w:spacing w:after="100" w:afterAutospacing="1"/>
        <w:jc w:val="both"/>
        <w:rPr>
          <w:rFonts w:cstheme="minorHAnsi"/>
          <w:sz w:val="24"/>
          <w:szCs w:val="24"/>
        </w:rPr>
      </w:pPr>
      <w:r w:rsidRPr="008F22EE">
        <w:rPr>
          <w:rFonts w:cstheme="minorHAnsi"/>
          <w:sz w:val="24"/>
          <w:szCs w:val="24"/>
        </w:rPr>
        <w:t xml:space="preserve">The appraisal compliance rate for June 84.22% and increased to 85.54% in July to reach the Trust target. Achieving and maintaining the Trust compliance rate is a priority,  but it is also important that we ensure appraisals are carried out to a high standard and  that they are meaningful. </w:t>
      </w:r>
    </w:p>
    <w:p w:rsidR="008F22EE" w:rsidRPr="008F22EE" w:rsidRDefault="008F22EE" w:rsidP="008F22EE">
      <w:pPr>
        <w:pStyle w:val="Heading3"/>
        <w:spacing w:before="0" w:after="100" w:afterAutospacing="1"/>
        <w:jc w:val="both"/>
        <w:rPr>
          <w:rFonts w:asciiTheme="minorHAnsi" w:hAnsiTheme="minorHAnsi" w:cstheme="minorHAnsi"/>
          <w:i/>
          <w:sz w:val="24"/>
          <w:szCs w:val="24"/>
        </w:rPr>
      </w:pPr>
      <w:r w:rsidRPr="008F22EE">
        <w:rPr>
          <w:rFonts w:asciiTheme="minorHAnsi" w:hAnsiTheme="minorHAnsi" w:cstheme="minorHAnsi"/>
          <w:sz w:val="24"/>
          <w:szCs w:val="24"/>
        </w:rPr>
        <w:t>4.2.4 Celebration of Success</w:t>
      </w:r>
    </w:p>
    <w:p w:rsidR="008F22EE" w:rsidRPr="008F22EE" w:rsidRDefault="008F22EE" w:rsidP="008F22EE">
      <w:pPr>
        <w:jc w:val="both"/>
        <w:rPr>
          <w:rFonts w:cstheme="minorHAnsi"/>
          <w:sz w:val="24"/>
          <w:szCs w:val="24"/>
        </w:rPr>
      </w:pPr>
      <w:r w:rsidRPr="008F22EE">
        <w:rPr>
          <w:rFonts w:cstheme="minorHAnsi"/>
          <w:sz w:val="24"/>
          <w:szCs w:val="24"/>
        </w:rPr>
        <w:t>The Trust held its inaugural celebration of success awards ceremony in July, which was well received by all that attended, with winners from a range of departments and specialities.  Awards were presented to employees and volunteers for the following categories:</w:t>
      </w:r>
    </w:p>
    <w:p w:rsidR="008F22EE" w:rsidRPr="004A6B55" w:rsidRDefault="008F22EE" w:rsidP="008F22EE">
      <w:pPr>
        <w:pStyle w:val="Default"/>
        <w:jc w:val="both"/>
        <w:rPr>
          <w:rFonts w:asciiTheme="minorHAnsi" w:hAnsiTheme="minorHAnsi" w:cstheme="minorHAnsi"/>
          <w:sz w:val="2"/>
        </w:rPr>
      </w:pPr>
    </w:p>
    <w:p w:rsidR="008F22EE" w:rsidRPr="004A6B55" w:rsidRDefault="008F22EE" w:rsidP="008F22EE">
      <w:pPr>
        <w:pStyle w:val="ListParagraph"/>
        <w:numPr>
          <w:ilvl w:val="0"/>
          <w:numId w:val="31"/>
        </w:numPr>
        <w:spacing w:after="0" w:line="240" w:lineRule="auto"/>
        <w:contextualSpacing w:val="0"/>
        <w:jc w:val="both"/>
        <w:rPr>
          <w:rFonts w:cstheme="minorHAnsi"/>
          <w:sz w:val="24"/>
          <w:szCs w:val="24"/>
        </w:rPr>
      </w:pPr>
      <w:r w:rsidRPr="004A6B55">
        <w:rPr>
          <w:rFonts w:cstheme="minorHAnsi"/>
          <w:sz w:val="24"/>
          <w:szCs w:val="24"/>
        </w:rPr>
        <w:t>PRIDE of PRIDE Award - Cancer Office Team </w:t>
      </w:r>
    </w:p>
    <w:p w:rsidR="008F22EE" w:rsidRPr="004A6B55" w:rsidRDefault="008F22EE" w:rsidP="008F22EE">
      <w:pPr>
        <w:pStyle w:val="ListParagraph"/>
        <w:numPr>
          <w:ilvl w:val="0"/>
          <w:numId w:val="31"/>
        </w:numPr>
        <w:spacing w:after="0" w:line="240" w:lineRule="auto"/>
        <w:contextualSpacing w:val="0"/>
        <w:jc w:val="both"/>
        <w:rPr>
          <w:rFonts w:cstheme="minorHAnsi"/>
          <w:sz w:val="24"/>
          <w:szCs w:val="24"/>
        </w:rPr>
      </w:pPr>
      <w:r w:rsidRPr="004A6B55">
        <w:rPr>
          <w:rFonts w:cstheme="minorHAnsi"/>
          <w:sz w:val="24"/>
          <w:szCs w:val="24"/>
        </w:rPr>
        <w:t>Patients’ Ally Award - Helen Anderson, Tissue Viability Nurse  </w:t>
      </w:r>
    </w:p>
    <w:p w:rsidR="008F22EE" w:rsidRPr="004A6B55" w:rsidRDefault="008F22EE" w:rsidP="008F22EE">
      <w:pPr>
        <w:pStyle w:val="ListParagraph"/>
        <w:numPr>
          <w:ilvl w:val="0"/>
          <w:numId w:val="31"/>
        </w:numPr>
        <w:spacing w:after="0" w:line="240" w:lineRule="auto"/>
        <w:contextualSpacing w:val="0"/>
        <w:jc w:val="both"/>
        <w:rPr>
          <w:rFonts w:cstheme="minorHAnsi"/>
          <w:sz w:val="24"/>
          <w:szCs w:val="24"/>
        </w:rPr>
      </w:pPr>
      <w:r w:rsidRPr="004A6B55">
        <w:rPr>
          <w:rFonts w:cstheme="minorHAnsi"/>
          <w:sz w:val="24"/>
          <w:szCs w:val="24"/>
        </w:rPr>
        <w:t>Gold Award - Lynne Lane, Dispensary Manager </w:t>
      </w:r>
    </w:p>
    <w:p w:rsidR="008F22EE" w:rsidRPr="004A6B55" w:rsidRDefault="008F22EE" w:rsidP="008F22EE">
      <w:pPr>
        <w:pStyle w:val="ListParagraph"/>
        <w:numPr>
          <w:ilvl w:val="0"/>
          <w:numId w:val="31"/>
        </w:numPr>
        <w:spacing w:after="0" w:line="240" w:lineRule="auto"/>
        <w:contextualSpacing w:val="0"/>
        <w:jc w:val="both"/>
        <w:rPr>
          <w:rFonts w:cstheme="minorHAnsi"/>
          <w:sz w:val="24"/>
          <w:szCs w:val="24"/>
        </w:rPr>
      </w:pPr>
      <w:r w:rsidRPr="004A6B55">
        <w:rPr>
          <w:rFonts w:cstheme="minorHAnsi"/>
          <w:sz w:val="24"/>
          <w:szCs w:val="24"/>
        </w:rPr>
        <w:t>Nurse of the Year Award - Sue Bebber, Collaborative Care Team </w:t>
      </w:r>
    </w:p>
    <w:p w:rsidR="008F22EE" w:rsidRPr="004A6B55" w:rsidRDefault="008F22EE" w:rsidP="008F22EE">
      <w:pPr>
        <w:pStyle w:val="ListParagraph"/>
        <w:numPr>
          <w:ilvl w:val="0"/>
          <w:numId w:val="31"/>
        </w:numPr>
        <w:spacing w:after="0" w:line="240" w:lineRule="auto"/>
        <w:contextualSpacing w:val="0"/>
        <w:jc w:val="both"/>
        <w:rPr>
          <w:rFonts w:cstheme="minorHAnsi"/>
          <w:sz w:val="24"/>
          <w:szCs w:val="24"/>
        </w:rPr>
      </w:pPr>
      <w:r w:rsidRPr="004A6B55">
        <w:rPr>
          <w:rFonts w:cstheme="minorHAnsi"/>
          <w:sz w:val="24"/>
          <w:szCs w:val="24"/>
        </w:rPr>
        <w:t>Nursing Assistant of the Year Award - Janet Feeney, Stroke Unit </w:t>
      </w:r>
    </w:p>
    <w:p w:rsidR="008F22EE" w:rsidRPr="004A6B55" w:rsidRDefault="008F22EE" w:rsidP="008F22EE">
      <w:pPr>
        <w:pStyle w:val="ListParagraph"/>
        <w:numPr>
          <w:ilvl w:val="0"/>
          <w:numId w:val="31"/>
        </w:numPr>
        <w:spacing w:after="0" w:line="240" w:lineRule="auto"/>
        <w:contextualSpacing w:val="0"/>
        <w:jc w:val="both"/>
        <w:rPr>
          <w:rFonts w:cstheme="minorHAnsi"/>
          <w:sz w:val="24"/>
          <w:szCs w:val="24"/>
        </w:rPr>
      </w:pPr>
      <w:r w:rsidRPr="004A6B55">
        <w:rPr>
          <w:rFonts w:cstheme="minorHAnsi"/>
          <w:sz w:val="24"/>
          <w:szCs w:val="24"/>
        </w:rPr>
        <w:t>Clinician of the Year Award - Dr Eilidh Gunn, F1 Doctor </w:t>
      </w:r>
    </w:p>
    <w:p w:rsidR="008F22EE" w:rsidRPr="004A6B55" w:rsidRDefault="008F22EE" w:rsidP="008F22EE">
      <w:pPr>
        <w:pStyle w:val="ListParagraph"/>
        <w:numPr>
          <w:ilvl w:val="0"/>
          <w:numId w:val="31"/>
        </w:numPr>
        <w:spacing w:after="0" w:line="240" w:lineRule="auto"/>
        <w:contextualSpacing w:val="0"/>
        <w:jc w:val="both"/>
        <w:rPr>
          <w:rFonts w:cstheme="minorHAnsi"/>
          <w:sz w:val="24"/>
          <w:szCs w:val="24"/>
        </w:rPr>
      </w:pPr>
      <w:r w:rsidRPr="004A6B55">
        <w:rPr>
          <w:rFonts w:cstheme="minorHAnsi"/>
          <w:sz w:val="24"/>
          <w:szCs w:val="24"/>
        </w:rPr>
        <w:t>Team Spirit Award - Collaborative Care Team </w:t>
      </w:r>
    </w:p>
    <w:p w:rsidR="008F22EE" w:rsidRPr="004A6B55" w:rsidRDefault="008F22EE" w:rsidP="008F22EE">
      <w:pPr>
        <w:pStyle w:val="ListParagraph"/>
        <w:numPr>
          <w:ilvl w:val="0"/>
          <w:numId w:val="31"/>
        </w:numPr>
        <w:spacing w:after="0" w:line="240" w:lineRule="auto"/>
        <w:contextualSpacing w:val="0"/>
        <w:jc w:val="both"/>
        <w:rPr>
          <w:rFonts w:cstheme="minorHAnsi"/>
          <w:sz w:val="24"/>
          <w:szCs w:val="24"/>
        </w:rPr>
      </w:pPr>
      <w:r w:rsidRPr="004A6B55">
        <w:rPr>
          <w:rFonts w:cstheme="minorHAnsi"/>
          <w:sz w:val="24"/>
          <w:szCs w:val="24"/>
        </w:rPr>
        <w:t>Newcomer of the Year Award - Samira Halila, Modern Apprentice </w:t>
      </w:r>
    </w:p>
    <w:p w:rsidR="008F22EE" w:rsidRPr="004A6B55" w:rsidRDefault="008F22EE" w:rsidP="008F22EE">
      <w:pPr>
        <w:pStyle w:val="ListParagraph"/>
        <w:numPr>
          <w:ilvl w:val="0"/>
          <w:numId w:val="31"/>
        </w:numPr>
        <w:spacing w:after="0" w:line="240" w:lineRule="auto"/>
        <w:contextualSpacing w:val="0"/>
        <w:jc w:val="both"/>
        <w:rPr>
          <w:rFonts w:cstheme="minorHAnsi"/>
          <w:sz w:val="24"/>
          <w:szCs w:val="24"/>
        </w:rPr>
      </w:pPr>
      <w:r w:rsidRPr="004A6B55">
        <w:rPr>
          <w:rFonts w:cstheme="minorHAnsi"/>
          <w:sz w:val="24"/>
          <w:szCs w:val="24"/>
        </w:rPr>
        <w:t>Volunteers Award - Anne Clarke, X-Ray</w:t>
      </w:r>
    </w:p>
    <w:p w:rsidR="008F22EE" w:rsidRPr="008F22EE" w:rsidRDefault="008F22EE" w:rsidP="008F22EE">
      <w:pPr>
        <w:jc w:val="both"/>
        <w:rPr>
          <w:rFonts w:cstheme="minorHAnsi"/>
          <w:sz w:val="24"/>
          <w:szCs w:val="24"/>
        </w:rPr>
      </w:pPr>
    </w:p>
    <w:p w:rsidR="004A6B55" w:rsidRDefault="004A6B55" w:rsidP="008F22EE">
      <w:pPr>
        <w:pStyle w:val="Heading3"/>
        <w:spacing w:before="0" w:after="100" w:afterAutospacing="1"/>
        <w:jc w:val="both"/>
        <w:rPr>
          <w:rFonts w:asciiTheme="minorHAnsi" w:hAnsiTheme="minorHAnsi" w:cstheme="minorHAnsi"/>
          <w:sz w:val="24"/>
          <w:szCs w:val="24"/>
        </w:rPr>
      </w:pPr>
    </w:p>
    <w:p w:rsidR="004A6B55" w:rsidRDefault="004A6B55" w:rsidP="008F22EE">
      <w:pPr>
        <w:pStyle w:val="Heading3"/>
        <w:spacing w:before="0" w:after="100" w:afterAutospacing="1"/>
        <w:jc w:val="both"/>
        <w:rPr>
          <w:rFonts w:asciiTheme="minorHAnsi" w:hAnsiTheme="minorHAnsi" w:cstheme="minorHAnsi"/>
          <w:sz w:val="24"/>
          <w:szCs w:val="24"/>
        </w:rPr>
      </w:pPr>
    </w:p>
    <w:p w:rsidR="004A6B55" w:rsidRDefault="004A6B55" w:rsidP="008F22EE">
      <w:pPr>
        <w:pStyle w:val="Heading3"/>
        <w:spacing w:before="0" w:after="100" w:afterAutospacing="1"/>
        <w:jc w:val="both"/>
        <w:rPr>
          <w:rFonts w:asciiTheme="minorHAnsi" w:hAnsiTheme="minorHAnsi" w:cstheme="minorHAnsi"/>
          <w:sz w:val="24"/>
          <w:szCs w:val="24"/>
        </w:rPr>
      </w:pPr>
    </w:p>
    <w:p w:rsidR="004A6B55" w:rsidRDefault="004A6B55" w:rsidP="008F22EE">
      <w:pPr>
        <w:pStyle w:val="Heading3"/>
        <w:spacing w:before="0" w:after="100" w:afterAutospacing="1"/>
        <w:jc w:val="both"/>
        <w:rPr>
          <w:rFonts w:asciiTheme="minorHAnsi" w:hAnsiTheme="minorHAnsi" w:cstheme="minorHAnsi"/>
          <w:sz w:val="24"/>
          <w:szCs w:val="24"/>
        </w:rPr>
      </w:pPr>
    </w:p>
    <w:p w:rsidR="004A6B55" w:rsidRDefault="004A6B55">
      <w:pPr>
        <w:rPr>
          <w:rFonts w:eastAsiaTheme="majorEastAsia" w:cstheme="minorHAnsi"/>
          <w:b/>
          <w:bCs/>
          <w:color w:val="2DA2BF" w:themeColor="accent1"/>
          <w:sz w:val="24"/>
          <w:szCs w:val="24"/>
        </w:rPr>
      </w:pPr>
      <w:r>
        <w:rPr>
          <w:rFonts w:cstheme="minorHAnsi"/>
          <w:sz w:val="24"/>
          <w:szCs w:val="24"/>
        </w:rPr>
        <w:br w:type="page"/>
      </w:r>
    </w:p>
    <w:p w:rsidR="008F22EE" w:rsidRPr="008F22EE" w:rsidRDefault="008F22EE" w:rsidP="008F22EE">
      <w:pPr>
        <w:pStyle w:val="Heading3"/>
        <w:spacing w:before="0" w:after="100" w:afterAutospacing="1"/>
        <w:jc w:val="both"/>
        <w:rPr>
          <w:rFonts w:asciiTheme="minorHAnsi" w:hAnsiTheme="minorHAnsi" w:cstheme="minorHAnsi"/>
          <w:i/>
          <w:sz w:val="24"/>
          <w:szCs w:val="24"/>
        </w:rPr>
      </w:pPr>
      <w:r w:rsidRPr="008F22EE">
        <w:rPr>
          <w:rFonts w:asciiTheme="minorHAnsi" w:hAnsiTheme="minorHAnsi" w:cstheme="minorHAnsi"/>
          <w:sz w:val="24"/>
          <w:szCs w:val="24"/>
        </w:rPr>
        <w:lastRenderedPageBreak/>
        <w:t>4.2.5 Staff Friends and Family Test</w:t>
      </w:r>
    </w:p>
    <w:p w:rsidR="008F22EE" w:rsidRPr="008F22EE" w:rsidRDefault="008F22EE" w:rsidP="008F22EE">
      <w:pPr>
        <w:spacing w:after="0"/>
        <w:jc w:val="both"/>
        <w:rPr>
          <w:rFonts w:cstheme="minorHAnsi"/>
          <w:sz w:val="24"/>
          <w:szCs w:val="24"/>
        </w:rPr>
      </w:pPr>
      <w:r w:rsidRPr="008F22EE">
        <w:rPr>
          <w:rFonts w:cstheme="minorHAnsi"/>
          <w:sz w:val="24"/>
          <w:szCs w:val="24"/>
        </w:rPr>
        <w:t>From April 2014, all acute, community, ambulance and mental health services were required to survey all of their staff at least once a year and ask them the following questions:</w:t>
      </w:r>
    </w:p>
    <w:p w:rsidR="008F22EE" w:rsidRPr="008F22EE" w:rsidRDefault="008F22EE" w:rsidP="008F22EE">
      <w:pPr>
        <w:spacing w:after="0"/>
        <w:jc w:val="both"/>
        <w:rPr>
          <w:rFonts w:cstheme="minorHAnsi"/>
          <w:sz w:val="24"/>
          <w:szCs w:val="24"/>
        </w:rPr>
      </w:pPr>
    </w:p>
    <w:p w:rsidR="008F22EE" w:rsidRPr="008F22EE" w:rsidRDefault="008F22EE" w:rsidP="008F22EE">
      <w:pPr>
        <w:pStyle w:val="ListParagraph"/>
        <w:numPr>
          <w:ilvl w:val="0"/>
          <w:numId w:val="30"/>
        </w:numPr>
        <w:spacing w:after="0" w:line="240" w:lineRule="auto"/>
        <w:jc w:val="both"/>
        <w:rPr>
          <w:rFonts w:cstheme="minorHAnsi"/>
          <w:sz w:val="24"/>
          <w:szCs w:val="24"/>
        </w:rPr>
      </w:pPr>
      <w:r w:rsidRPr="008F22EE">
        <w:rPr>
          <w:rFonts w:cstheme="minorHAnsi"/>
          <w:sz w:val="24"/>
          <w:szCs w:val="24"/>
        </w:rPr>
        <w:t>How likely are you to recommend this organisation to friends and family if they needed care or treatment?</w:t>
      </w:r>
    </w:p>
    <w:p w:rsidR="008F22EE" w:rsidRPr="008F22EE" w:rsidRDefault="008F22EE" w:rsidP="008F22EE">
      <w:pPr>
        <w:pStyle w:val="ListParagraph"/>
        <w:numPr>
          <w:ilvl w:val="0"/>
          <w:numId w:val="30"/>
        </w:numPr>
        <w:spacing w:after="0" w:line="240" w:lineRule="auto"/>
        <w:jc w:val="both"/>
        <w:rPr>
          <w:rFonts w:cstheme="minorHAnsi"/>
          <w:sz w:val="24"/>
          <w:szCs w:val="24"/>
        </w:rPr>
      </w:pPr>
      <w:r w:rsidRPr="008F22EE">
        <w:rPr>
          <w:rFonts w:cstheme="minorHAnsi"/>
          <w:sz w:val="24"/>
          <w:szCs w:val="24"/>
        </w:rPr>
        <w:t>How likely are you to recommend this organisation to friends and family as a place to work?</w:t>
      </w:r>
    </w:p>
    <w:p w:rsidR="008F22EE" w:rsidRPr="008F22EE" w:rsidRDefault="008F22EE" w:rsidP="008F22EE">
      <w:pPr>
        <w:spacing w:after="0"/>
        <w:jc w:val="both"/>
        <w:rPr>
          <w:rFonts w:cstheme="minorHAnsi"/>
          <w:sz w:val="24"/>
          <w:szCs w:val="24"/>
        </w:rPr>
      </w:pPr>
    </w:p>
    <w:p w:rsidR="008F22EE" w:rsidRPr="008F22EE" w:rsidRDefault="008F22EE" w:rsidP="008F22EE">
      <w:pPr>
        <w:spacing w:after="0"/>
        <w:jc w:val="both"/>
        <w:rPr>
          <w:rFonts w:cstheme="minorHAnsi"/>
          <w:sz w:val="24"/>
          <w:szCs w:val="24"/>
        </w:rPr>
      </w:pPr>
      <w:r w:rsidRPr="008F22EE">
        <w:rPr>
          <w:rFonts w:cstheme="minorHAnsi"/>
          <w:sz w:val="24"/>
          <w:szCs w:val="24"/>
        </w:rPr>
        <w:t xml:space="preserve">In May of this year, a third of our staff, received postcards attached to their payslips which they were asked to complete and return in post boxes located around the hospital site.  </w:t>
      </w:r>
    </w:p>
    <w:p w:rsidR="008F22EE" w:rsidRPr="008F22EE" w:rsidRDefault="008F22EE" w:rsidP="008F22EE">
      <w:pPr>
        <w:spacing w:after="0"/>
        <w:jc w:val="both"/>
        <w:rPr>
          <w:rFonts w:cstheme="minorHAnsi"/>
          <w:sz w:val="24"/>
          <w:szCs w:val="24"/>
        </w:rPr>
      </w:pPr>
    </w:p>
    <w:p w:rsidR="008F22EE" w:rsidRPr="008F22EE" w:rsidRDefault="008F22EE" w:rsidP="008F22EE">
      <w:pPr>
        <w:spacing w:after="0"/>
        <w:jc w:val="both"/>
        <w:rPr>
          <w:rFonts w:cstheme="minorHAnsi"/>
          <w:sz w:val="24"/>
          <w:szCs w:val="24"/>
        </w:rPr>
      </w:pPr>
      <w:r w:rsidRPr="008F22EE">
        <w:rPr>
          <w:rFonts w:cstheme="minorHAnsi"/>
          <w:sz w:val="24"/>
          <w:szCs w:val="24"/>
        </w:rPr>
        <w:t>Results from Quarter 1 (April-June) indicate that 65% of staff who responded were either likely or extremely likely to recommend the organisation as a place to receive treatment whilst 62% of staff are either likely or extremely likely to recommend as a place to work.</w:t>
      </w:r>
    </w:p>
    <w:p w:rsidR="008F22EE" w:rsidRPr="008F22EE" w:rsidRDefault="008F22EE" w:rsidP="008F22EE">
      <w:pPr>
        <w:spacing w:after="0"/>
        <w:jc w:val="both"/>
        <w:rPr>
          <w:rFonts w:cstheme="minorHAnsi"/>
          <w:sz w:val="24"/>
          <w:szCs w:val="24"/>
        </w:rPr>
      </w:pPr>
    </w:p>
    <w:p w:rsidR="008F22EE" w:rsidRPr="008F22EE" w:rsidRDefault="008F22EE" w:rsidP="008F22EE">
      <w:pPr>
        <w:spacing w:after="0"/>
        <w:jc w:val="both"/>
        <w:rPr>
          <w:rFonts w:cstheme="minorHAnsi"/>
          <w:sz w:val="24"/>
          <w:szCs w:val="24"/>
        </w:rPr>
      </w:pPr>
      <w:r w:rsidRPr="008F22EE">
        <w:rPr>
          <w:rFonts w:cstheme="minorHAnsi"/>
          <w:sz w:val="24"/>
          <w:szCs w:val="24"/>
        </w:rPr>
        <w:t>National results for Quarter 1 will be published in September this year.</w:t>
      </w:r>
    </w:p>
    <w:p w:rsidR="008F22EE" w:rsidRPr="008F22EE" w:rsidRDefault="008F22EE" w:rsidP="008F22EE">
      <w:pPr>
        <w:spacing w:after="0"/>
        <w:jc w:val="both"/>
        <w:rPr>
          <w:rFonts w:cstheme="minorHAnsi"/>
          <w:sz w:val="24"/>
          <w:szCs w:val="24"/>
        </w:rPr>
      </w:pPr>
    </w:p>
    <w:p w:rsidR="008F22EE" w:rsidRPr="008F22EE" w:rsidRDefault="008F22EE" w:rsidP="008F22EE">
      <w:pPr>
        <w:spacing w:after="0"/>
        <w:jc w:val="both"/>
        <w:rPr>
          <w:rFonts w:cstheme="minorHAnsi"/>
          <w:sz w:val="24"/>
          <w:szCs w:val="24"/>
        </w:rPr>
      </w:pPr>
      <w:r w:rsidRPr="008F22EE">
        <w:rPr>
          <w:rFonts w:cstheme="minorHAnsi"/>
          <w:sz w:val="24"/>
          <w:szCs w:val="24"/>
        </w:rPr>
        <w:t>A further third of our staff will be surveyed in August and these results (Quarter 2) will be available to the Trust at the beginning of October.</w:t>
      </w:r>
    </w:p>
    <w:p w:rsidR="008F22EE" w:rsidRDefault="008F22EE"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p w:rsidR="008F22EE" w:rsidRDefault="008F22EE"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p w:rsidR="008F22EE" w:rsidRDefault="008F22EE"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p w:rsidR="008F22EE" w:rsidRDefault="008F22EE"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p w:rsidR="008F22EE" w:rsidRDefault="008F22EE" w:rsidP="008F22EE">
      <w:pPr>
        <w:widowControl w:val="0"/>
        <w:autoSpaceDE w:val="0"/>
        <w:autoSpaceDN w:val="0"/>
        <w:adjustRightInd w:val="0"/>
        <w:spacing w:after="240" w:line="240" w:lineRule="auto"/>
        <w:jc w:val="both"/>
        <w:rPr>
          <w:rFonts w:asciiTheme="majorHAnsi" w:hAnsiTheme="majorHAnsi" w:cstheme="majorHAnsi"/>
          <w:b/>
          <w:color w:val="21798E" w:themeColor="accent1" w:themeShade="BF"/>
          <w:sz w:val="48"/>
          <w:szCs w:val="48"/>
        </w:rPr>
      </w:pPr>
    </w:p>
    <w:p w:rsidR="004A6B55" w:rsidRDefault="005866E8" w:rsidP="004A6B55">
      <w:pPr>
        <w:pStyle w:val="Heading1"/>
        <w:rPr>
          <w:b w:val="0"/>
        </w:rPr>
      </w:pPr>
      <w:r w:rsidRPr="005866E8">
        <w:rPr>
          <w:noProof/>
        </w:rPr>
        <w:lastRenderedPageBreak/>
        <w:pict>
          <v:roundrect id="_x0000_s1058" style="position:absolute;margin-left:-24pt;margin-top:45.15pt;width:498pt;height:205.2pt;z-index:-25158860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" fillcolor="white [3201]" strokecolor="#79cbdf [1940]" strokeweight="1pt">
            <v:fill color2="#a6dcea [1300]" focus="100%" type="gradient"/>
            <v:shadow on="t" color="#16505e [1604]" opacity=".5" offset="1pt"/>
          </v:roundrect>
        </w:pict>
      </w:r>
      <w:r w:rsidR="004A6B55" w:rsidRPr="00EC07FC">
        <w:rPr>
          <w:sz w:val="56"/>
        </w:rPr>
        <w:t xml:space="preserve">Section </w:t>
      </w:r>
      <w:r w:rsidR="004A6B55">
        <w:rPr>
          <w:sz w:val="56"/>
        </w:rPr>
        <w:t>5 Finance</w:t>
      </w:r>
    </w:p>
    <w:p w:rsidR="001C5D8D" w:rsidRPr="00134925" w:rsidRDefault="004A6B55" w:rsidP="004A6B55">
      <w:pPr>
        <w:pStyle w:val="Heading2"/>
        <w:spacing w:after="100" w:afterAutospacing="1"/>
        <w:jc w:val="both"/>
      </w:pPr>
      <w:r>
        <w:rPr>
          <w:rFonts w:cs="Arial"/>
          <w:sz w:val="22"/>
          <w:szCs w:val="22"/>
        </w:rPr>
        <w:t>4</w:t>
      </w:r>
      <w:r w:rsidRPr="00B944EC">
        <w:rPr>
          <w:rFonts w:cs="Arial"/>
          <w:sz w:val="22"/>
          <w:szCs w:val="22"/>
        </w:rPr>
        <w:t xml:space="preserve">.1 </w:t>
      </w:r>
      <w:r>
        <w:rPr>
          <w:rFonts w:cs="Arial"/>
          <w:sz w:val="22"/>
          <w:szCs w:val="22"/>
        </w:rPr>
        <w:tab/>
      </w:r>
      <w:r w:rsidRPr="00B944EC">
        <w:t xml:space="preserve">Executive Summary Headlines </w:t>
      </w:r>
    </w:p>
    <w:p w:rsidR="001C5D8D" w:rsidRPr="00134925" w:rsidRDefault="001C5D8D" w:rsidP="001C5D8D">
      <w:pPr>
        <w:pStyle w:val="BodyTextIndent"/>
        <w:widowControl/>
        <w:numPr>
          <w:ilvl w:val="0"/>
          <w:numId w:val="32"/>
        </w:numPr>
        <w:autoSpaceDE/>
        <w:autoSpaceDN/>
        <w:adjustRightInd/>
        <w:spacing w:after="240"/>
        <w:ind w:hanging="578"/>
        <w:jc w:val="both"/>
        <w:rPr>
          <w:rFonts w:asciiTheme="minorHAnsi" w:hAnsiTheme="minorHAnsi" w:cs="Arial"/>
        </w:rPr>
      </w:pPr>
      <w:r w:rsidRPr="00134925">
        <w:rPr>
          <w:rFonts w:asciiTheme="minorHAnsi" w:hAnsiTheme="minorHAnsi" w:cs="Arial"/>
        </w:rPr>
        <w:t xml:space="preserve">The financial position at Month 4 is that the Trust is reporting a year to-date deficit of £1,478k which is in line with the plan. </w:t>
      </w:r>
    </w:p>
    <w:p w:rsidR="001C5D8D" w:rsidRPr="00134925" w:rsidRDefault="001C5D8D" w:rsidP="001C5D8D">
      <w:pPr>
        <w:pStyle w:val="BodyTextIndent"/>
        <w:widowControl/>
        <w:numPr>
          <w:ilvl w:val="0"/>
          <w:numId w:val="32"/>
        </w:numPr>
        <w:autoSpaceDE/>
        <w:autoSpaceDN/>
        <w:adjustRightInd/>
        <w:spacing w:after="240"/>
        <w:ind w:hanging="578"/>
        <w:jc w:val="both"/>
        <w:rPr>
          <w:rFonts w:asciiTheme="minorHAnsi" w:hAnsiTheme="minorHAnsi" w:cs="Arial"/>
        </w:rPr>
      </w:pPr>
      <w:r w:rsidRPr="00134925">
        <w:rPr>
          <w:rFonts w:asciiTheme="minorHAnsi" w:hAnsiTheme="minorHAnsi" w:cs="Arial"/>
        </w:rPr>
        <w:t>Overall income is £178k over plan at the end of July.</w:t>
      </w:r>
    </w:p>
    <w:p w:rsidR="001C5D8D" w:rsidRPr="00134925" w:rsidRDefault="001C5D8D" w:rsidP="001C5D8D">
      <w:pPr>
        <w:pStyle w:val="BodyTextIndent"/>
        <w:widowControl/>
        <w:numPr>
          <w:ilvl w:val="0"/>
          <w:numId w:val="32"/>
        </w:numPr>
        <w:autoSpaceDE/>
        <w:autoSpaceDN/>
        <w:adjustRightInd/>
        <w:spacing w:after="240"/>
        <w:ind w:hanging="578"/>
        <w:jc w:val="both"/>
        <w:rPr>
          <w:rFonts w:asciiTheme="minorHAnsi" w:hAnsiTheme="minorHAnsi" w:cs="Arial"/>
        </w:rPr>
      </w:pPr>
      <w:r w:rsidRPr="00134925">
        <w:rPr>
          <w:rFonts w:asciiTheme="minorHAnsi" w:hAnsiTheme="minorHAnsi" w:cs="Arial"/>
        </w:rPr>
        <w:t>Overall expenditure is £178k over plan at the end of July.</w:t>
      </w:r>
    </w:p>
    <w:p w:rsidR="001C5D8D" w:rsidRPr="00134925" w:rsidRDefault="001C5D8D" w:rsidP="001C5D8D">
      <w:pPr>
        <w:pStyle w:val="BodyTextIndent"/>
        <w:widowControl/>
        <w:numPr>
          <w:ilvl w:val="0"/>
          <w:numId w:val="32"/>
        </w:numPr>
        <w:autoSpaceDE/>
        <w:autoSpaceDN/>
        <w:adjustRightInd/>
        <w:spacing w:after="240"/>
        <w:ind w:hanging="578"/>
        <w:jc w:val="both"/>
        <w:rPr>
          <w:rFonts w:asciiTheme="minorHAnsi" w:hAnsiTheme="minorHAnsi" w:cs="Arial"/>
        </w:rPr>
      </w:pPr>
      <w:r w:rsidRPr="00134925">
        <w:rPr>
          <w:rFonts w:asciiTheme="minorHAnsi" w:hAnsiTheme="minorHAnsi" w:cs="Arial"/>
        </w:rPr>
        <w:t xml:space="preserve">The Trusts plan for the year is a deficit budget of £4.95m. </w:t>
      </w:r>
    </w:p>
    <w:p w:rsidR="001C5D8D" w:rsidRPr="00134925" w:rsidRDefault="001C5D8D" w:rsidP="001C5D8D">
      <w:pPr>
        <w:pStyle w:val="Heading3"/>
        <w:spacing w:after="240"/>
        <w:rPr>
          <w:rStyle w:val="IntenseEmphasis"/>
        </w:rPr>
      </w:pPr>
      <w:bookmarkStart w:id="70" w:name="_Toc313625296"/>
      <w:bookmarkStart w:id="71" w:name="_Toc326332015"/>
      <w:bookmarkStart w:id="72" w:name="_Toc339280262"/>
    </w:p>
    <w:p w:rsidR="001C5D8D" w:rsidRPr="004A6B55" w:rsidRDefault="001C5D8D" w:rsidP="001C5D8D">
      <w:pPr>
        <w:pStyle w:val="Heading3"/>
        <w:spacing w:after="240"/>
        <w:jc w:val="both"/>
        <w:rPr>
          <w:b w:val="0"/>
          <w:bCs w:val="0"/>
          <w:i/>
          <w:iCs/>
        </w:rPr>
      </w:pPr>
      <w:bookmarkStart w:id="73" w:name="_Toc388626831"/>
      <w:r w:rsidRPr="004A6B55">
        <w:rPr>
          <w:rStyle w:val="IntenseEmphasis"/>
          <w:b/>
        </w:rPr>
        <w:t>5.1.1 Statement of Comprehensive Income Position to Date</w:t>
      </w:r>
      <w:bookmarkEnd w:id="73"/>
      <w:r w:rsidRPr="004A6B55">
        <w:rPr>
          <w:rStyle w:val="IntenseEmphasis"/>
          <w:b/>
        </w:rPr>
        <w:t xml:space="preserve"> </w:t>
      </w:r>
      <w:bookmarkEnd w:id="70"/>
      <w:bookmarkEnd w:id="71"/>
      <w:bookmarkEnd w:id="72"/>
    </w:p>
    <w:p w:rsidR="001C5D8D" w:rsidRPr="001C5D8D" w:rsidRDefault="001C5D8D" w:rsidP="001C5D8D">
      <w:pPr>
        <w:pStyle w:val="BodyTextIndent"/>
        <w:spacing w:after="240"/>
        <w:jc w:val="both"/>
        <w:rPr>
          <w:rFonts w:asciiTheme="minorHAnsi" w:hAnsiTheme="minorHAnsi" w:cs="Arial"/>
        </w:rPr>
      </w:pPr>
      <w:r w:rsidRPr="001C5D8D">
        <w:rPr>
          <w:rFonts w:asciiTheme="minorHAnsi" w:hAnsiTheme="minorHAnsi" w:cs="Arial"/>
        </w:rPr>
        <w:t>The financial position at Month 4 is that the Trust is reporting a £1,478k deficit which is in line with the annual plan.</w:t>
      </w:r>
    </w:p>
    <w:p w:rsidR="001C5D8D" w:rsidRPr="004A6B55" w:rsidRDefault="001C5D8D" w:rsidP="004A6B55">
      <w:pPr>
        <w:jc w:val="both"/>
        <w:rPr>
          <w:rFonts w:cs="Arial"/>
          <w:sz w:val="24"/>
          <w:szCs w:val="24"/>
        </w:rPr>
      </w:pPr>
      <w:r w:rsidRPr="001C5D8D">
        <w:rPr>
          <w:rFonts w:cs="Arial"/>
          <w:sz w:val="24"/>
          <w:szCs w:val="24"/>
        </w:rPr>
        <w:t xml:space="preserve">Revenue from patient activity is £166k over plan for the 4 months to the end of July 2014. Other sources of income are £12k over plan. </w:t>
      </w:r>
    </w:p>
    <w:p w:rsidR="001C5D8D" w:rsidRPr="004A6B55" w:rsidRDefault="001C5D8D" w:rsidP="004A6B55">
      <w:pPr>
        <w:spacing w:after="240"/>
        <w:jc w:val="both"/>
        <w:rPr>
          <w:rFonts w:cs="Arial"/>
          <w:sz w:val="24"/>
          <w:szCs w:val="24"/>
        </w:rPr>
      </w:pPr>
      <w:r w:rsidRPr="004A6B55">
        <w:rPr>
          <w:rFonts w:cs="Arial"/>
          <w:sz w:val="24"/>
          <w:szCs w:val="24"/>
        </w:rPr>
        <w:t>Overall expenditure for pay, non pay and depreciation is £185k over plan for the 4 months to the end of July.</w:t>
      </w:r>
    </w:p>
    <w:p w:rsidR="001C5D8D" w:rsidRPr="001C5D8D" w:rsidRDefault="001C5D8D" w:rsidP="001C5D8D">
      <w:pPr>
        <w:pStyle w:val="BodyTextIndent"/>
        <w:spacing w:after="240"/>
        <w:ind w:left="5"/>
        <w:jc w:val="both"/>
        <w:rPr>
          <w:rFonts w:asciiTheme="minorHAnsi" w:hAnsiTheme="minorHAnsi"/>
        </w:rPr>
      </w:pPr>
      <w:r w:rsidRPr="001C5D8D">
        <w:rPr>
          <w:rFonts w:asciiTheme="minorHAnsi" w:hAnsiTheme="minorHAnsi" w:cs="Arial"/>
        </w:rPr>
        <w:t xml:space="preserve">The Trust’s Service Improvement Programme (SIP) is below target by £14k with </w:t>
      </w:r>
      <w:r w:rsidRPr="001C5D8D">
        <w:rPr>
          <w:rFonts w:asciiTheme="minorHAnsi" w:hAnsiTheme="minorHAnsi"/>
        </w:rPr>
        <w:t>a year to date achievement of £1,179k against the target of £1,192k.</w:t>
      </w:r>
    </w:p>
    <w:p w:rsidR="001C5D8D" w:rsidRPr="001C5D8D" w:rsidRDefault="001C5D8D" w:rsidP="001C5D8D">
      <w:pPr>
        <w:jc w:val="both"/>
        <w:rPr>
          <w:rStyle w:val="IntenseEmphasis"/>
          <w:b w:val="0"/>
          <w:bCs w:val="0"/>
          <w:i w:val="0"/>
          <w:iCs w:val="0"/>
          <w:sz w:val="24"/>
          <w:szCs w:val="24"/>
        </w:rPr>
      </w:pPr>
      <w:r w:rsidRPr="001C5D8D">
        <w:rPr>
          <w:rFonts w:cs="Arial"/>
          <w:sz w:val="24"/>
          <w:szCs w:val="24"/>
        </w:rPr>
        <w:t xml:space="preserve">The adjusted run rate for expenditure has increased by £251k in July when compared with the June level. </w:t>
      </w:r>
      <w:bookmarkStart w:id="74" w:name="_Toc313625297"/>
      <w:bookmarkStart w:id="75" w:name="_Toc326332016"/>
      <w:bookmarkStart w:id="76" w:name="_Toc339280263"/>
      <w:bookmarkStart w:id="77" w:name="_Toc388626832"/>
    </w:p>
    <w:p w:rsidR="001C5D8D" w:rsidRPr="004A6B55" w:rsidRDefault="001C5D8D" w:rsidP="001C5D8D">
      <w:pPr>
        <w:pStyle w:val="Heading3"/>
        <w:spacing w:after="240"/>
        <w:jc w:val="both"/>
        <w:rPr>
          <w:rStyle w:val="IntenseEmphasis"/>
          <w:b/>
          <w:sz w:val="24"/>
          <w:szCs w:val="24"/>
        </w:rPr>
      </w:pPr>
      <w:r w:rsidRPr="004A6B55">
        <w:rPr>
          <w:rStyle w:val="IntenseEmphasis"/>
          <w:b/>
          <w:sz w:val="24"/>
          <w:szCs w:val="24"/>
        </w:rPr>
        <w:t xml:space="preserve">5.1.2 Statement of Comprehensive Income Position In Month </w:t>
      </w:r>
    </w:p>
    <w:p w:rsidR="001C5D8D" w:rsidRPr="001C5D8D" w:rsidRDefault="001C5D8D" w:rsidP="001C5D8D">
      <w:pPr>
        <w:jc w:val="both"/>
        <w:rPr>
          <w:sz w:val="24"/>
          <w:szCs w:val="24"/>
        </w:rPr>
      </w:pPr>
      <w:r w:rsidRPr="001C5D8D">
        <w:rPr>
          <w:sz w:val="24"/>
          <w:szCs w:val="24"/>
        </w:rPr>
        <w:t>Income from patient care activity is £209k more than plan whilst other sources of income generated £72k more than plan.</w:t>
      </w:r>
    </w:p>
    <w:p w:rsidR="001C5D8D" w:rsidRPr="001C5D8D" w:rsidRDefault="001C5D8D" w:rsidP="001C5D8D">
      <w:pPr>
        <w:pStyle w:val="Default"/>
        <w:jc w:val="both"/>
        <w:rPr>
          <w:rFonts w:asciiTheme="minorHAnsi" w:hAnsiTheme="minorHAnsi"/>
        </w:rPr>
      </w:pPr>
      <w:r w:rsidRPr="001C5D8D">
        <w:rPr>
          <w:rFonts w:asciiTheme="minorHAnsi" w:hAnsiTheme="minorHAnsi"/>
        </w:rPr>
        <w:t>Pay and non pay expenditure, including savings delivery, is £282k over plan for the month of Ju</w:t>
      </w:r>
      <w:bookmarkEnd w:id="74"/>
      <w:bookmarkEnd w:id="75"/>
      <w:bookmarkEnd w:id="76"/>
      <w:bookmarkEnd w:id="77"/>
      <w:r w:rsidRPr="001C5D8D">
        <w:rPr>
          <w:rFonts w:asciiTheme="minorHAnsi" w:hAnsiTheme="minorHAnsi"/>
        </w:rPr>
        <w:t>ly.</w:t>
      </w:r>
    </w:p>
    <w:p w:rsidR="001C5D8D" w:rsidRPr="001C5D8D" w:rsidRDefault="001C5D8D" w:rsidP="001C5D8D">
      <w:pPr>
        <w:pStyle w:val="Default"/>
        <w:jc w:val="both"/>
        <w:rPr>
          <w:rStyle w:val="IntenseEmphasis"/>
          <w:rFonts w:asciiTheme="minorHAnsi" w:hAnsiTheme="minorHAnsi"/>
          <w:b w:val="0"/>
          <w:bCs w:val="0"/>
          <w:i w:val="0"/>
          <w:iCs w:val="0"/>
        </w:rPr>
      </w:pPr>
    </w:p>
    <w:p w:rsidR="001C5D8D" w:rsidRPr="001C5D8D" w:rsidRDefault="001C5D8D" w:rsidP="001C5D8D">
      <w:pPr>
        <w:pStyle w:val="BodyTextIndent"/>
        <w:spacing w:after="240"/>
        <w:ind w:left="5"/>
        <w:jc w:val="both"/>
        <w:rPr>
          <w:rFonts w:asciiTheme="minorHAnsi" w:hAnsiTheme="minorHAnsi"/>
        </w:rPr>
      </w:pPr>
      <w:r w:rsidRPr="001C5D8D">
        <w:rPr>
          <w:rFonts w:asciiTheme="minorHAnsi" w:hAnsiTheme="minorHAnsi" w:cs="Arial"/>
        </w:rPr>
        <w:t xml:space="preserve">The Trust’s Service Improvement Programme (SIP) delivered £338k in July </w:t>
      </w:r>
      <w:r w:rsidRPr="001C5D8D">
        <w:rPr>
          <w:rFonts w:asciiTheme="minorHAnsi" w:hAnsiTheme="minorHAnsi" w:cs="Arial"/>
        </w:rPr>
        <w:lastRenderedPageBreak/>
        <w:t>against a plan of £370k and is now £14k below target for the year to date.</w:t>
      </w:r>
    </w:p>
    <w:p w:rsidR="001C5D8D" w:rsidRPr="004A6B55" w:rsidRDefault="001C5D8D" w:rsidP="001C5D8D">
      <w:pPr>
        <w:pStyle w:val="Heading3"/>
        <w:spacing w:after="240"/>
        <w:jc w:val="both"/>
        <w:rPr>
          <w:rStyle w:val="IntenseEmphasis"/>
          <w:b/>
          <w:bCs/>
          <w:i w:val="0"/>
          <w:iCs w:val="0"/>
          <w:sz w:val="24"/>
          <w:szCs w:val="24"/>
        </w:rPr>
      </w:pPr>
      <w:bookmarkStart w:id="78" w:name="_Toc326332018"/>
      <w:bookmarkStart w:id="79" w:name="_Toc388626833"/>
      <w:bookmarkStart w:id="80" w:name="_Toc313625301"/>
      <w:r w:rsidRPr="004A6B55">
        <w:rPr>
          <w:rStyle w:val="IntenseEmphasis"/>
          <w:b/>
          <w:sz w:val="24"/>
          <w:szCs w:val="24"/>
        </w:rPr>
        <w:t>5.1.3 Cash</w:t>
      </w:r>
      <w:bookmarkEnd w:id="78"/>
      <w:bookmarkEnd w:id="79"/>
      <w:r w:rsidRPr="004A6B55">
        <w:rPr>
          <w:rStyle w:val="IntenseEmphasis"/>
          <w:b/>
          <w:sz w:val="24"/>
          <w:szCs w:val="24"/>
        </w:rPr>
        <w:t xml:space="preserve"> </w:t>
      </w:r>
      <w:bookmarkEnd w:id="80"/>
    </w:p>
    <w:p w:rsidR="001C5D8D" w:rsidRPr="001C5D8D" w:rsidRDefault="001C5D8D" w:rsidP="001C5D8D">
      <w:pPr>
        <w:jc w:val="both"/>
        <w:rPr>
          <w:rFonts w:cs="Arial"/>
          <w:sz w:val="24"/>
          <w:szCs w:val="24"/>
        </w:rPr>
      </w:pPr>
      <w:r w:rsidRPr="001C5D8D">
        <w:rPr>
          <w:rFonts w:cs="Arial"/>
          <w:sz w:val="24"/>
          <w:szCs w:val="24"/>
        </w:rPr>
        <w:t>The cash plan for 2014/15 is to hold a balance of £532k at 31</w:t>
      </w:r>
      <w:r w:rsidRPr="001C5D8D">
        <w:rPr>
          <w:rFonts w:cs="Arial"/>
          <w:sz w:val="24"/>
          <w:szCs w:val="24"/>
          <w:vertAlign w:val="superscript"/>
        </w:rPr>
        <w:t>st</w:t>
      </w:r>
      <w:r w:rsidRPr="001C5D8D">
        <w:rPr>
          <w:rFonts w:cs="Arial"/>
          <w:sz w:val="24"/>
          <w:szCs w:val="24"/>
        </w:rPr>
        <w:t xml:space="preserve"> March 2015 and this will be delivered through the in year management of cash and working balances. The cash balance of £4,269k, as at 31st July, is £2,908k higher than the planned position of £1,361k. </w:t>
      </w:r>
    </w:p>
    <w:p w:rsidR="001C5D8D" w:rsidRPr="001C5D8D" w:rsidRDefault="001C5D8D" w:rsidP="001C5D8D">
      <w:pPr>
        <w:jc w:val="both"/>
        <w:rPr>
          <w:rFonts w:cs="Arial"/>
          <w:sz w:val="24"/>
          <w:szCs w:val="24"/>
        </w:rPr>
      </w:pPr>
      <w:r w:rsidRPr="001C5D8D">
        <w:rPr>
          <w:rFonts w:cs="Arial"/>
          <w:sz w:val="24"/>
          <w:szCs w:val="24"/>
        </w:rPr>
        <w:t xml:space="preserve">The Trust has submitted an application in June 2014 for £4,950k permanent Public Dividend Capital (PDC) Revenue, similar to last financial year. The application was via the NHS Trust Development Authority and to the Independent Trust Financing Facility Committee. We are waiting formal confirmation of approval and this will ensure that there is sufficient cash to pay all commitments in this year. </w:t>
      </w:r>
    </w:p>
    <w:p w:rsidR="001C5D8D" w:rsidRPr="004A6B55" w:rsidRDefault="001C5D8D" w:rsidP="001C5D8D">
      <w:pPr>
        <w:pStyle w:val="Heading3"/>
        <w:spacing w:after="240"/>
        <w:jc w:val="both"/>
        <w:rPr>
          <w:b w:val="0"/>
          <w:sz w:val="24"/>
          <w:szCs w:val="24"/>
        </w:rPr>
      </w:pPr>
      <w:bookmarkStart w:id="81" w:name="_Toc388626834"/>
      <w:r w:rsidRPr="004A6B55">
        <w:rPr>
          <w:rStyle w:val="IntenseEmphasis"/>
          <w:b/>
          <w:sz w:val="24"/>
          <w:szCs w:val="24"/>
        </w:rPr>
        <w:t xml:space="preserve">5.1.4 </w:t>
      </w:r>
      <w:r w:rsidRPr="004A6B55">
        <w:rPr>
          <w:rFonts w:asciiTheme="minorHAnsi" w:hAnsiTheme="minorHAnsi" w:cs="Arial"/>
          <w:sz w:val="24"/>
          <w:szCs w:val="24"/>
        </w:rPr>
        <w:t>External Financing Limit</w:t>
      </w:r>
      <w:bookmarkEnd w:id="81"/>
      <w:r w:rsidRPr="004A6B55">
        <w:rPr>
          <w:rStyle w:val="IntenseEmphasis"/>
          <w:b/>
          <w:sz w:val="24"/>
          <w:szCs w:val="24"/>
        </w:rPr>
        <w:t xml:space="preserve"> </w:t>
      </w:r>
    </w:p>
    <w:p w:rsidR="001C5D8D" w:rsidRPr="001C5D8D" w:rsidRDefault="001C5D8D" w:rsidP="001C5D8D">
      <w:pPr>
        <w:spacing w:after="0"/>
        <w:jc w:val="both"/>
        <w:rPr>
          <w:rFonts w:cs="Arial"/>
          <w:sz w:val="24"/>
          <w:szCs w:val="24"/>
        </w:rPr>
      </w:pPr>
      <w:r w:rsidRPr="001C5D8D">
        <w:rPr>
          <w:rFonts w:cs="Arial"/>
          <w:sz w:val="24"/>
          <w:szCs w:val="24"/>
        </w:rPr>
        <w:t>The Trust’s External Financing Limit will be achieved through the management of cash and working balances along with the planned level of Public Dividend Capital.</w:t>
      </w:r>
    </w:p>
    <w:p w:rsidR="001C5D8D" w:rsidRPr="004A6B55" w:rsidRDefault="001C5D8D" w:rsidP="001C5D8D">
      <w:pPr>
        <w:pStyle w:val="Heading3"/>
        <w:spacing w:after="240"/>
        <w:jc w:val="both"/>
        <w:rPr>
          <w:rStyle w:val="IntenseEmphasis"/>
          <w:b/>
          <w:sz w:val="24"/>
          <w:szCs w:val="24"/>
        </w:rPr>
      </w:pPr>
      <w:bookmarkStart w:id="82" w:name="_Toc313625299"/>
      <w:bookmarkStart w:id="83" w:name="_Toc326332017"/>
      <w:bookmarkStart w:id="84" w:name="_Toc339280264"/>
      <w:bookmarkStart w:id="85" w:name="_Toc388626835"/>
      <w:r w:rsidRPr="004A6B55">
        <w:rPr>
          <w:rStyle w:val="IntenseEmphasis"/>
          <w:b/>
          <w:sz w:val="24"/>
          <w:szCs w:val="24"/>
        </w:rPr>
        <w:t>5.1.5 C</w:t>
      </w:r>
      <w:bookmarkEnd w:id="82"/>
      <w:bookmarkEnd w:id="83"/>
      <w:bookmarkEnd w:id="84"/>
      <w:r w:rsidRPr="004A6B55">
        <w:rPr>
          <w:rStyle w:val="IntenseEmphasis"/>
          <w:b/>
          <w:sz w:val="24"/>
          <w:szCs w:val="24"/>
        </w:rPr>
        <w:t>apital Resource Limit</w:t>
      </w:r>
      <w:bookmarkEnd w:id="85"/>
    </w:p>
    <w:p w:rsidR="001C5D8D" w:rsidRPr="001C5D8D" w:rsidRDefault="001C5D8D" w:rsidP="001C5D8D">
      <w:pPr>
        <w:jc w:val="both"/>
        <w:rPr>
          <w:rFonts w:cs="Arial"/>
          <w:sz w:val="24"/>
          <w:szCs w:val="24"/>
        </w:rPr>
      </w:pPr>
      <w:r w:rsidRPr="001C5D8D">
        <w:rPr>
          <w:rFonts w:cs="Arial"/>
          <w:sz w:val="24"/>
          <w:szCs w:val="24"/>
        </w:rPr>
        <w:t>The capital resource limit is £3,858k an in addition to this the Trust is due to receive £124k matched funding from the NHS Safer Hospital, Safer Wards Technology Fund for the implementation of a new Order Communications system. Therefore the Trust’s anticipated forecast capital resource and spend on capital projects is £3,982k at 31st March 2015.</w:t>
      </w:r>
    </w:p>
    <w:p w:rsidR="001C5D8D" w:rsidRPr="001C5D8D" w:rsidRDefault="001C5D8D" w:rsidP="001C5D8D">
      <w:pPr>
        <w:jc w:val="both"/>
        <w:rPr>
          <w:rFonts w:cs="Arial"/>
          <w:sz w:val="24"/>
          <w:szCs w:val="24"/>
        </w:rPr>
      </w:pPr>
      <w:r w:rsidRPr="001C5D8D">
        <w:rPr>
          <w:rFonts w:cs="Arial"/>
          <w:sz w:val="24"/>
          <w:szCs w:val="24"/>
        </w:rPr>
        <w:t>As at the 31st July the programme has delivered capital expenditure of £78k. The Trust will operate within its Capital Resource Limit and continued capital programme management will enable this to be achieved. There are two approved business cases which will commit the majority of the funding for the year, dependant on the timing of implementation.</w:t>
      </w:r>
    </w:p>
    <w:p w:rsidR="001C5D8D" w:rsidRPr="004A6B55" w:rsidRDefault="001C5D8D" w:rsidP="001C5D8D">
      <w:pPr>
        <w:pStyle w:val="Heading3"/>
        <w:spacing w:after="240"/>
        <w:jc w:val="both"/>
        <w:rPr>
          <w:rStyle w:val="IntenseEmphasis"/>
          <w:b/>
          <w:bCs/>
          <w:i w:val="0"/>
          <w:iCs w:val="0"/>
          <w:sz w:val="24"/>
          <w:szCs w:val="24"/>
        </w:rPr>
      </w:pPr>
      <w:bookmarkStart w:id="86" w:name="_Toc388626836"/>
      <w:r w:rsidRPr="004A6B55">
        <w:rPr>
          <w:rStyle w:val="IntenseEmphasis"/>
          <w:b/>
          <w:sz w:val="24"/>
          <w:szCs w:val="24"/>
        </w:rPr>
        <w:lastRenderedPageBreak/>
        <w:t>5.1.6 Capital Cost Absorption rate</w:t>
      </w:r>
      <w:bookmarkEnd w:id="86"/>
    </w:p>
    <w:p w:rsidR="001C5D8D" w:rsidRPr="001C5D8D" w:rsidRDefault="001C5D8D" w:rsidP="001C5D8D">
      <w:pPr>
        <w:spacing w:before="240"/>
        <w:jc w:val="both"/>
        <w:rPr>
          <w:rFonts w:cs="Arial"/>
          <w:sz w:val="24"/>
          <w:szCs w:val="24"/>
        </w:rPr>
      </w:pPr>
      <w:r w:rsidRPr="001C5D8D">
        <w:rPr>
          <w:rFonts w:cs="Arial"/>
          <w:sz w:val="24"/>
          <w:szCs w:val="24"/>
        </w:rPr>
        <w:t xml:space="preserve">The Trust’s Capital Cost Absorption (CCA) rate is fixed at 3.5% and this will be calculated based on 3.5% of actual balance sheet values at the end of the financial year. </w:t>
      </w:r>
    </w:p>
    <w:p w:rsidR="001C5D8D" w:rsidRPr="004A6B55" w:rsidRDefault="001C5D8D" w:rsidP="001C5D8D">
      <w:pPr>
        <w:pStyle w:val="Heading3"/>
        <w:spacing w:after="240"/>
        <w:jc w:val="both"/>
        <w:rPr>
          <w:rStyle w:val="IntenseEmphasis"/>
          <w:b/>
          <w:bCs/>
          <w:i w:val="0"/>
          <w:iCs w:val="0"/>
          <w:sz w:val="24"/>
          <w:szCs w:val="24"/>
        </w:rPr>
      </w:pPr>
      <w:bookmarkStart w:id="87" w:name="_Toc388626837"/>
      <w:r w:rsidRPr="004A6B55">
        <w:rPr>
          <w:rStyle w:val="IntenseEmphasis"/>
          <w:b/>
          <w:sz w:val="24"/>
          <w:szCs w:val="24"/>
        </w:rPr>
        <w:t>5.1.7 Better Payment Practice Code (BPPC)</w:t>
      </w:r>
      <w:bookmarkEnd w:id="87"/>
      <w:r w:rsidRPr="004A6B55">
        <w:rPr>
          <w:rStyle w:val="IntenseEmphasis"/>
          <w:b/>
          <w:sz w:val="24"/>
          <w:szCs w:val="24"/>
        </w:rPr>
        <w:t xml:space="preserve"> </w:t>
      </w:r>
    </w:p>
    <w:p w:rsidR="001C5D8D" w:rsidRPr="001C5D8D" w:rsidRDefault="001C5D8D" w:rsidP="001C5D8D">
      <w:pPr>
        <w:spacing w:before="240" w:after="0"/>
        <w:jc w:val="both"/>
        <w:rPr>
          <w:rFonts w:cs="Arial"/>
          <w:sz w:val="24"/>
          <w:szCs w:val="24"/>
        </w:rPr>
      </w:pPr>
      <w:r w:rsidRPr="001C5D8D">
        <w:rPr>
          <w:rFonts w:cs="Arial"/>
          <w:sz w:val="24"/>
          <w:szCs w:val="24"/>
        </w:rPr>
        <w:t xml:space="preserve">The Trust’s overall performance as at 31st July is 96.7% on the BPPC. </w:t>
      </w:r>
    </w:p>
    <w:p w:rsidR="001C5D8D" w:rsidRPr="004A6B55" w:rsidRDefault="001C5D8D" w:rsidP="001C5D8D">
      <w:pPr>
        <w:pStyle w:val="Heading3"/>
        <w:spacing w:after="240"/>
        <w:jc w:val="both"/>
        <w:rPr>
          <w:rStyle w:val="IntenseEmphasis"/>
          <w:b/>
          <w:bCs/>
          <w:i w:val="0"/>
          <w:iCs w:val="0"/>
          <w:sz w:val="24"/>
          <w:szCs w:val="24"/>
        </w:rPr>
      </w:pPr>
      <w:bookmarkStart w:id="88" w:name="_Toc388626838"/>
      <w:r w:rsidRPr="004A6B55">
        <w:rPr>
          <w:rStyle w:val="IntenseEmphasis"/>
          <w:b/>
          <w:sz w:val="24"/>
          <w:szCs w:val="24"/>
        </w:rPr>
        <w:t>5.1.8 Forecast outturn</w:t>
      </w:r>
      <w:bookmarkEnd w:id="88"/>
      <w:r w:rsidRPr="004A6B55">
        <w:rPr>
          <w:rStyle w:val="IntenseEmphasis"/>
          <w:b/>
          <w:sz w:val="24"/>
          <w:szCs w:val="24"/>
        </w:rPr>
        <w:t xml:space="preserve"> </w:t>
      </w:r>
    </w:p>
    <w:p w:rsidR="001C5D8D" w:rsidRPr="001C5D8D" w:rsidRDefault="001C5D8D" w:rsidP="001C5D8D">
      <w:pPr>
        <w:pStyle w:val="Default"/>
        <w:jc w:val="both"/>
        <w:rPr>
          <w:rFonts w:asciiTheme="minorHAnsi" w:hAnsiTheme="minorHAnsi" w:cs="Arial"/>
        </w:rPr>
      </w:pPr>
      <w:r w:rsidRPr="001C5D8D">
        <w:rPr>
          <w:rFonts w:asciiTheme="minorHAnsi" w:hAnsiTheme="minorHAnsi" w:cs="Arial"/>
        </w:rPr>
        <w:t>The Trust is forecasting to deliver the plan for the year although this will require delivery of the Trusts savings plans and the continued management of the Trusts services within the available budgets.</w:t>
      </w:r>
    </w:p>
    <w:p w:rsidR="001C5D8D" w:rsidRPr="004A6B55" w:rsidRDefault="001C5D8D" w:rsidP="001C5D8D">
      <w:pPr>
        <w:pStyle w:val="Heading3"/>
        <w:spacing w:after="240"/>
        <w:jc w:val="both"/>
        <w:rPr>
          <w:rStyle w:val="IntenseEmphasis"/>
          <w:b/>
          <w:sz w:val="24"/>
          <w:szCs w:val="24"/>
        </w:rPr>
      </w:pPr>
      <w:bookmarkStart w:id="89" w:name="_Toc388626839"/>
      <w:r w:rsidRPr="004A6B55">
        <w:rPr>
          <w:rStyle w:val="IntenseEmphasis"/>
          <w:b/>
          <w:sz w:val="24"/>
          <w:szCs w:val="24"/>
        </w:rPr>
        <w:t>5.1.9 Risk to delivery of financial plan</w:t>
      </w:r>
      <w:bookmarkEnd w:id="89"/>
    </w:p>
    <w:p w:rsidR="001C5D8D" w:rsidRPr="001C5D8D" w:rsidRDefault="001C5D8D" w:rsidP="001C5D8D">
      <w:pPr>
        <w:pStyle w:val="BodyTextIndent"/>
        <w:spacing w:after="240"/>
        <w:ind w:left="5"/>
        <w:jc w:val="both"/>
        <w:rPr>
          <w:rFonts w:asciiTheme="minorHAnsi" w:hAnsiTheme="minorHAnsi" w:cs="Arial"/>
        </w:rPr>
      </w:pPr>
      <w:r w:rsidRPr="001C5D8D">
        <w:rPr>
          <w:rFonts w:asciiTheme="minorHAnsi" w:hAnsiTheme="minorHAnsi" w:cs="Arial"/>
        </w:rPr>
        <w:t>The major financial risks are the delivery of the £4.5m savings programme, the management of Medical staffing to minimise locum agency expenditure and the delivery of NHS service income in line with plan.</w:t>
      </w:r>
    </w:p>
    <w:p w:rsidR="001C5D8D" w:rsidRPr="001C5D8D" w:rsidRDefault="001C5D8D" w:rsidP="001C5D8D">
      <w:pPr>
        <w:pStyle w:val="Default"/>
        <w:jc w:val="both"/>
      </w:pPr>
    </w:p>
    <w:p w:rsidR="001C5D8D" w:rsidRPr="001C5D8D" w:rsidRDefault="001C5D8D" w:rsidP="001C5D8D">
      <w:pPr>
        <w:pStyle w:val="Default"/>
        <w:jc w:val="both"/>
      </w:pPr>
    </w:p>
    <w:p w:rsidR="001C5D8D" w:rsidRPr="001C5D8D" w:rsidRDefault="001C5D8D" w:rsidP="001C5D8D">
      <w:pPr>
        <w:pStyle w:val="Default"/>
        <w:jc w:val="both"/>
      </w:pPr>
    </w:p>
    <w:p w:rsidR="001C5D8D" w:rsidRPr="001C5D8D" w:rsidRDefault="001C5D8D" w:rsidP="001C5D8D">
      <w:pPr>
        <w:pStyle w:val="Default"/>
        <w:jc w:val="both"/>
        <w:sectPr w:rsidR="001C5D8D" w:rsidRPr="001C5D8D" w:rsidSect="001C5D8D">
          <w:pgSz w:w="11900" w:h="16840"/>
          <w:pgMar w:top="680" w:right="1410" w:bottom="640" w:left="1300" w:header="720" w:footer="115" w:gutter="0"/>
          <w:cols w:space="720"/>
          <w:noEndnote/>
        </w:sectPr>
      </w:pPr>
    </w:p>
    <w:p w:rsidR="001C5D8D" w:rsidRPr="001C5D8D" w:rsidRDefault="001C5D8D" w:rsidP="001C5D8D">
      <w:pPr>
        <w:jc w:val="both"/>
        <w:rPr>
          <w:rStyle w:val="IntenseEmphasis"/>
          <w:rFonts w:eastAsiaTheme="majorEastAsia"/>
          <w:sz w:val="24"/>
          <w:szCs w:val="24"/>
        </w:rPr>
      </w:pPr>
      <w:bookmarkStart w:id="90" w:name="_Toc313625310"/>
      <w:r w:rsidRPr="001C5D8D">
        <w:rPr>
          <w:rStyle w:val="IntenseEmphasis"/>
          <w:rFonts w:eastAsiaTheme="majorEastAsia"/>
          <w:sz w:val="24"/>
          <w:szCs w:val="24"/>
        </w:rPr>
        <w:lastRenderedPageBreak/>
        <w:t xml:space="preserve">Financial Dashboards 2014/15: </w:t>
      </w:r>
      <w:bookmarkEnd w:id="90"/>
      <w:r w:rsidRPr="001C5D8D">
        <w:rPr>
          <w:rStyle w:val="IntenseEmphasis"/>
          <w:rFonts w:eastAsiaTheme="majorEastAsia"/>
          <w:sz w:val="24"/>
          <w:szCs w:val="24"/>
        </w:rPr>
        <w:t>Month 4</w:t>
      </w:r>
    </w:p>
    <w:p w:rsidR="001C5D8D" w:rsidRPr="001C5D8D" w:rsidRDefault="001C5D8D" w:rsidP="001C5D8D">
      <w:pPr>
        <w:pStyle w:val="Default"/>
        <w:jc w:val="both"/>
      </w:pPr>
      <w:r w:rsidRPr="001C5D8D">
        <w:rPr>
          <w:noProof/>
        </w:rPr>
        <w:drawing>
          <wp:inline distT="0" distB="0" distL="0" distR="0">
            <wp:extent cx="9631045" cy="5150839"/>
            <wp:effectExtent l="19050" t="0" r="8255"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cstate="print"/>
                    <a:srcRect/>
                    <a:stretch>
                      <a:fillRect/>
                    </a:stretch>
                  </pic:blipFill>
                  <pic:spPr bwMode="auto">
                    <a:xfrm>
                      <a:off x="0" y="0"/>
                      <a:ext cx="9631045" cy="5150839"/>
                    </a:xfrm>
                    <a:prstGeom prst="rect">
                      <a:avLst/>
                    </a:prstGeom>
                    <a:noFill/>
                    <a:ln w="9525">
                      <a:noFill/>
                      <a:miter lim="800000"/>
                      <a:headEnd/>
                      <a:tailEnd/>
                    </a:ln>
                  </pic:spPr>
                </pic:pic>
              </a:graphicData>
            </a:graphic>
          </wp:inline>
        </w:drawing>
      </w:r>
    </w:p>
    <w:p w:rsidR="001C5D8D" w:rsidRPr="001C5D8D" w:rsidRDefault="001C5D8D" w:rsidP="001C5D8D">
      <w:pPr>
        <w:jc w:val="both"/>
        <w:rPr>
          <w:rStyle w:val="IntenseEmphasis"/>
          <w:rFonts w:eastAsiaTheme="majorEastAsia"/>
          <w:sz w:val="24"/>
          <w:szCs w:val="24"/>
        </w:rPr>
      </w:pPr>
    </w:p>
    <w:p w:rsidR="001C5D8D" w:rsidRPr="001C5D8D" w:rsidRDefault="001C5D8D" w:rsidP="001C5D8D">
      <w:pPr>
        <w:pStyle w:val="Default"/>
        <w:jc w:val="both"/>
        <w:rPr>
          <w:rFonts w:ascii="Arial" w:hAnsi="Arial" w:cs="Arial"/>
        </w:rPr>
      </w:pPr>
    </w:p>
    <w:p w:rsidR="001C5D8D" w:rsidRPr="001C5D8D" w:rsidRDefault="001C5D8D" w:rsidP="001C5D8D">
      <w:pPr>
        <w:jc w:val="both"/>
        <w:rPr>
          <w:rFonts w:ascii="Arial" w:hAnsi="Arial" w:cs="Arial"/>
          <w:sz w:val="24"/>
          <w:szCs w:val="24"/>
        </w:rPr>
        <w:sectPr w:rsidR="001C5D8D" w:rsidRPr="001C5D8D" w:rsidSect="001C5D8D">
          <w:pgSz w:w="16840" w:h="11900" w:orient="landscape"/>
          <w:pgMar w:top="630" w:right="680" w:bottom="990" w:left="993" w:header="720" w:footer="115" w:gutter="0"/>
          <w:cols w:space="720"/>
          <w:noEndnote/>
          <w:docGrid w:linePitch="326"/>
        </w:sectPr>
      </w:pPr>
    </w:p>
    <w:p w:rsidR="001C5D8D" w:rsidRPr="001C5D8D" w:rsidRDefault="001C5D8D" w:rsidP="001C5D8D">
      <w:pPr>
        <w:pStyle w:val="Heading2"/>
        <w:spacing w:before="240"/>
        <w:jc w:val="both"/>
        <w:rPr>
          <w:sz w:val="24"/>
          <w:szCs w:val="24"/>
        </w:rPr>
      </w:pPr>
      <w:bookmarkStart w:id="91" w:name="_Toc388626840"/>
      <w:bookmarkStart w:id="92" w:name="_Toc313625313"/>
      <w:bookmarkStart w:id="93" w:name="_Toc318461793"/>
      <w:bookmarkStart w:id="94" w:name="_Toc326332020"/>
      <w:bookmarkStart w:id="95" w:name="_Toc339280267"/>
      <w:r w:rsidRPr="001C5D8D">
        <w:rPr>
          <w:sz w:val="24"/>
          <w:szCs w:val="24"/>
        </w:rPr>
        <w:lastRenderedPageBreak/>
        <w:t>5.2 The Income and Expenditure Position of the Trust</w:t>
      </w:r>
      <w:bookmarkEnd w:id="91"/>
      <w:r w:rsidRPr="001C5D8D">
        <w:rPr>
          <w:sz w:val="24"/>
          <w:szCs w:val="24"/>
        </w:rPr>
        <w:t xml:space="preserve"> </w:t>
      </w:r>
      <w:bookmarkEnd w:id="92"/>
      <w:bookmarkEnd w:id="93"/>
      <w:bookmarkEnd w:id="94"/>
      <w:bookmarkEnd w:id="95"/>
    </w:p>
    <w:p w:rsidR="001C5D8D" w:rsidRPr="001C5D8D" w:rsidRDefault="001C5D8D" w:rsidP="001C5D8D">
      <w:pPr>
        <w:pStyle w:val="BodyTextIndent"/>
        <w:spacing w:before="240"/>
        <w:jc w:val="both"/>
        <w:rPr>
          <w:rFonts w:asciiTheme="minorHAnsi" w:hAnsiTheme="minorHAnsi" w:cs="Arial"/>
        </w:rPr>
      </w:pPr>
      <w:r w:rsidRPr="001C5D8D">
        <w:rPr>
          <w:rFonts w:asciiTheme="minorHAnsi" w:hAnsiTheme="minorHAnsi" w:cs="Arial"/>
          <w:b/>
        </w:rPr>
        <w:t>5.2.1</w:t>
      </w:r>
      <w:r w:rsidRPr="001C5D8D">
        <w:rPr>
          <w:rFonts w:asciiTheme="minorHAnsi" w:hAnsiTheme="minorHAnsi" w:cs="Arial"/>
        </w:rPr>
        <w:t xml:space="preserve"> The financial position at Month 4 is a deficit of £1,478k, which is in line with the plan.</w:t>
      </w:r>
    </w:p>
    <w:p w:rsidR="001C5D8D" w:rsidRPr="001C5D8D" w:rsidRDefault="001C5D8D" w:rsidP="001C5D8D">
      <w:pPr>
        <w:pStyle w:val="Heading2"/>
        <w:spacing w:before="240"/>
        <w:jc w:val="both"/>
        <w:rPr>
          <w:sz w:val="24"/>
          <w:szCs w:val="24"/>
        </w:rPr>
      </w:pPr>
      <w:bookmarkStart w:id="96" w:name="_Toc388626841"/>
      <w:r w:rsidRPr="001C5D8D">
        <w:rPr>
          <w:sz w:val="24"/>
          <w:szCs w:val="24"/>
        </w:rPr>
        <w:t>5.3 Expenditure</w:t>
      </w:r>
      <w:bookmarkEnd w:id="96"/>
    </w:p>
    <w:p w:rsidR="001C5D8D" w:rsidRPr="001C5D8D" w:rsidRDefault="001C5D8D" w:rsidP="001C5D8D">
      <w:pPr>
        <w:pStyle w:val="BodyTextIndent"/>
        <w:spacing w:before="240"/>
        <w:jc w:val="both"/>
        <w:rPr>
          <w:rFonts w:asciiTheme="minorHAnsi" w:hAnsiTheme="minorHAnsi" w:cs="Arial"/>
        </w:rPr>
      </w:pPr>
      <w:bookmarkStart w:id="97" w:name="_Toc313625318"/>
      <w:r w:rsidRPr="001C5D8D">
        <w:rPr>
          <w:rFonts w:asciiTheme="minorHAnsi" w:hAnsiTheme="minorHAnsi" w:cs="Arial"/>
          <w:b/>
        </w:rPr>
        <w:t>5.3.1</w:t>
      </w:r>
      <w:r w:rsidRPr="001C5D8D">
        <w:rPr>
          <w:rFonts w:asciiTheme="minorHAnsi" w:hAnsiTheme="minorHAnsi" w:cs="Arial"/>
        </w:rPr>
        <w:t xml:space="preserve"> The main points are:</w:t>
      </w:r>
    </w:p>
    <w:p w:rsidR="001C5D8D" w:rsidRPr="001C5D8D" w:rsidRDefault="001C5D8D" w:rsidP="001C5D8D">
      <w:pPr>
        <w:pStyle w:val="BodyTextIndent"/>
        <w:widowControl/>
        <w:numPr>
          <w:ilvl w:val="0"/>
          <w:numId w:val="5"/>
        </w:numPr>
        <w:tabs>
          <w:tab w:val="clear" w:pos="360"/>
          <w:tab w:val="num" w:pos="644"/>
        </w:tabs>
        <w:autoSpaceDE/>
        <w:autoSpaceDN/>
        <w:adjustRightInd/>
        <w:spacing w:before="240"/>
        <w:ind w:left="644"/>
        <w:jc w:val="both"/>
        <w:rPr>
          <w:rFonts w:asciiTheme="minorHAnsi" w:hAnsiTheme="minorHAnsi" w:cs="Arial"/>
        </w:rPr>
      </w:pPr>
      <w:r w:rsidRPr="001C5D8D">
        <w:rPr>
          <w:rFonts w:asciiTheme="minorHAnsi" w:hAnsiTheme="minorHAnsi" w:cs="Arial"/>
        </w:rPr>
        <w:t>The position is that o</w:t>
      </w:r>
      <w:r w:rsidRPr="001C5D8D">
        <w:rPr>
          <w:rFonts w:asciiTheme="minorHAnsi" w:hAnsiTheme="minorHAnsi" w:cs="Arial"/>
          <w:bCs/>
        </w:rPr>
        <w:t>verall the Trust has overspent the expenditure budgets by £185k which includes under delivery of Savings (SIP) of £14k.</w:t>
      </w:r>
    </w:p>
    <w:p w:rsidR="001C5D8D" w:rsidRPr="001C5D8D" w:rsidRDefault="001C5D8D" w:rsidP="001C5D8D">
      <w:pPr>
        <w:pStyle w:val="BodyTextIndent"/>
        <w:widowControl/>
        <w:numPr>
          <w:ilvl w:val="0"/>
          <w:numId w:val="5"/>
        </w:numPr>
        <w:tabs>
          <w:tab w:val="clear" w:pos="360"/>
          <w:tab w:val="num" w:pos="644"/>
        </w:tabs>
        <w:autoSpaceDE/>
        <w:autoSpaceDN/>
        <w:adjustRightInd/>
        <w:spacing w:before="240"/>
        <w:ind w:left="644"/>
        <w:jc w:val="both"/>
        <w:rPr>
          <w:rFonts w:asciiTheme="minorHAnsi" w:hAnsiTheme="minorHAnsi" w:cs="Arial"/>
        </w:rPr>
      </w:pPr>
      <w:r w:rsidRPr="001C5D8D">
        <w:rPr>
          <w:rFonts w:asciiTheme="minorHAnsi" w:hAnsiTheme="minorHAnsi" w:cs="Arial"/>
        </w:rPr>
        <w:t>Pay expenditure is higher than budgeted with an overspend of £128k. The staff category with the highest overspend at the end of July was Nursing (£152k), this was due to an increase in annual leave plus a small increase in vacancies resulting in a significant increase in agency expenditure. This overspend was offset by an underspend in the following categories AHP’s (£153k), Admin and Clerical (£83k) and Biomedical Scientists (£50k).</w:t>
      </w:r>
    </w:p>
    <w:p w:rsidR="001C5D8D" w:rsidRPr="001C5D8D" w:rsidRDefault="001C5D8D" w:rsidP="001C5D8D">
      <w:pPr>
        <w:pStyle w:val="BodyTextIndent"/>
        <w:widowControl/>
        <w:numPr>
          <w:ilvl w:val="0"/>
          <w:numId w:val="5"/>
        </w:numPr>
        <w:tabs>
          <w:tab w:val="clear" w:pos="360"/>
          <w:tab w:val="num" w:pos="644"/>
        </w:tabs>
        <w:autoSpaceDE/>
        <w:autoSpaceDN/>
        <w:adjustRightInd/>
        <w:spacing w:before="240"/>
        <w:ind w:left="644"/>
        <w:jc w:val="both"/>
        <w:rPr>
          <w:rFonts w:asciiTheme="minorHAnsi" w:hAnsiTheme="minorHAnsi" w:cs="Arial"/>
        </w:rPr>
      </w:pPr>
      <w:r w:rsidRPr="001C5D8D">
        <w:rPr>
          <w:rFonts w:asciiTheme="minorHAnsi" w:hAnsiTheme="minorHAnsi" w:cs="Arial"/>
        </w:rPr>
        <w:t xml:space="preserve">Non pay expenditure is £57k over budget at the end of July, including the underachievement of savings. There are underspends on Training (£52k), Office Equipment (£39k), Rent &amp; Rates (£24k) and Blood Products (£33k), offset by overspends on Internal recharges (£41k), Linen &amp; Laundry (£40k), Management Consultants (£38k) and Utilities (£34k). </w:t>
      </w:r>
    </w:p>
    <w:p w:rsidR="001C5D8D" w:rsidRPr="001C5D8D" w:rsidRDefault="001C5D8D" w:rsidP="001C5D8D">
      <w:pPr>
        <w:pStyle w:val="ListParagraph"/>
        <w:widowControl w:val="0"/>
        <w:numPr>
          <w:ilvl w:val="0"/>
          <w:numId w:val="5"/>
        </w:numPr>
        <w:tabs>
          <w:tab w:val="clear" w:pos="360"/>
          <w:tab w:val="num" w:pos="644"/>
        </w:tabs>
        <w:autoSpaceDE w:val="0"/>
        <w:autoSpaceDN w:val="0"/>
        <w:adjustRightInd w:val="0"/>
        <w:spacing w:before="240" w:after="240" w:line="240" w:lineRule="auto"/>
        <w:ind w:left="644"/>
        <w:contextualSpacing w:val="0"/>
        <w:jc w:val="both"/>
        <w:rPr>
          <w:rFonts w:cs="Arial"/>
          <w:bCs/>
          <w:sz w:val="24"/>
          <w:szCs w:val="24"/>
        </w:rPr>
      </w:pPr>
      <w:r w:rsidRPr="001C5D8D">
        <w:rPr>
          <w:rFonts w:cs="Arial"/>
          <w:sz w:val="24"/>
          <w:szCs w:val="24"/>
        </w:rPr>
        <w:t>Bank and agency expenditure on Nursing increased in July. In month the nurse agency expenditure increased significantly, despite the reduction in bed capacity as part of the savings programme, to £110k (up from £45k in June) and nursing bank reduced slightly to £127k (down from £130k).</w:t>
      </w:r>
    </w:p>
    <w:p w:rsidR="001C5D8D" w:rsidRPr="001C5D8D" w:rsidRDefault="001C5D8D" w:rsidP="001C5D8D">
      <w:pPr>
        <w:pStyle w:val="ListParagraph"/>
        <w:widowControl w:val="0"/>
        <w:numPr>
          <w:ilvl w:val="0"/>
          <w:numId w:val="5"/>
        </w:numPr>
        <w:tabs>
          <w:tab w:val="clear" w:pos="360"/>
          <w:tab w:val="num" w:pos="644"/>
        </w:tabs>
        <w:autoSpaceDE w:val="0"/>
        <w:autoSpaceDN w:val="0"/>
        <w:adjustRightInd w:val="0"/>
        <w:spacing w:before="240" w:after="240" w:line="240" w:lineRule="auto"/>
        <w:ind w:left="644"/>
        <w:contextualSpacing w:val="0"/>
        <w:jc w:val="both"/>
        <w:rPr>
          <w:rFonts w:cs="Arial"/>
          <w:bCs/>
          <w:sz w:val="24"/>
          <w:szCs w:val="24"/>
        </w:rPr>
      </w:pPr>
      <w:r w:rsidRPr="001C5D8D">
        <w:rPr>
          <w:rFonts w:cs="Arial"/>
          <w:sz w:val="24"/>
          <w:szCs w:val="24"/>
        </w:rPr>
        <w:t xml:space="preserve">In recent months the Trust has an increasing number of Medical staff vacancies which has led to an increase in the use of Agency locums to cover the Trusts regular bed base. In July £294k was spent, up from £250k in June, the highest level required to cover the regular bed base during the last 2 years. Some of this locum expenditure is offset by the medical staff vacancy savings particularly in ED where there are a total of 9 vacant posts (a £95k under spend in month) and Medicine where there are a further 11 vacancies (£75k under spend in July).   </w:t>
      </w:r>
    </w:p>
    <w:p w:rsidR="001C5D8D" w:rsidRPr="001C5D8D" w:rsidRDefault="001C5D8D" w:rsidP="001C5D8D">
      <w:pPr>
        <w:spacing w:before="240" w:after="240"/>
        <w:ind w:left="284"/>
        <w:jc w:val="both"/>
        <w:rPr>
          <w:rFonts w:cs="Arial"/>
          <w:bCs/>
          <w:sz w:val="24"/>
          <w:szCs w:val="24"/>
        </w:rPr>
      </w:pPr>
      <w:r w:rsidRPr="001C5D8D">
        <w:rPr>
          <w:rFonts w:cs="Arial"/>
          <w:b/>
          <w:bCs/>
          <w:sz w:val="24"/>
          <w:szCs w:val="24"/>
        </w:rPr>
        <w:lastRenderedPageBreak/>
        <w:t xml:space="preserve">5.3.2 </w:t>
      </w:r>
      <w:r w:rsidRPr="001C5D8D">
        <w:rPr>
          <w:rFonts w:cs="Arial"/>
          <w:bCs/>
          <w:sz w:val="24"/>
          <w:szCs w:val="24"/>
        </w:rPr>
        <w:t xml:space="preserve">At Month 4 the main points for the Divisional and Corporate performance are as </w:t>
      </w:r>
      <w:r w:rsidRPr="001C5D8D">
        <w:rPr>
          <w:rFonts w:cs="Arial"/>
          <w:bCs/>
          <w:sz w:val="24"/>
          <w:szCs w:val="24"/>
        </w:rPr>
        <w:tab/>
        <w:t>follows:</w:t>
      </w:r>
    </w:p>
    <w:p w:rsidR="001C5D8D" w:rsidRPr="001C5D8D" w:rsidRDefault="001C5D8D" w:rsidP="001C5D8D">
      <w:pPr>
        <w:pStyle w:val="ListParagraph"/>
        <w:numPr>
          <w:ilvl w:val="0"/>
          <w:numId w:val="18"/>
        </w:numPr>
        <w:spacing w:before="240" w:after="240"/>
        <w:jc w:val="both"/>
        <w:rPr>
          <w:rFonts w:cs="Arial"/>
          <w:sz w:val="24"/>
          <w:szCs w:val="24"/>
        </w:rPr>
      </w:pPr>
      <w:r w:rsidRPr="001C5D8D">
        <w:rPr>
          <w:rFonts w:cs="Arial"/>
          <w:sz w:val="24"/>
          <w:szCs w:val="24"/>
        </w:rPr>
        <w:t>The Emergency Division has underspent by £51k year to date. Of this, Pay expenditure is overspent by £119k whilst Non Pay is underspent by £110k. There is SIP over delivery of £59k.  The Pay overspend is mainly due to Medical Staffing (£59k), Uphill (£55k), Kewstoke (£40k) and ED (£39k), offset by an underspend on Pathology (£39k).  The Non Pay underspend is mainly due to a saving on drugs (£90k).</w:t>
      </w:r>
    </w:p>
    <w:p w:rsidR="001C5D8D" w:rsidRPr="001C5D8D" w:rsidRDefault="001C5D8D" w:rsidP="001C5D8D">
      <w:pPr>
        <w:pStyle w:val="ListParagraph"/>
        <w:numPr>
          <w:ilvl w:val="0"/>
          <w:numId w:val="18"/>
        </w:numPr>
        <w:spacing w:before="240" w:after="240"/>
        <w:jc w:val="both"/>
        <w:rPr>
          <w:rFonts w:cs="Arial"/>
          <w:sz w:val="24"/>
          <w:szCs w:val="24"/>
        </w:rPr>
      </w:pPr>
      <w:r w:rsidRPr="001C5D8D">
        <w:rPr>
          <w:rFonts w:cs="Arial"/>
          <w:sz w:val="24"/>
          <w:szCs w:val="24"/>
        </w:rPr>
        <w:t>The Planned care Division has overspent by £214k year to date. The pay overspend is £34k whilst non pay is overspent by £149k. The divisional income is £18k above the planned level. The SIP underachievement is £49k. The non pay overspend is mainly on drugs (£88k) and Theatres (£52k) offset by savings on Radiography (£32k), PPU (£30k) and Blood (£10k)</w:t>
      </w:r>
    </w:p>
    <w:p w:rsidR="001C5D8D" w:rsidRPr="001C5D8D" w:rsidRDefault="001C5D8D" w:rsidP="001C5D8D">
      <w:pPr>
        <w:pStyle w:val="ListParagraph"/>
        <w:numPr>
          <w:ilvl w:val="0"/>
          <w:numId w:val="18"/>
        </w:numPr>
        <w:spacing w:before="240" w:after="240"/>
        <w:jc w:val="both"/>
        <w:rPr>
          <w:rFonts w:cs="Arial"/>
          <w:sz w:val="24"/>
          <w:szCs w:val="24"/>
        </w:rPr>
      </w:pPr>
      <w:r w:rsidRPr="001C5D8D">
        <w:rPr>
          <w:rFonts w:cs="Arial"/>
          <w:sz w:val="24"/>
          <w:szCs w:val="24"/>
        </w:rPr>
        <w:t>The Estates and Facilities Division has overspent by £94k at the end of month 4, mainly due to savings non-delivery of £47k, a Pay overspend of £30k and a Non pay overspend of £23k.  The Divisional income is £7k above plan.  The Pay overspend is due to Housekeeping additional hours (£26k) and Property Services having to employ agency cover for a vacancy (£11k).  The non pay overspend is mainly on Utilities (£30k) and Property Services (£5k) offset by an underspend on Rates (£14k).</w:t>
      </w:r>
    </w:p>
    <w:p w:rsidR="001C5D8D" w:rsidRPr="001C5D8D" w:rsidRDefault="001C5D8D" w:rsidP="001C5D8D">
      <w:pPr>
        <w:pStyle w:val="ListParagraph"/>
        <w:numPr>
          <w:ilvl w:val="0"/>
          <w:numId w:val="18"/>
        </w:numPr>
        <w:spacing w:before="240" w:after="240"/>
        <w:jc w:val="both"/>
        <w:rPr>
          <w:rFonts w:cs="Arial"/>
          <w:sz w:val="24"/>
          <w:szCs w:val="24"/>
        </w:rPr>
      </w:pPr>
      <w:r w:rsidRPr="001C5D8D">
        <w:rPr>
          <w:rFonts w:cs="Arial"/>
          <w:sz w:val="24"/>
          <w:szCs w:val="24"/>
        </w:rPr>
        <w:t>The Corporate Departments have underspent by £119k year to date.</w:t>
      </w:r>
    </w:p>
    <w:p w:rsidR="001C5D8D" w:rsidRPr="001C5D8D" w:rsidRDefault="001C5D8D" w:rsidP="001C5D8D">
      <w:pPr>
        <w:pStyle w:val="Default"/>
        <w:jc w:val="both"/>
        <w:rPr>
          <w:rFonts w:asciiTheme="minorHAnsi" w:hAnsiTheme="minorHAnsi" w:cs="Arial"/>
          <w:color w:val="auto"/>
        </w:rPr>
      </w:pPr>
      <w:r w:rsidRPr="001C5D8D">
        <w:rPr>
          <w:rFonts w:asciiTheme="minorHAnsi" w:hAnsiTheme="minorHAnsi" w:cs="Arial"/>
          <w:color w:val="auto"/>
        </w:rPr>
        <w:t>Reserves have been deployed to cover spend where there are agreed allocations such as the cover of Medical agency premiums and agreed waiting list initiatives.</w:t>
      </w:r>
    </w:p>
    <w:p w:rsidR="001C5D8D" w:rsidRPr="001C5D8D" w:rsidRDefault="001C5D8D" w:rsidP="001C5D8D">
      <w:pPr>
        <w:pStyle w:val="BodyTextIndent"/>
        <w:tabs>
          <w:tab w:val="left" w:pos="0"/>
        </w:tabs>
        <w:spacing w:before="240"/>
        <w:jc w:val="both"/>
        <w:rPr>
          <w:rFonts w:asciiTheme="minorHAnsi" w:hAnsiTheme="minorHAnsi" w:cs="Arial"/>
        </w:rPr>
      </w:pPr>
      <w:r w:rsidRPr="001C5D8D">
        <w:rPr>
          <w:rFonts w:asciiTheme="minorHAnsi" w:hAnsiTheme="minorHAnsi" w:cs="Arial"/>
          <w:b/>
          <w:bCs/>
        </w:rPr>
        <w:t xml:space="preserve">5.3.3 </w:t>
      </w:r>
      <w:r w:rsidRPr="001C5D8D">
        <w:rPr>
          <w:rFonts w:asciiTheme="minorHAnsi" w:hAnsiTheme="minorHAnsi" w:cs="Arial"/>
          <w:b/>
          <w:bCs/>
        </w:rPr>
        <w:tab/>
      </w:r>
      <w:r w:rsidR="004A6B55">
        <w:rPr>
          <w:rFonts w:asciiTheme="minorHAnsi" w:hAnsiTheme="minorHAnsi" w:cs="Arial"/>
          <w:b/>
          <w:bCs/>
        </w:rPr>
        <w:t xml:space="preserve"> </w:t>
      </w:r>
      <w:r w:rsidRPr="001C5D8D">
        <w:rPr>
          <w:rFonts w:asciiTheme="minorHAnsi" w:hAnsiTheme="minorHAnsi"/>
        </w:rPr>
        <w:t>The Trusts expenditure run-rate information has been rebased to neutralise the affect on both expenditure and budgets for variations in monthly NICE funded drugs expenditure which has no overall impact on the Trusts net financial position. There have also been some amendments for one-off exceptional items.</w:t>
      </w:r>
      <w:r w:rsidRPr="001C5D8D">
        <w:rPr>
          <w:rFonts w:asciiTheme="minorHAnsi" w:hAnsiTheme="minorHAnsi" w:cs="Arial"/>
          <w:bCs/>
        </w:rPr>
        <w:t xml:space="preserve"> The Trust’s expenditure run rate is shown in the table below compared to the adjusted expenditure level for each month of 2013/14.</w:t>
      </w:r>
      <w:r w:rsidRPr="001C5D8D">
        <w:rPr>
          <w:rFonts w:asciiTheme="minorHAnsi" w:hAnsiTheme="minorHAnsi" w:cs="Arial"/>
        </w:rPr>
        <w:t xml:space="preserve"> </w:t>
      </w:r>
    </w:p>
    <w:p w:rsidR="001C5D8D" w:rsidRPr="001C5D8D" w:rsidRDefault="001C5D8D" w:rsidP="001C5D8D">
      <w:pPr>
        <w:pStyle w:val="Default"/>
        <w:jc w:val="both"/>
      </w:pPr>
    </w:p>
    <w:p w:rsidR="001C5D8D" w:rsidRPr="001C5D8D" w:rsidRDefault="001C5D8D" w:rsidP="001C5D8D">
      <w:pPr>
        <w:pStyle w:val="Default"/>
        <w:jc w:val="both"/>
        <w:rPr>
          <w:rFonts w:asciiTheme="minorHAnsi" w:hAnsiTheme="minorHAnsi" w:cs="Arial"/>
        </w:rPr>
      </w:pPr>
      <w:r w:rsidRPr="001C5D8D">
        <w:rPr>
          <w:noProof/>
        </w:rPr>
        <w:lastRenderedPageBreak/>
        <w:drawing>
          <wp:inline distT="0" distB="0" distL="0" distR="0">
            <wp:extent cx="5705475" cy="3629025"/>
            <wp:effectExtent l="19050" t="0" r="9525" b="0"/>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cstate="print"/>
                    <a:stretch>
                      <a:fillRect/>
                    </a:stretch>
                  </pic:blipFill>
                  <pic:spPr>
                    <a:xfrm>
                      <a:off x="0" y="0"/>
                      <a:ext cx="5704014" cy="3628096"/>
                    </a:xfrm>
                    <a:prstGeom prst="rect">
                      <a:avLst/>
                    </a:prstGeom>
                  </pic:spPr>
                </pic:pic>
              </a:graphicData>
            </a:graphic>
          </wp:inline>
        </w:drawing>
      </w:r>
      <w:r w:rsidRPr="001C5D8D">
        <w:rPr>
          <w:rFonts w:asciiTheme="minorHAnsi" w:hAnsiTheme="minorHAnsi" w:cs="Arial"/>
        </w:rPr>
        <w:t xml:space="preserve"> The budgeted adjusted run rate for July is £7.685m. The adjusted expenditure run rate has increased in July by £251k, from £7.690m in June to £7.941m in July. </w:t>
      </w:r>
    </w:p>
    <w:p w:rsidR="001C5D8D" w:rsidRPr="004A6B55" w:rsidRDefault="001C5D8D" w:rsidP="001C5D8D">
      <w:pPr>
        <w:pStyle w:val="Default"/>
        <w:jc w:val="both"/>
        <w:rPr>
          <w:rFonts w:asciiTheme="minorHAnsi" w:hAnsiTheme="minorHAnsi" w:cs="Arial"/>
          <w:sz w:val="14"/>
        </w:rPr>
      </w:pPr>
    </w:p>
    <w:p w:rsidR="001C5D8D" w:rsidRPr="001C5D8D" w:rsidRDefault="001C5D8D" w:rsidP="001C5D8D">
      <w:pPr>
        <w:pStyle w:val="Default"/>
        <w:jc w:val="both"/>
        <w:rPr>
          <w:rFonts w:asciiTheme="minorHAnsi" w:hAnsiTheme="minorHAnsi" w:cs="Arial"/>
        </w:rPr>
      </w:pPr>
      <w:r w:rsidRPr="001C5D8D">
        <w:rPr>
          <w:rFonts w:asciiTheme="minorHAnsi" w:hAnsiTheme="minorHAnsi" w:cs="Arial"/>
        </w:rPr>
        <w:t>The main increases were against the following categories –Drugs £143k, Medical staffing £53k, Nursing £34k.</w:t>
      </w:r>
    </w:p>
    <w:p w:rsidR="001C5D8D" w:rsidRPr="001C5D8D" w:rsidRDefault="001C5D8D" w:rsidP="001C5D8D">
      <w:pPr>
        <w:pStyle w:val="Heading2"/>
        <w:spacing w:before="240" w:after="240"/>
        <w:jc w:val="both"/>
        <w:rPr>
          <w:sz w:val="24"/>
          <w:szCs w:val="24"/>
        </w:rPr>
      </w:pPr>
      <w:bookmarkStart w:id="98" w:name="_Toc313625319"/>
      <w:bookmarkStart w:id="99" w:name="_Toc318461794"/>
      <w:bookmarkStart w:id="100" w:name="_Toc326332021"/>
      <w:bookmarkStart w:id="101" w:name="_Toc339280268"/>
      <w:bookmarkStart w:id="102" w:name="_Toc388626842"/>
      <w:bookmarkEnd w:id="97"/>
      <w:r w:rsidRPr="001C5D8D">
        <w:rPr>
          <w:sz w:val="24"/>
          <w:szCs w:val="24"/>
        </w:rPr>
        <w:t>5.</w:t>
      </w:r>
      <w:r w:rsidRPr="001C5D8D">
        <w:rPr>
          <w:noProof/>
          <w:sz w:val="24"/>
          <w:szCs w:val="24"/>
        </w:rPr>
        <w:t xml:space="preserve"> 4</w:t>
      </w:r>
      <w:r w:rsidRPr="001C5D8D">
        <w:rPr>
          <w:sz w:val="24"/>
          <w:szCs w:val="24"/>
        </w:rPr>
        <w:t xml:space="preserve"> Savings Plans (SIP)</w:t>
      </w:r>
      <w:bookmarkEnd w:id="98"/>
      <w:bookmarkEnd w:id="99"/>
      <w:bookmarkEnd w:id="100"/>
      <w:bookmarkEnd w:id="101"/>
      <w:bookmarkEnd w:id="102"/>
      <w:r w:rsidRPr="001C5D8D">
        <w:rPr>
          <w:sz w:val="24"/>
          <w:szCs w:val="24"/>
        </w:rPr>
        <w:t xml:space="preserve"> </w:t>
      </w:r>
    </w:p>
    <w:p w:rsidR="001C5D8D" w:rsidRPr="001C5D8D" w:rsidRDefault="001C5D8D" w:rsidP="001C5D8D">
      <w:pPr>
        <w:pStyle w:val="BodyTextIndent"/>
        <w:spacing w:before="240" w:after="240"/>
        <w:jc w:val="both"/>
      </w:pPr>
      <w:r w:rsidRPr="001C5D8D">
        <w:rPr>
          <w:rFonts w:asciiTheme="minorHAnsi" w:hAnsiTheme="minorHAnsi" w:cs="Arial"/>
          <w:b/>
          <w:bCs/>
        </w:rPr>
        <w:t>5.4.1</w:t>
      </w:r>
      <w:r w:rsidRPr="001C5D8D">
        <w:rPr>
          <w:rFonts w:asciiTheme="minorHAnsi" w:hAnsiTheme="minorHAnsi"/>
          <w:b/>
          <w:bCs/>
        </w:rPr>
        <w:t xml:space="preserve"> </w:t>
      </w:r>
      <w:r w:rsidRPr="001C5D8D">
        <w:rPr>
          <w:rFonts w:asciiTheme="minorHAnsi" w:hAnsiTheme="minorHAnsi" w:cs="Arial"/>
          <w:bCs/>
        </w:rPr>
        <w:t>The Trust</w:t>
      </w:r>
      <w:r w:rsidRPr="001C5D8D">
        <w:rPr>
          <w:rFonts w:asciiTheme="minorHAnsi" w:hAnsiTheme="minorHAnsi" w:cs="Arial"/>
          <w:b/>
          <w:bCs/>
        </w:rPr>
        <w:t xml:space="preserve"> </w:t>
      </w:r>
      <w:r w:rsidRPr="001C5D8D">
        <w:rPr>
          <w:rFonts w:asciiTheme="minorHAnsi" w:hAnsiTheme="minorHAnsi" w:cs="Arial"/>
          <w:bCs/>
        </w:rPr>
        <w:t xml:space="preserve">has a savings requirement of £4,500k for the year which represents 4.45% of expenditure budgets. </w:t>
      </w:r>
      <w:r w:rsidRPr="001C5D8D">
        <w:rPr>
          <w:rFonts w:asciiTheme="minorHAnsi" w:hAnsiTheme="minorHAnsi" w:cs="Arial"/>
        </w:rPr>
        <w:t>Savings plans have delivered £1,179k against the profiled plan of £1,192k for the four months, an under-delivery of £14k. Of the SIP savings delivered £729k is from recurrent schemes and £450k from non-recurrent schemes. In month the Trust delivered £338k against the £370k required. The</w:t>
      </w:r>
      <w:r w:rsidRPr="001C5D8D">
        <w:rPr>
          <w:rFonts w:asciiTheme="minorHAnsi" w:hAnsiTheme="minorHAnsi"/>
        </w:rPr>
        <w:t xml:space="preserve"> Trusts performance against its monthly SIP savings requirement is shown below along with the monthly phased plan.</w:t>
      </w:r>
    </w:p>
    <w:p w:rsidR="001C5D8D" w:rsidRPr="001C5D8D" w:rsidRDefault="001C5D8D" w:rsidP="001C5D8D">
      <w:pPr>
        <w:pStyle w:val="Default"/>
        <w:jc w:val="both"/>
        <w:rPr>
          <w:rFonts w:asciiTheme="minorHAnsi" w:hAnsiTheme="minorHAnsi" w:cs="Arial"/>
          <w:color w:val="auto"/>
        </w:rPr>
      </w:pPr>
      <w:r w:rsidRPr="001C5D8D">
        <w:rPr>
          <w:rFonts w:asciiTheme="minorHAnsi" w:hAnsiTheme="minorHAnsi" w:cs="Arial"/>
          <w:color w:val="auto"/>
        </w:rPr>
        <w:t>The Trust will take actions to ensure that the savings plans are implemented and milestones are met, with mitigating action taken where needed, to maximise the delivery of savings. Progress of individual schemes will be reviewed at the monthly Business plan delivery meetings.</w:t>
      </w:r>
    </w:p>
    <w:p w:rsidR="001C5D8D" w:rsidRPr="001C5D8D" w:rsidRDefault="001C5D8D" w:rsidP="001C5D8D">
      <w:pPr>
        <w:pStyle w:val="Default"/>
        <w:jc w:val="both"/>
        <w:rPr>
          <w:rFonts w:asciiTheme="minorHAnsi" w:hAnsiTheme="minorHAnsi" w:cs="Arial"/>
          <w:color w:val="auto"/>
        </w:rPr>
      </w:pPr>
    </w:p>
    <w:p w:rsidR="001C5D8D" w:rsidRPr="001C5D8D" w:rsidRDefault="001C5D8D" w:rsidP="001C5D8D">
      <w:pPr>
        <w:pStyle w:val="Default"/>
        <w:jc w:val="both"/>
        <w:rPr>
          <w:rFonts w:asciiTheme="minorHAnsi" w:hAnsiTheme="minorHAnsi" w:cs="Arial"/>
          <w:color w:val="auto"/>
        </w:rPr>
      </w:pPr>
    </w:p>
    <w:p w:rsidR="001C5D8D" w:rsidRPr="001C5D8D" w:rsidRDefault="001C5D8D" w:rsidP="001C5D8D">
      <w:pPr>
        <w:pStyle w:val="Default"/>
        <w:jc w:val="both"/>
      </w:pPr>
      <w:r w:rsidRPr="001C5D8D">
        <w:rPr>
          <w:noProof/>
        </w:rPr>
        <w:lastRenderedPageBreak/>
        <w:drawing>
          <wp:inline distT="0" distB="0" distL="0" distR="0">
            <wp:extent cx="5800725" cy="3162300"/>
            <wp:effectExtent l="19050" t="0" r="9525" b="0"/>
            <wp:docPr id="2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cstate="print"/>
                    <a:stretch>
                      <a:fillRect/>
                    </a:stretch>
                  </pic:blipFill>
                  <pic:spPr>
                    <a:xfrm>
                      <a:off x="0" y="0"/>
                      <a:ext cx="5806973" cy="3165706"/>
                    </a:xfrm>
                    <a:prstGeom prst="rect">
                      <a:avLst/>
                    </a:prstGeom>
                  </pic:spPr>
                </pic:pic>
              </a:graphicData>
            </a:graphic>
          </wp:inline>
        </w:drawing>
      </w:r>
    </w:p>
    <w:p w:rsidR="001C5D8D" w:rsidRPr="001C5D8D" w:rsidRDefault="001C5D8D" w:rsidP="001C5D8D">
      <w:pPr>
        <w:pStyle w:val="Default"/>
        <w:jc w:val="both"/>
      </w:pPr>
    </w:p>
    <w:p w:rsidR="001C5D8D" w:rsidRPr="001C5D8D" w:rsidRDefault="001C5D8D" w:rsidP="001C5D8D">
      <w:pPr>
        <w:pStyle w:val="Heading2"/>
        <w:spacing w:before="240" w:after="240"/>
        <w:jc w:val="both"/>
        <w:rPr>
          <w:sz w:val="24"/>
          <w:szCs w:val="24"/>
        </w:rPr>
      </w:pPr>
      <w:bookmarkStart w:id="103" w:name="_GoBack"/>
      <w:bookmarkStart w:id="104" w:name="_Toc388626843"/>
      <w:bookmarkEnd w:id="103"/>
      <w:r w:rsidRPr="001C5D8D">
        <w:rPr>
          <w:sz w:val="24"/>
          <w:szCs w:val="24"/>
        </w:rPr>
        <w:t>5.</w:t>
      </w:r>
      <w:r w:rsidRPr="001C5D8D">
        <w:rPr>
          <w:noProof/>
          <w:sz w:val="24"/>
          <w:szCs w:val="24"/>
        </w:rPr>
        <w:t xml:space="preserve"> 5</w:t>
      </w:r>
      <w:r w:rsidRPr="001C5D8D">
        <w:rPr>
          <w:sz w:val="24"/>
          <w:szCs w:val="24"/>
        </w:rPr>
        <w:t xml:space="preserve"> Activity and Income</w:t>
      </w:r>
      <w:bookmarkEnd w:id="104"/>
      <w:r w:rsidRPr="001C5D8D">
        <w:rPr>
          <w:sz w:val="24"/>
          <w:szCs w:val="24"/>
        </w:rPr>
        <w:t xml:space="preserve"> </w:t>
      </w:r>
    </w:p>
    <w:p w:rsidR="001C5D8D" w:rsidRPr="001C5D8D" w:rsidRDefault="001C5D8D" w:rsidP="001C5D8D">
      <w:pPr>
        <w:pStyle w:val="ListParagraph"/>
        <w:widowControl w:val="0"/>
        <w:numPr>
          <w:ilvl w:val="2"/>
          <w:numId w:val="33"/>
        </w:numPr>
        <w:autoSpaceDE w:val="0"/>
        <w:autoSpaceDN w:val="0"/>
        <w:adjustRightInd w:val="0"/>
        <w:spacing w:after="0" w:line="240" w:lineRule="auto"/>
        <w:contextualSpacing w:val="0"/>
        <w:jc w:val="both"/>
        <w:rPr>
          <w:rFonts w:cs="Arial"/>
          <w:sz w:val="24"/>
          <w:szCs w:val="24"/>
        </w:rPr>
      </w:pPr>
      <w:r w:rsidRPr="001C5D8D">
        <w:rPr>
          <w:rFonts w:cs="Arial"/>
          <w:sz w:val="24"/>
          <w:szCs w:val="24"/>
        </w:rPr>
        <w:t>Overall patient activity income is assessed at £166k above plan at the end of July 2014. This will include the impact of the RTT additional work that has been commissioned by the CCG and which will be separately identified as we conclude the work.</w:t>
      </w:r>
    </w:p>
    <w:p w:rsidR="001C5D8D" w:rsidRPr="00E13819" w:rsidRDefault="001C5D8D" w:rsidP="001C5D8D">
      <w:pPr>
        <w:pStyle w:val="Default"/>
        <w:jc w:val="both"/>
        <w:rPr>
          <w:sz w:val="12"/>
        </w:rPr>
      </w:pPr>
    </w:p>
    <w:p w:rsidR="001C5D8D" w:rsidRPr="001C5D8D" w:rsidRDefault="001C5D8D" w:rsidP="001C5D8D">
      <w:pPr>
        <w:pStyle w:val="ListParagraph"/>
        <w:numPr>
          <w:ilvl w:val="0"/>
          <w:numId w:val="6"/>
        </w:numPr>
        <w:jc w:val="both"/>
        <w:rPr>
          <w:rFonts w:cs="Arial"/>
          <w:sz w:val="24"/>
          <w:szCs w:val="24"/>
        </w:rPr>
      </w:pPr>
      <w:r w:rsidRPr="001C5D8D">
        <w:rPr>
          <w:rFonts w:cs="Arial"/>
          <w:sz w:val="24"/>
          <w:szCs w:val="24"/>
        </w:rPr>
        <w:t>Income related to North Somerset CCG contract is £224k under plan and private patients is £57k under plan.</w:t>
      </w:r>
    </w:p>
    <w:p w:rsidR="001C5D8D" w:rsidRPr="00E13819" w:rsidRDefault="001C5D8D" w:rsidP="001C5D8D">
      <w:pPr>
        <w:pStyle w:val="Default"/>
        <w:jc w:val="both"/>
        <w:rPr>
          <w:sz w:val="2"/>
        </w:rPr>
      </w:pPr>
    </w:p>
    <w:p w:rsidR="001C5D8D" w:rsidRPr="001C5D8D" w:rsidRDefault="001C5D8D" w:rsidP="001C5D8D">
      <w:pPr>
        <w:pStyle w:val="ListParagraph"/>
        <w:numPr>
          <w:ilvl w:val="0"/>
          <w:numId w:val="6"/>
        </w:numPr>
        <w:jc w:val="both"/>
        <w:rPr>
          <w:rFonts w:cs="Arial"/>
          <w:sz w:val="24"/>
          <w:szCs w:val="24"/>
        </w:rPr>
      </w:pPr>
      <w:r w:rsidRPr="001C5D8D">
        <w:rPr>
          <w:rFonts w:cs="Arial"/>
          <w:sz w:val="24"/>
          <w:szCs w:val="24"/>
        </w:rPr>
        <w:t>Income related to the NHS Somerset contract is £147k over plan, other CCG patient care activities is £88k over plan, Specialist services contract is £183k over plan and Local authorities is £29k over plan.</w:t>
      </w:r>
    </w:p>
    <w:p w:rsidR="001C5D8D" w:rsidRPr="001C5D8D" w:rsidRDefault="001C5D8D" w:rsidP="001C5D8D">
      <w:pPr>
        <w:ind w:left="218"/>
        <w:contextualSpacing/>
        <w:jc w:val="both"/>
        <w:rPr>
          <w:sz w:val="24"/>
          <w:szCs w:val="24"/>
        </w:rPr>
      </w:pPr>
      <w:r w:rsidRPr="001C5D8D">
        <w:rPr>
          <w:noProof/>
          <w:sz w:val="24"/>
          <w:szCs w:val="24"/>
        </w:rPr>
        <w:lastRenderedPageBreak/>
        <w:drawing>
          <wp:inline distT="0" distB="0" distL="0" distR="0">
            <wp:extent cx="5454692" cy="5419725"/>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52357" cy="5417405"/>
                    </a:xfrm>
                    <a:prstGeom prst="rect">
                      <a:avLst/>
                    </a:prstGeom>
                    <a:noFill/>
                    <a:ln>
                      <a:noFill/>
                    </a:ln>
                  </pic:spPr>
                </pic:pic>
              </a:graphicData>
            </a:graphic>
          </wp:inline>
        </w:drawing>
      </w: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p>
    <w:p w:rsidR="001C5D8D" w:rsidRPr="001C5D8D" w:rsidRDefault="001C5D8D" w:rsidP="001C5D8D">
      <w:pPr>
        <w:jc w:val="both"/>
        <w:rPr>
          <w:sz w:val="24"/>
          <w:szCs w:val="24"/>
        </w:rPr>
      </w:pPr>
      <w:r w:rsidRPr="001C5D8D">
        <w:rPr>
          <w:sz w:val="24"/>
          <w:szCs w:val="24"/>
        </w:rPr>
        <w:t>Significant volume variations in performance are shown in the table below:</w:t>
      </w:r>
    </w:p>
    <w:p w:rsidR="001C5D8D" w:rsidRPr="001C5D8D" w:rsidRDefault="001C5D8D" w:rsidP="001C5D8D">
      <w:pPr>
        <w:pStyle w:val="Default"/>
        <w:jc w:val="both"/>
      </w:pPr>
    </w:p>
    <w:p w:rsidR="001C5D8D" w:rsidRPr="001C5D8D" w:rsidRDefault="001C5D8D" w:rsidP="00AA70AE">
      <w:pPr>
        <w:pStyle w:val="Default"/>
        <w:jc w:val="center"/>
        <w:rPr>
          <w:rFonts w:asciiTheme="minorHAnsi" w:hAnsiTheme="minorHAnsi"/>
        </w:rPr>
      </w:pPr>
      <w:r w:rsidRPr="001C5D8D">
        <w:rPr>
          <w:noProof/>
        </w:rPr>
        <w:drawing>
          <wp:inline distT="0" distB="0" distL="0" distR="0">
            <wp:extent cx="4529469" cy="7922095"/>
            <wp:effectExtent l="19050" t="0" r="4431" b="0"/>
            <wp:docPr id="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32386" cy="7927197"/>
                    </a:xfrm>
                    <a:prstGeom prst="rect">
                      <a:avLst/>
                    </a:prstGeom>
                    <a:noFill/>
                    <a:ln>
                      <a:noFill/>
                    </a:ln>
                  </pic:spPr>
                </pic:pic>
              </a:graphicData>
            </a:graphic>
          </wp:inline>
        </w:drawing>
      </w:r>
    </w:p>
    <w:p w:rsidR="001C5D8D" w:rsidRPr="001C5D8D" w:rsidRDefault="001C5D8D" w:rsidP="001C5D8D">
      <w:pPr>
        <w:pStyle w:val="Default"/>
        <w:jc w:val="both"/>
        <w:rPr>
          <w:rFonts w:asciiTheme="minorHAnsi" w:hAnsiTheme="minorHAnsi"/>
        </w:rPr>
      </w:pPr>
    </w:p>
    <w:p w:rsidR="001C5D8D" w:rsidRPr="001C5D8D" w:rsidRDefault="001C5D8D" w:rsidP="001C5D8D">
      <w:pPr>
        <w:pStyle w:val="Default"/>
        <w:jc w:val="both"/>
        <w:rPr>
          <w:rFonts w:asciiTheme="minorHAnsi" w:hAnsiTheme="minorHAnsi" w:cs="Arial"/>
        </w:rPr>
      </w:pPr>
      <w:r w:rsidRPr="001C5D8D">
        <w:rPr>
          <w:rFonts w:asciiTheme="minorHAnsi" w:hAnsiTheme="minorHAnsi" w:cs="Arial"/>
          <w:b/>
          <w:bCs/>
        </w:rPr>
        <w:lastRenderedPageBreak/>
        <w:t xml:space="preserve">5.5.2   </w:t>
      </w:r>
      <w:r w:rsidRPr="001C5D8D">
        <w:rPr>
          <w:rFonts w:asciiTheme="minorHAnsi" w:hAnsiTheme="minorHAnsi" w:cs="Arial"/>
          <w:bCs/>
        </w:rPr>
        <w:t>The</w:t>
      </w:r>
      <w:r w:rsidRPr="001C5D8D">
        <w:rPr>
          <w:rFonts w:asciiTheme="minorHAnsi" w:hAnsiTheme="minorHAnsi" w:cs="Arial"/>
        </w:rPr>
        <w:t xml:space="preserve"> following table shows the overall activity for the period ended 31st July 2014:</w:t>
      </w:r>
    </w:p>
    <w:p w:rsidR="001C5D8D" w:rsidRPr="001C5D8D" w:rsidRDefault="001C5D8D" w:rsidP="001C5D8D">
      <w:pPr>
        <w:pStyle w:val="Default"/>
        <w:jc w:val="both"/>
        <w:rPr>
          <w:rFonts w:asciiTheme="minorHAnsi" w:hAnsiTheme="minorHAnsi" w:cs="Arial"/>
        </w:rPr>
      </w:pPr>
    </w:p>
    <w:p w:rsidR="001C5D8D" w:rsidRPr="001C5D8D" w:rsidRDefault="001C5D8D" w:rsidP="001C5D8D">
      <w:pPr>
        <w:pStyle w:val="Default"/>
        <w:jc w:val="both"/>
        <w:rPr>
          <w:rFonts w:asciiTheme="minorHAnsi" w:hAnsiTheme="minorHAnsi" w:cs="Arial"/>
        </w:rPr>
      </w:pPr>
      <w:r w:rsidRPr="001C5D8D">
        <w:rPr>
          <w:noProof/>
        </w:rPr>
        <w:drawing>
          <wp:inline distT="0" distB="0" distL="0" distR="0">
            <wp:extent cx="5724525" cy="2752725"/>
            <wp:effectExtent l="0" t="0" r="0" b="0"/>
            <wp:docPr id="4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4525" cy="2752725"/>
                    </a:xfrm>
                    <a:prstGeom prst="rect">
                      <a:avLst/>
                    </a:prstGeom>
                    <a:noFill/>
                    <a:ln>
                      <a:noFill/>
                    </a:ln>
                  </pic:spPr>
                </pic:pic>
              </a:graphicData>
            </a:graphic>
          </wp:inline>
        </w:drawing>
      </w:r>
    </w:p>
    <w:p w:rsidR="001C5D8D" w:rsidRPr="001C5D8D" w:rsidRDefault="001C5D8D" w:rsidP="001C5D8D">
      <w:pPr>
        <w:pStyle w:val="Heading2"/>
        <w:spacing w:before="240" w:after="240"/>
        <w:jc w:val="both"/>
        <w:rPr>
          <w:sz w:val="24"/>
          <w:szCs w:val="24"/>
        </w:rPr>
      </w:pPr>
      <w:bookmarkStart w:id="105" w:name="_Toc388626844"/>
      <w:r w:rsidRPr="001C5D8D">
        <w:rPr>
          <w:sz w:val="24"/>
          <w:szCs w:val="24"/>
        </w:rPr>
        <w:t>5.6 CQUINS</w:t>
      </w:r>
      <w:bookmarkEnd w:id="105"/>
      <w:r w:rsidRPr="001C5D8D">
        <w:rPr>
          <w:sz w:val="24"/>
          <w:szCs w:val="24"/>
        </w:rPr>
        <w:t xml:space="preserve"> </w:t>
      </w:r>
    </w:p>
    <w:p w:rsidR="001C5D8D" w:rsidRPr="001C5D8D" w:rsidRDefault="001C5D8D" w:rsidP="001C5D8D">
      <w:pPr>
        <w:spacing w:after="0"/>
        <w:jc w:val="both"/>
        <w:rPr>
          <w:rFonts w:cs="Arial"/>
          <w:sz w:val="24"/>
          <w:szCs w:val="24"/>
        </w:rPr>
      </w:pPr>
      <w:r w:rsidRPr="001C5D8D">
        <w:rPr>
          <w:rFonts w:cs="Arial"/>
          <w:b/>
          <w:sz w:val="24"/>
          <w:szCs w:val="24"/>
        </w:rPr>
        <w:t>5.6.1</w:t>
      </w:r>
      <w:r w:rsidRPr="001C5D8D">
        <w:rPr>
          <w:rFonts w:cs="Arial"/>
          <w:sz w:val="24"/>
          <w:szCs w:val="24"/>
        </w:rPr>
        <w:t xml:space="preserve"> </w:t>
      </w:r>
      <w:r w:rsidRPr="001C5D8D">
        <w:rPr>
          <w:sz w:val="24"/>
          <w:szCs w:val="24"/>
        </w:rPr>
        <w:t>A provision of £100k (16.0%) for CQUIN’s has been included in month 4 as a potential income underachievement and it will be reviewed during the year.</w:t>
      </w:r>
      <w:r w:rsidRPr="001C5D8D">
        <w:rPr>
          <w:rFonts w:cs="Arial"/>
          <w:sz w:val="24"/>
          <w:szCs w:val="24"/>
        </w:rPr>
        <w:t xml:space="preserve"> </w:t>
      </w:r>
    </w:p>
    <w:p w:rsidR="001C5D8D" w:rsidRPr="001C5D8D" w:rsidRDefault="001C5D8D" w:rsidP="001C5D8D">
      <w:pPr>
        <w:pStyle w:val="Heading2"/>
        <w:spacing w:before="240" w:after="240"/>
        <w:jc w:val="both"/>
        <w:rPr>
          <w:sz w:val="24"/>
          <w:szCs w:val="24"/>
        </w:rPr>
      </w:pPr>
      <w:bookmarkStart w:id="106" w:name="_Toc388626845"/>
      <w:r w:rsidRPr="001C5D8D">
        <w:rPr>
          <w:sz w:val="24"/>
          <w:szCs w:val="24"/>
        </w:rPr>
        <w:t>5.7 Penalties</w:t>
      </w:r>
      <w:bookmarkEnd w:id="106"/>
    </w:p>
    <w:p w:rsidR="001C5D8D" w:rsidRPr="001C5D8D" w:rsidRDefault="001C5D8D" w:rsidP="001C5D8D">
      <w:pPr>
        <w:pStyle w:val="Default"/>
        <w:jc w:val="both"/>
        <w:rPr>
          <w:rFonts w:asciiTheme="minorHAnsi" w:hAnsiTheme="minorHAnsi"/>
        </w:rPr>
      </w:pPr>
      <w:r w:rsidRPr="001C5D8D">
        <w:rPr>
          <w:rFonts w:asciiTheme="minorHAnsi" w:hAnsiTheme="minorHAnsi" w:cs="Arial"/>
          <w:b/>
        </w:rPr>
        <w:t>5.7.1</w:t>
      </w:r>
      <w:r w:rsidRPr="001C5D8D">
        <w:rPr>
          <w:rFonts w:asciiTheme="minorHAnsi" w:hAnsiTheme="minorHAnsi" w:cs="Arial"/>
        </w:rPr>
        <w:t xml:space="preserve"> </w:t>
      </w:r>
      <w:r w:rsidRPr="001C5D8D">
        <w:rPr>
          <w:rFonts w:asciiTheme="minorHAnsi" w:hAnsiTheme="minorHAnsi"/>
        </w:rPr>
        <w:t xml:space="preserve">A provision of £44,000 for fines has been included as an estimate of the potential penalties for the period ending 31st July 2014 for Referral to Treatment, Cancer access, Emergency Department 4 &amp; 12 hour waits and Ambulance handovers. The detailed assessment is shown in the table below. This will be updated as the validation of performance in these areas is finalised.   </w:t>
      </w:r>
    </w:p>
    <w:p w:rsidR="001C5D8D" w:rsidRPr="001C5D8D" w:rsidRDefault="001C5D8D" w:rsidP="001C5D8D">
      <w:pPr>
        <w:pStyle w:val="Default"/>
        <w:jc w:val="both"/>
        <w:rPr>
          <w:rFonts w:asciiTheme="minorHAnsi" w:hAnsiTheme="minorHAnsi"/>
        </w:rPr>
        <w:sectPr w:rsidR="001C5D8D" w:rsidRPr="001C5D8D" w:rsidSect="001C5D8D">
          <w:pgSz w:w="11900" w:h="16840"/>
          <w:pgMar w:top="680" w:right="1410" w:bottom="640" w:left="1300" w:header="720" w:footer="115" w:gutter="0"/>
          <w:cols w:space="720"/>
          <w:noEndnote/>
        </w:sectPr>
      </w:pPr>
    </w:p>
    <w:p w:rsidR="001C5D8D" w:rsidRPr="001C5D8D" w:rsidRDefault="001C5D8D" w:rsidP="001C5D8D">
      <w:pPr>
        <w:jc w:val="both"/>
        <w:rPr>
          <w:noProof/>
          <w:sz w:val="24"/>
          <w:szCs w:val="24"/>
        </w:rPr>
      </w:pPr>
      <w:r w:rsidRPr="001C5D8D">
        <w:rPr>
          <w:noProof/>
          <w:sz w:val="24"/>
          <w:szCs w:val="24"/>
        </w:rPr>
        <w:lastRenderedPageBreak/>
        <w:drawing>
          <wp:inline distT="0" distB="0" distL="0" distR="0">
            <wp:extent cx="9779000" cy="5490426"/>
            <wp:effectExtent l="0" t="0" r="0" b="0"/>
            <wp:docPr id="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9000" cy="5490426"/>
                    </a:xfrm>
                    <a:prstGeom prst="rect">
                      <a:avLst/>
                    </a:prstGeom>
                    <a:noFill/>
                    <a:ln>
                      <a:noFill/>
                    </a:ln>
                  </pic:spPr>
                </pic:pic>
              </a:graphicData>
            </a:graphic>
          </wp:inline>
        </w:drawing>
      </w:r>
    </w:p>
    <w:p w:rsidR="001C5D8D" w:rsidRPr="001C5D8D" w:rsidRDefault="001C5D8D" w:rsidP="001C5D8D">
      <w:pPr>
        <w:jc w:val="both"/>
        <w:rPr>
          <w:sz w:val="24"/>
          <w:szCs w:val="24"/>
        </w:rPr>
      </w:pPr>
      <w:r w:rsidRPr="001C5D8D">
        <w:rPr>
          <w:sz w:val="24"/>
          <w:szCs w:val="24"/>
        </w:rPr>
        <w:br w:type="page"/>
      </w:r>
    </w:p>
    <w:p w:rsidR="001C5D8D" w:rsidRPr="001C5D8D" w:rsidRDefault="001C5D8D" w:rsidP="001C5D8D">
      <w:pPr>
        <w:jc w:val="both"/>
        <w:rPr>
          <w:sz w:val="24"/>
          <w:szCs w:val="24"/>
        </w:rPr>
      </w:pPr>
      <w:r w:rsidRPr="001C5D8D">
        <w:rPr>
          <w:b/>
          <w:sz w:val="24"/>
          <w:szCs w:val="24"/>
        </w:rPr>
        <w:lastRenderedPageBreak/>
        <w:t>Referral to Treatment penalty by specialty</w:t>
      </w:r>
    </w:p>
    <w:p w:rsidR="001C5D8D" w:rsidRPr="001C5D8D" w:rsidRDefault="001C5D8D" w:rsidP="001C5D8D">
      <w:pPr>
        <w:pStyle w:val="NoSpacing"/>
        <w:jc w:val="both"/>
      </w:pPr>
      <w:r w:rsidRPr="001C5D8D">
        <w:rPr>
          <w:noProof/>
        </w:rPr>
        <w:drawing>
          <wp:inline distT="0" distB="0" distL="0" distR="0">
            <wp:extent cx="9779000" cy="5374517"/>
            <wp:effectExtent l="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779000" cy="5374517"/>
                    </a:xfrm>
                    <a:prstGeom prst="rect">
                      <a:avLst/>
                    </a:prstGeom>
                    <a:noFill/>
                    <a:ln>
                      <a:noFill/>
                    </a:ln>
                  </pic:spPr>
                </pic:pic>
              </a:graphicData>
            </a:graphic>
          </wp:inline>
        </w:drawing>
      </w:r>
    </w:p>
    <w:p w:rsidR="001C5D8D" w:rsidRPr="001C5D8D" w:rsidRDefault="001C5D8D" w:rsidP="001C5D8D">
      <w:pPr>
        <w:pStyle w:val="NoSpacing"/>
        <w:jc w:val="both"/>
        <w:sectPr w:rsidR="001C5D8D" w:rsidRPr="001C5D8D" w:rsidSect="001C5D8D">
          <w:pgSz w:w="16840" w:h="11900" w:orient="landscape"/>
          <w:pgMar w:top="720" w:right="720" w:bottom="720" w:left="720" w:header="720" w:footer="115" w:gutter="0"/>
          <w:cols w:space="720"/>
          <w:noEndnote/>
          <w:docGrid w:linePitch="326"/>
        </w:sectPr>
      </w:pPr>
    </w:p>
    <w:p w:rsidR="001C5D8D" w:rsidRPr="001C5D8D" w:rsidRDefault="001C5D8D" w:rsidP="001C5D8D">
      <w:pPr>
        <w:pStyle w:val="Default"/>
        <w:jc w:val="both"/>
        <w:rPr>
          <w:rFonts w:asciiTheme="minorHAnsi" w:hAnsiTheme="minorHAnsi"/>
        </w:rPr>
      </w:pPr>
    </w:p>
    <w:p w:rsidR="001C5D8D" w:rsidRPr="001C5D8D" w:rsidRDefault="001C5D8D" w:rsidP="001C5D8D">
      <w:pPr>
        <w:pStyle w:val="Heading2"/>
        <w:spacing w:before="240" w:after="240"/>
        <w:jc w:val="both"/>
        <w:rPr>
          <w:sz w:val="24"/>
          <w:szCs w:val="24"/>
        </w:rPr>
      </w:pPr>
      <w:bookmarkStart w:id="107" w:name="_Toc388626846"/>
      <w:bookmarkStart w:id="108" w:name="_Toc318461795"/>
      <w:bookmarkStart w:id="109" w:name="_Toc326332022"/>
      <w:bookmarkStart w:id="110" w:name="_Toc339280269"/>
      <w:bookmarkStart w:id="111" w:name="_Toc313625320"/>
      <w:r w:rsidRPr="001C5D8D">
        <w:rPr>
          <w:sz w:val="24"/>
          <w:szCs w:val="24"/>
        </w:rPr>
        <w:t>5.8 Statement of Financial Position</w:t>
      </w:r>
      <w:bookmarkEnd w:id="107"/>
      <w:r w:rsidRPr="001C5D8D">
        <w:rPr>
          <w:sz w:val="24"/>
          <w:szCs w:val="24"/>
        </w:rPr>
        <w:t xml:space="preserve"> </w:t>
      </w:r>
      <w:bookmarkEnd w:id="108"/>
      <w:bookmarkEnd w:id="109"/>
      <w:bookmarkEnd w:id="110"/>
      <w:bookmarkEnd w:id="111"/>
    </w:p>
    <w:p w:rsidR="001C5D8D" w:rsidRPr="001C5D8D" w:rsidRDefault="001C5D8D" w:rsidP="001C5D8D">
      <w:pPr>
        <w:spacing w:before="240" w:after="240"/>
        <w:jc w:val="both"/>
        <w:rPr>
          <w:rFonts w:cs="Arial"/>
          <w:b/>
          <w:sz w:val="24"/>
          <w:szCs w:val="24"/>
        </w:rPr>
      </w:pPr>
      <w:r w:rsidRPr="001C5D8D">
        <w:rPr>
          <w:rFonts w:cs="Arial"/>
          <w:b/>
          <w:bCs/>
          <w:sz w:val="24"/>
          <w:szCs w:val="24"/>
        </w:rPr>
        <w:t xml:space="preserve">5.8.1 </w:t>
      </w:r>
      <w:r w:rsidRPr="001C5D8D">
        <w:rPr>
          <w:rFonts w:cs="Arial"/>
          <w:bCs/>
          <w:sz w:val="24"/>
          <w:szCs w:val="24"/>
        </w:rPr>
        <w:t xml:space="preserve">The Trust’s </w:t>
      </w:r>
      <w:r w:rsidRPr="001C5D8D">
        <w:rPr>
          <w:rFonts w:cs="Arial"/>
          <w:sz w:val="24"/>
          <w:szCs w:val="24"/>
        </w:rPr>
        <w:t>main accounting statements are shown in the appendices of this report and see Appendix B for the Statement of Financial Position as at 31st July 2014.</w:t>
      </w:r>
    </w:p>
    <w:p w:rsidR="001C5D8D" w:rsidRPr="001C5D8D" w:rsidRDefault="001C5D8D" w:rsidP="001C5D8D">
      <w:pPr>
        <w:pStyle w:val="Heading4"/>
        <w:spacing w:before="240" w:after="240"/>
        <w:jc w:val="both"/>
      </w:pPr>
      <w:r w:rsidRPr="001C5D8D">
        <w:t>Cash</w:t>
      </w:r>
    </w:p>
    <w:p w:rsidR="001C5D8D" w:rsidRPr="001C5D8D" w:rsidRDefault="001C5D8D" w:rsidP="001C5D8D">
      <w:pPr>
        <w:spacing w:before="240" w:after="240"/>
        <w:jc w:val="both"/>
        <w:rPr>
          <w:rFonts w:cs="Arial"/>
          <w:sz w:val="24"/>
          <w:szCs w:val="24"/>
        </w:rPr>
      </w:pPr>
      <w:r w:rsidRPr="001C5D8D">
        <w:rPr>
          <w:rFonts w:cs="Arial"/>
          <w:b/>
          <w:bCs/>
          <w:sz w:val="24"/>
          <w:szCs w:val="24"/>
        </w:rPr>
        <w:t xml:space="preserve">5.8.2 </w:t>
      </w:r>
      <w:r w:rsidRPr="001C5D8D">
        <w:rPr>
          <w:rFonts w:cs="Arial"/>
          <w:sz w:val="24"/>
          <w:szCs w:val="24"/>
        </w:rPr>
        <w:t>The External Financing Limit will be achieved by in year management of cash and working balances. The cash balance of £4,269k, as at 31st July, is £2,908k higher than the planned position of £1,361k.</w:t>
      </w:r>
    </w:p>
    <w:p w:rsidR="001C5D8D" w:rsidRPr="001C5D8D" w:rsidRDefault="001C5D8D" w:rsidP="001C5D8D">
      <w:pPr>
        <w:spacing w:before="240" w:after="240"/>
        <w:jc w:val="both"/>
        <w:rPr>
          <w:rFonts w:cs="Arial"/>
          <w:sz w:val="24"/>
          <w:szCs w:val="24"/>
        </w:rPr>
      </w:pPr>
      <w:r w:rsidRPr="001C5D8D">
        <w:rPr>
          <w:rFonts w:cs="Arial"/>
          <w:sz w:val="24"/>
          <w:szCs w:val="24"/>
        </w:rPr>
        <w:t>The difference between actual cash balance held £4,269k and the reported £4,554k relates to un-presented cheques and cash in transit as at 31st July 2014.</w:t>
      </w:r>
    </w:p>
    <w:p w:rsidR="001C5D8D" w:rsidRPr="001C5D8D" w:rsidRDefault="001C5D8D" w:rsidP="001C5D8D">
      <w:pPr>
        <w:spacing w:before="240" w:after="240"/>
        <w:jc w:val="both"/>
        <w:rPr>
          <w:rFonts w:cs="Arial"/>
          <w:sz w:val="24"/>
          <w:szCs w:val="24"/>
        </w:rPr>
      </w:pPr>
      <w:r w:rsidRPr="001C5D8D">
        <w:rPr>
          <w:rFonts w:cs="Arial"/>
          <w:sz w:val="24"/>
          <w:szCs w:val="24"/>
        </w:rPr>
        <w:t>The forecast balance as at 31</w:t>
      </w:r>
      <w:r w:rsidRPr="001C5D8D">
        <w:rPr>
          <w:rFonts w:cs="Arial"/>
          <w:sz w:val="24"/>
          <w:szCs w:val="24"/>
          <w:vertAlign w:val="superscript"/>
        </w:rPr>
        <w:t>st</w:t>
      </w:r>
      <w:r w:rsidRPr="001C5D8D">
        <w:rPr>
          <w:rFonts w:cs="Arial"/>
          <w:sz w:val="24"/>
          <w:szCs w:val="24"/>
        </w:rPr>
        <w:t xml:space="preserve"> March 2015 is £532k which will ensure that the Trust meets its requirement to remain within its External Financing Limit. </w:t>
      </w:r>
    </w:p>
    <w:p w:rsidR="001C5D8D" w:rsidRPr="001C5D8D" w:rsidRDefault="001C5D8D" w:rsidP="001C5D8D">
      <w:pPr>
        <w:pStyle w:val="Heading4"/>
        <w:spacing w:before="240" w:after="240"/>
        <w:jc w:val="both"/>
      </w:pPr>
      <w:r w:rsidRPr="001C5D8D">
        <w:t>Debtors</w:t>
      </w:r>
    </w:p>
    <w:p w:rsidR="001C5D8D" w:rsidRPr="001C5D8D" w:rsidRDefault="001C5D8D" w:rsidP="001C5D8D">
      <w:pPr>
        <w:spacing w:before="240" w:after="240"/>
        <w:jc w:val="both"/>
        <w:rPr>
          <w:rFonts w:cs="Arial"/>
          <w:sz w:val="24"/>
          <w:szCs w:val="24"/>
        </w:rPr>
      </w:pPr>
      <w:r w:rsidRPr="001C5D8D">
        <w:rPr>
          <w:rFonts w:cs="Arial"/>
          <w:b/>
          <w:bCs/>
          <w:sz w:val="24"/>
          <w:szCs w:val="24"/>
        </w:rPr>
        <w:t>5.8.3</w:t>
      </w:r>
      <w:r w:rsidRPr="001C5D8D">
        <w:rPr>
          <w:rFonts w:cs="Arial"/>
          <w:sz w:val="24"/>
          <w:szCs w:val="24"/>
        </w:rPr>
        <w:t xml:space="preserve">. The figures from the debtors system represent invoices raised for which cash has yet to be received. The total outstanding debt as at 31st July is £709k, which is divided between NHS £467k, Private Patients £41k and non NHS £201k. Debts over 250 days represent £74k which is 10.4% of the total debt. </w:t>
      </w:r>
    </w:p>
    <w:p w:rsidR="001C5D8D" w:rsidRPr="001C5D8D" w:rsidRDefault="001C5D8D" w:rsidP="001C5D8D">
      <w:pPr>
        <w:pStyle w:val="Heading4"/>
        <w:spacing w:before="240" w:after="240"/>
        <w:jc w:val="both"/>
      </w:pPr>
      <w:r w:rsidRPr="001C5D8D">
        <w:t>Creditors</w:t>
      </w:r>
    </w:p>
    <w:p w:rsidR="001C5D8D" w:rsidRPr="001C5D8D" w:rsidRDefault="001C5D8D" w:rsidP="001C5D8D">
      <w:pPr>
        <w:spacing w:before="240" w:after="240"/>
        <w:jc w:val="both"/>
        <w:rPr>
          <w:rFonts w:cs="Arial"/>
          <w:bCs/>
          <w:sz w:val="24"/>
          <w:szCs w:val="24"/>
        </w:rPr>
      </w:pPr>
      <w:r w:rsidRPr="001C5D8D">
        <w:rPr>
          <w:rFonts w:cs="Arial"/>
          <w:b/>
          <w:bCs/>
          <w:sz w:val="24"/>
          <w:szCs w:val="24"/>
        </w:rPr>
        <w:t xml:space="preserve">5.8.4 </w:t>
      </w:r>
      <w:r w:rsidRPr="001C5D8D">
        <w:rPr>
          <w:rFonts w:cs="Arial"/>
          <w:bCs/>
          <w:sz w:val="24"/>
          <w:szCs w:val="24"/>
        </w:rPr>
        <w:t>The measure for the better payment practice code is to pay all NHS and non-NHS trade creditors within 30 calendar days of receipt of goods or a valid invoice (whichever is later), unless other payment terms have been agreed. The compliance is for at least 95% of invoices to be paid (by the bank automated credit system or date and issue of a cheque) within thirty days, or within agreed contract terms. For July the performance against the target is:</w:t>
      </w:r>
    </w:p>
    <w:p w:rsidR="001C5D8D" w:rsidRPr="001C5D8D" w:rsidRDefault="001C5D8D" w:rsidP="00AA70AE">
      <w:pPr>
        <w:pStyle w:val="Default"/>
        <w:jc w:val="center"/>
      </w:pPr>
      <w:r w:rsidRPr="001C5D8D">
        <w:rPr>
          <w:noProof/>
        </w:rPr>
        <w:lastRenderedPageBreak/>
        <w:drawing>
          <wp:inline distT="0" distB="0" distL="0" distR="0">
            <wp:extent cx="1981200" cy="962025"/>
            <wp:effectExtent l="19050" t="0" r="0" b="0"/>
            <wp:docPr id="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cstate="print"/>
                    <a:srcRect/>
                    <a:stretch>
                      <a:fillRect/>
                    </a:stretch>
                  </pic:blipFill>
                  <pic:spPr bwMode="auto">
                    <a:xfrm>
                      <a:off x="0" y="0"/>
                      <a:ext cx="1981200" cy="962025"/>
                    </a:xfrm>
                    <a:prstGeom prst="rect">
                      <a:avLst/>
                    </a:prstGeom>
                    <a:noFill/>
                    <a:ln w="9525">
                      <a:noFill/>
                      <a:miter lim="800000"/>
                      <a:headEnd/>
                      <a:tailEnd/>
                    </a:ln>
                  </pic:spPr>
                </pic:pic>
              </a:graphicData>
            </a:graphic>
          </wp:inline>
        </w:drawing>
      </w:r>
    </w:p>
    <w:p w:rsidR="001C5D8D" w:rsidRPr="001C5D8D" w:rsidRDefault="001C5D8D" w:rsidP="001C5D8D">
      <w:pPr>
        <w:pStyle w:val="Heading2"/>
        <w:spacing w:before="240" w:after="240"/>
        <w:jc w:val="both"/>
        <w:rPr>
          <w:sz w:val="24"/>
          <w:szCs w:val="24"/>
        </w:rPr>
      </w:pPr>
      <w:bookmarkStart w:id="112" w:name="_Toc318461796"/>
      <w:bookmarkStart w:id="113" w:name="_Toc326332023"/>
      <w:bookmarkStart w:id="114" w:name="_Toc339280270"/>
      <w:bookmarkStart w:id="115" w:name="_Toc388626847"/>
      <w:bookmarkStart w:id="116" w:name="_Toc313625323"/>
      <w:r w:rsidRPr="001C5D8D">
        <w:rPr>
          <w:sz w:val="24"/>
          <w:szCs w:val="24"/>
        </w:rPr>
        <w:t>5.9 Capital Programme and Performance against Capital Resource Limit</w:t>
      </w:r>
      <w:bookmarkEnd w:id="112"/>
      <w:bookmarkEnd w:id="113"/>
      <w:bookmarkEnd w:id="114"/>
      <w:bookmarkEnd w:id="115"/>
      <w:r w:rsidRPr="001C5D8D">
        <w:rPr>
          <w:sz w:val="24"/>
          <w:szCs w:val="24"/>
        </w:rPr>
        <w:t xml:space="preserve"> </w:t>
      </w:r>
      <w:bookmarkEnd w:id="116"/>
    </w:p>
    <w:p w:rsidR="001C5D8D" w:rsidRPr="001C5D8D" w:rsidRDefault="001C5D8D" w:rsidP="001C5D8D">
      <w:pPr>
        <w:spacing w:before="240" w:after="240"/>
        <w:jc w:val="both"/>
        <w:rPr>
          <w:rFonts w:cs="Arial"/>
          <w:sz w:val="24"/>
          <w:szCs w:val="24"/>
        </w:rPr>
      </w:pPr>
      <w:r w:rsidRPr="001C5D8D">
        <w:rPr>
          <w:rFonts w:cs="Arial"/>
          <w:b/>
          <w:bCs/>
          <w:sz w:val="24"/>
          <w:szCs w:val="24"/>
        </w:rPr>
        <w:t xml:space="preserve">5.9.1 </w:t>
      </w:r>
      <w:r w:rsidRPr="001C5D8D">
        <w:rPr>
          <w:rFonts w:cs="Arial"/>
          <w:b/>
          <w:bCs/>
          <w:sz w:val="24"/>
          <w:szCs w:val="24"/>
        </w:rPr>
        <w:tab/>
      </w:r>
      <w:r w:rsidRPr="001C5D8D">
        <w:rPr>
          <w:rFonts w:cs="Arial"/>
          <w:sz w:val="24"/>
          <w:szCs w:val="24"/>
        </w:rPr>
        <w:t xml:space="preserve">The Trust will operate within its Capital Resource Limit and detailed capital programme management will enable the capital expenditure to be delivered within resources and the Trust’s cash plans for the year. </w:t>
      </w:r>
    </w:p>
    <w:p w:rsidR="001C5D8D" w:rsidRPr="001C5D8D" w:rsidRDefault="001C5D8D" w:rsidP="001C5D8D">
      <w:pPr>
        <w:spacing w:before="240" w:after="240"/>
        <w:jc w:val="both"/>
        <w:rPr>
          <w:rFonts w:cs="Arial"/>
          <w:sz w:val="24"/>
          <w:szCs w:val="24"/>
        </w:rPr>
      </w:pPr>
      <w:r w:rsidRPr="001C5D8D">
        <w:rPr>
          <w:rFonts w:cs="Arial"/>
          <w:b/>
          <w:sz w:val="24"/>
          <w:szCs w:val="24"/>
        </w:rPr>
        <w:t>5.9.2</w:t>
      </w:r>
      <w:r w:rsidRPr="001C5D8D">
        <w:rPr>
          <w:rFonts w:cs="Arial"/>
          <w:b/>
          <w:sz w:val="24"/>
          <w:szCs w:val="24"/>
        </w:rPr>
        <w:tab/>
      </w:r>
      <w:r w:rsidRPr="001C5D8D">
        <w:rPr>
          <w:rFonts w:cs="Arial"/>
          <w:sz w:val="24"/>
          <w:szCs w:val="24"/>
        </w:rPr>
        <w:t>As at 31st July 2014 there has been £78k capital expenditure.</w:t>
      </w:r>
    </w:p>
    <w:p w:rsidR="001C5D8D" w:rsidRPr="001C5D8D" w:rsidRDefault="001C5D8D" w:rsidP="001C5D8D">
      <w:pPr>
        <w:spacing w:before="240" w:after="240"/>
        <w:jc w:val="both"/>
        <w:rPr>
          <w:rFonts w:cs="Arial"/>
          <w:sz w:val="24"/>
          <w:szCs w:val="24"/>
        </w:rPr>
      </w:pPr>
      <w:r w:rsidRPr="001C5D8D">
        <w:rPr>
          <w:rFonts w:cs="Arial"/>
          <w:b/>
          <w:sz w:val="24"/>
          <w:szCs w:val="24"/>
        </w:rPr>
        <w:t>5.9.3</w:t>
      </w:r>
      <w:r w:rsidRPr="001C5D8D">
        <w:rPr>
          <w:rFonts w:cs="Arial"/>
          <w:b/>
          <w:sz w:val="24"/>
          <w:szCs w:val="24"/>
        </w:rPr>
        <w:tab/>
      </w:r>
      <w:r w:rsidRPr="001C5D8D">
        <w:rPr>
          <w:rFonts w:cs="Arial"/>
          <w:sz w:val="24"/>
          <w:szCs w:val="24"/>
        </w:rPr>
        <w:t>The Capital Planning Committee continues to monitor the capital priorities and projects and the detail is included on Appendix D.</w:t>
      </w:r>
    </w:p>
    <w:p w:rsidR="001C5D8D" w:rsidRPr="001C5D8D" w:rsidRDefault="001C5D8D" w:rsidP="001C5D8D">
      <w:pPr>
        <w:pStyle w:val="Heading2"/>
        <w:spacing w:before="240" w:after="240"/>
        <w:jc w:val="both"/>
        <w:rPr>
          <w:sz w:val="24"/>
          <w:szCs w:val="24"/>
        </w:rPr>
      </w:pPr>
      <w:bookmarkStart w:id="117" w:name="_Toc318461797"/>
      <w:bookmarkStart w:id="118" w:name="_Toc326332024"/>
      <w:bookmarkStart w:id="119" w:name="_Toc339280271"/>
      <w:bookmarkStart w:id="120" w:name="_Toc388626848"/>
      <w:bookmarkStart w:id="121" w:name="_Toc313625328"/>
      <w:r w:rsidRPr="001C5D8D">
        <w:rPr>
          <w:sz w:val="24"/>
          <w:szCs w:val="24"/>
        </w:rPr>
        <w:t>5.10 Foundation Trust Indicative Risk Rating</w:t>
      </w:r>
      <w:bookmarkEnd w:id="117"/>
      <w:bookmarkEnd w:id="118"/>
      <w:bookmarkEnd w:id="119"/>
      <w:bookmarkEnd w:id="120"/>
      <w:r w:rsidRPr="001C5D8D">
        <w:rPr>
          <w:sz w:val="24"/>
          <w:szCs w:val="24"/>
        </w:rPr>
        <w:t xml:space="preserve">  </w:t>
      </w:r>
      <w:bookmarkEnd w:id="121"/>
    </w:p>
    <w:p w:rsidR="001C5D8D" w:rsidRPr="001C5D8D" w:rsidRDefault="001C5D8D" w:rsidP="001C5D8D">
      <w:pPr>
        <w:spacing w:before="240" w:after="240"/>
        <w:jc w:val="both"/>
        <w:rPr>
          <w:rFonts w:cs="Arial"/>
          <w:sz w:val="24"/>
          <w:szCs w:val="24"/>
        </w:rPr>
      </w:pPr>
      <w:r w:rsidRPr="001C5D8D">
        <w:rPr>
          <w:rFonts w:cs="Arial"/>
          <w:b/>
          <w:bCs/>
          <w:sz w:val="24"/>
          <w:szCs w:val="24"/>
        </w:rPr>
        <w:t xml:space="preserve">5.10.1 </w:t>
      </w:r>
      <w:r w:rsidRPr="001C5D8D">
        <w:rPr>
          <w:rFonts w:cs="Arial"/>
          <w:b/>
          <w:bCs/>
          <w:sz w:val="24"/>
          <w:szCs w:val="24"/>
        </w:rPr>
        <w:tab/>
      </w:r>
      <w:r w:rsidRPr="001C5D8D">
        <w:rPr>
          <w:rFonts w:cs="Arial"/>
          <w:sz w:val="24"/>
          <w:szCs w:val="24"/>
        </w:rPr>
        <w:t>The Financial risk rating for the Trust, if operating as a Foundation Trust, as at the 31st July 2014 is a level 1, and the liquidity ratio is 8.9 days which also achieves a level 1.</w:t>
      </w:r>
    </w:p>
    <w:p w:rsidR="001C5D8D" w:rsidRPr="001C5D8D" w:rsidRDefault="001C5D8D" w:rsidP="001C5D8D">
      <w:pPr>
        <w:spacing w:before="240" w:after="240"/>
        <w:jc w:val="both"/>
        <w:rPr>
          <w:rFonts w:cs="Arial"/>
          <w:sz w:val="24"/>
          <w:szCs w:val="24"/>
        </w:rPr>
      </w:pPr>
      <w:r w:rsidRPr="001C5D8D">
        <w:rPr>
          <w:rFonts w:cs="Arial"/>
          <w:b/>
          <w:bCs/>
          <w:sz w:val="24"/>
          <w:szCs w:val="24"/>
        </w:rPr>
        <w:t xml:space="preserve">5.10.2 </w:t>
      </w:r>
      <w:r w:rsidRPr="001C5D8D">
        <w:rPr>
          <w:rFonts w:cs="Arial"/>
          <w:b/>
          <w:bCs/>
          <w:sz w:val="24"/>
          <w:szCs w:val="24"/>
        </w:rPr>
        <w:tab/>
      </w:r>
      <w:r w:rsidRPr="001C5D8D">
        <w:rPr>
          <w:rFonts w:cs="Arial"/>
          <w:bCs/>
          <w:sz w:val="24"/>
          <w:szCs w:val="24"/>
        </w:rPr>
        <w:t>T</w:t>
      </w:r>
      <w:r w:rsidRPr="001C5D8D">
        <w:rPr>
          <w:rFonts w:cs="Arial"/>
          <w:sz w:val="24"/>
          <w:szCs w:val="24"/>
        </w:rPr>
        <w:t>he Continuity of Services risk metrics, if operating as a Foundation Trust, as at the 31st July 2014 is a level 1.</w:t>
      </w:r>
    </w:p>
    <w:p w:rsidR="001C5D8D" w:rsidRPr="001C5D8D" w:rsidRDefault="001C5D8D" w:rsidP="001C5D8D">
      <w:pPr>
        <w:pStyle w:val="Default"/>
        <w:spacing w:before="240" w:after="240"/>
        <w:jc w:val="both"/>
        <w:rPr>
          <w:noProof/>
        </w:rPr>
      </w:pPr>
      <w:r w:rsidRPr="001C5D8D">
        <w:rPr>
          <w:rFonts w:asciiTheme="minorHAnsi" w:hAnsiTheme="minorHAnsi" w:cs="Arial"/>
          <w:b/>
          <w:bCs/>
          <w:color w:val="auto"/>
        </w:rPr>
        <w:t>5.10.3</w:t>
      </w:r>
      <w:r w:rsidRPr="001C5D8D">
        <w:rPr>
          <w:b/>
        </w:rPr>
        <w:tab/>
      </w:r>
      <w:r w:rsidRPr="001C5D8D">
        <w:rPr>
          <w:rFonts w:asciiTheme="minorHAnsi" w:hAnsiTheme="minorHAnsi" w:cs="Arial"/>
          <w:color w:val="auto"/>
        </w:rPr>
        <w:t>The calculation for the Financial risk rating, after applying the over-riding rules, and for the Continuity of Services risk metrics, for the annual plan, year to date and forecast outturn for the Trust is a 1,</w:t>
      </w:r>
      <w:r w:rsidRPr="001C5D8D">
        <w:t xml:space="preserve"> </w:t>
      </w:r>
      <w:r w:rsidRPr="001C5D8D">
        <w:rPr>
          <w:rFonts w:asciiTheme="minorHAnsi" w:hAnsiTheme="minorHAnsi" w:cs="Arial"/>
        </w:rPr>
        <w:t>which is a result of the Trust’s overall financial sustainability issues.</w:t>
      </w:r>
    </w:p>
    <w:p w:rsidR="001C5D8D" w:rsidRPr="001C5D8D" w:rsidRDefault="001C5D8D" w:rsidP="00AA70AE">
      <w:pPr>
        <w:pStyle w:val="Default"/>
        <w:spacing w:before="240" w:after="240"/>
        <w:jc w:val="center"/>
        <w:rPr>
          <w:rFonts w:asciiTheme="minorHAnsi" w:hAnsiTheme="minorHAnsi" w:cs="Arial"/>
          <w:color w:val="auto"/>
        </w:rPr>
      </w:pPr>
      <w:bookmarkStart w:id="122" w:name="_Toc318461798"/>
      <w:bookmarkStart w:id="123" w:name="_Toc326332025"/>
      <w:bookmarkStart w:id="124" w:name="_Toc339280272"/>
      <w:bookmarkStart w:id="125" w:name="_Toc313625330"/>
      <w:r w:rsidRPr="001C5D8D">
        <w:rPr>
          <w:noProof/>
        </w:rPr>
        <w:lastRenderedPageBreak/>
        <w:drawing>
          <wp:inline distT="0" distB="0" distL="0" distR="0">
            <wp:extent cx="6488593" cy="3714750"/>
            <wp:effectExtent l="19050" t="0" r="7457" b="0"/>
            <wp:docPr id="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cstate="print"/>
                    <a:srcRect/>
                    <a:stretch>
                      <a:fillRect/>
                    </a:stretch>
                  </pic:blipFill>
                  <pic:spPr bwMode="auto">
                    <a:xfrm>
                      <a:off x="0" y="0"/>
                      <a:ext cx="6488593" cy="3714750"/>
                    </a:xfrm>
                    <a:prstGeom prst="rect">
                      <a:avLst/>
                    </a:prstGeom>
                    <a:noFill/>
                    <a:ln w="9525">
                      <a:noFill/>
                      <a:miter lim="800000"/>
                      <a:headEnd/>
                      <a:tailEnd/>
                    </a:ln>
                  </pic:spPr>
                </pic:pic>
              </a:graphicData>
            </a:graphic>
          </wp:inline>
        </w:drawing>
      </w:r>
    </w:p>
    <w:p w:rsidR="001C5D8D" w:rsidRPr="001C5D8D" w:rsidRDefault="001C5D8D" w:rsidP="001C5D8D">
      <w:pPr>
        <w:pStyle w:val="Heading2"/>
        <w:spacing w:before="240" w:after="240"/>
        <w:jc w:val="both"/>
        <w:rPr>
          <w:sz w:val="24"/>
          <w:szCs w:val="24"/>
        </w:rPr>
      </w:pPr>
      <w:bookmarkStart w:id="126" w:name="_Toc388626849"/>
      <w:r w:rsidRPr="001C5D8D">
        <w:rPr>
          <w:sz w:val="24"/>
          <w:szCs w:val="24"/>
        </w:rPr>
        <w:t>5.11 Recommendation</w:t>
      </w:r>
      <w:bookmarkEnd w:id="122"/>
      <w:bookmarkEnd w:id="123"/>
      <w:bookmarkEnd w:id="124"/>
      <w:bookmarkEnd w:id="126"/>
      <w:r w:rsidRPr="001C5D8D">
        <w:rPr>
          <w:sz w:val="24"/>
          <w:szCs w:val="24"/>
        </w:rPr>
        <w:t xml:space="preserve"> </w:t>
      </w:r>
      <w:bookmarkEnd w:id="125"/>
    </w:p>
    <w:p w:rsidR="001C5D8D" w:rsidRPr="001C5D8D" w:rsidRDefault="001C5D8D" w:rsidP="001C5D8D">
      <w:pPr>
        <w:spacing w:before="240" w:after="240"/>
        <w:jc w:val="both"/>
        <w:rPr>
          <w:sz w:val="24"/>
          <w:szCs w:val="24"/>
        </w:rPr>
      </w:pPr>
      <w:r w:rsidRPr="001C5D8D">
        <w:rPr>
          <w:rFonts w:cs="Arial"/>
          <w:sz w:val="24"/>
          <w:szCs w:val="24"/>
        </w:rPr>
        <w:t xml:space="preserve">The Board is asked to note the Trust’s Month 4 financial performance for 2014/15 regarding the revenue, capital and cash positions. </w:t>
      </w:r>
    </w:p>
    <w:p w:rsidR="001C5D8D" w:rsidRPr="001C5D8D" w:rsidRDefault="001C5D8D" w:rsidP="001C5D8D">
      <w:pPr>
        <w:pStyle w:val="Default"/>
        <w:spacing w:before="240" w:after="240"/>
        <w:jc w:val="both"/>
      </w:pPr>
    </w:p>
    <w:p w:rsidR="001C5D8D" w:rsidRPr="001C5D8D" w:rsidRDefault="001C5D8D" w:rsidP="001C5D8D">
      <w:pPr>
        <w:pStyle w:val="Default"/>
        <w:spacing w:before="240" w:after="240"/>
        <w:jc w:val="both"/>
      </w:pPr>
    </w:p>
    <w:p w:rsidR="001C5D8D" w:rsidRPr="001C5D8D" w:rsidRDefault="001C5D8D" w:rsidP="001C5D8D">
      <w:pPr>
        <w:pStyle w:val="Default"/>
        <w:spacing w:before="240" w:after="240"/>
        <w:jc w:val="both"/>
      </w:pPr>
    </w:p>
    <w:p w:rsidR="001C5D8D" w:rsidRPr="001C5D8D" w:rsidRDefault="001C5D8D" w:rsidP="001C5D8D">
      <w:pPr>
        <w:pStyle w:val="Default"/>
        <w:spacing w:before="240" w:after="240"/>
        <w:jc w:val="both"/>
      </w:pPr>
    </w:p>
    <w:p w:rsidR="001C5D8D" w:rsidRPr="001C5D8D" w:rsidRDefault="001C5D8D" w:rsidP="001C5D8D">
      <w:pPr>
        <w:pStyle w:val="Default"/>
        <w:spacing w:before="240" w:after="240"/>
        <w:jc w:val="both"/>
      </w:pPr>
    </w:p>
    <w:p w:rsidR="001C5D8D" w:rsidRPr="001C5D8D" w:rsidRDefault="001C5D8D" w:rsidP="001C5D8D">
      <w:pPr>
        <w:pStyle w:val="Default"/>
        <w:spacing w:before="240" w:after="240"/>
        <w:jc w:val="both"/>
      </w:pPr>
    </w:p>
    <w:p w:rsidR="001C5D8D" w:rsidRPr="001C5D8D" w:rsidRDefault="001C5D8D" w:rsidP="001C5D8D">
      <w:pPr>
        <w:pStyle w:val="Default"/>
        <w:spacing w:before="240" w:after="240"/>
        <w:jc w:val="both"/>
      </w:pPr>
    </w:p>
    <w:p w:rsidR="001C5D8D" w:rsidRPr="001C5D8D" w:rsidRDefault="001C5D8D" w:rsidP="001C5D8D">
      <w:pPr>
        <w:pStyle w:val="Default"/>
        <w:spacing w:before="240" w:after="240"/>
        <w:jc w:val="both"/>
      </w:pPr>
    </w:p>
    <w:p w:rsidR="001C5D8D" w:rsidRPr="001C5D8D" w:rsidRDefault="001C5D8D" w:rsidP="001C5D8D">
      <w:pPr>
        <w:pStyle w:val="Default"/>
        <w:spacing w:before="240" w:after="240"/>
        <w:jc w:val="both"/>
      </w:pPr>
    </w:p>
    <w:p w:rsidR="001C5D8D" w:rsidRPr="001C5D8D" w:rsidRDefault="001C5D8D" w:rsidP="001C5D8D">
      <w:pPr>
        <w:pStyle w:val="Default"/>
        <w:spacing w:before="240" w:after="240"/>
        <w:jc w:val="both"/>
        <w:sectPr w:rsidR="001C5D8D" w:rsidRPr="001C5D8D" w:rsidSect="001C5D8D">
          <w:pgSz w:w="11900" w:h="16840"/>
          <w:pgMar w:top="680" w:right="1412" w:bottom="641" w:left="1298" w:header="720" w:footer="115" w:gutter="0"/>
          <w:cols w:space="720"/>
          <w:noEndnote/>
        </w:sectPr>
      </w:pPr>
    </w:p>
    <w:p w:rsidR="001C5D8D" w:rsidRPr="001C5D8D" w:rsidRDefault="001C5D8D" w:rsidP="001C5D8D">
      <w:pPr>
        <w:pStyle w:val="Heading3"/>
        <w:jc w:val="both"/>
        <w:rPr>
          <w:b w:val="0"/>
          <w:bCs w:val="0"/>
          <w:i/>
          <w:iCs/>
          <w:sz w:val="24"/>
          <w:szCs w:val="24"/>
        </w:rPr>
      </w:pPr>
      <w:bookmarkStart w:id="127" w:name="_Toc326332026"/>
      <w:bookmarkStart w:id="128" w:name="_Toc339280273"/>
      <w:bookmarkStart w:id="129" w:name="_Toc388626850"/>
      <w:r w:rsidRPr="001C5D8D">
        <w:rPr>
          <w:rStyle w:val="IntenseEmphasis"/>
          <w:sz w:val="24"/>
          <w:szCs w:val="24"/>
        </w:rPr>
        <w:lastRenderedPageBreak/>
        <w:t>Appendix A – Statement of Comprehensive Income – Accumulated Variances as at Month 4 –</w:t>
      </w:r>
      <w:bookmarkEnd w:id="127"/>
      <w:bookmarkEnd w:id="128"/>
      <w:r w:rsidRPr="001C5D8D">
        <w:rPr>
          <w:rStyle w:val="IntenseEmphasis"/>
          <w:sz w:val="24"/>
          <w:szCs w:val="24"/>
        </w:rPr>
        <w:t xml:space="preserve"> July 2014</w:t>
      </w:r>
      <w:bookmarkEnd w:id="129"/>
    </w:p>
    <w:p w:rsidR="001C5D8D" w:rsidRPr="001C5D8D" w:rsidRDefault="001C5D8D" w:rsidP="001C5D8D">
      <w:pPr>
        <w:pStyle w:val="Default"/>
        <w:jc w:val="both"/>
      </w:pPr>
    </w:p>
    <w:p w:rsidR="001C5D8D" w:rsidRPr="00134925" w:rsidRDefault="001C5D8D" w:rsidP="00AA70AE">
      <w:pPr>
        <w:pStyle w:val="Default"/>
        <w:jc w:val="center"/>
        <w:sectPr w:rsidR="001C5D8D" w:rsidRPr="00134925" w:rsidSect="001C5D8D">
          <w:pgSz w:w="16840" w:h="11900" w:orient="landscape"/>
          <w:pgMar w:top="1298" w:right="680" w:bottom="1412" w:left="641" w:header="426" w:footer="301" w:gutter="0"/>
          <w:cols w:space="720"/>
          <w:noEndnote/>
          <w:titlePg/>
          <w:docGrid w:linePitch="326"/>
        </w:sectPr>
      </w:pPr>
      <w:r w:rsidRPr="00134925">
        <w:rPr>
          <w:noProof/>
        </w:rPr>
        <w:drawing>
          <wp:inline distT="0" distB="0" distL="0" distR="0">
            <wp:extent cx="8040429" cy="5313918"/>
            <wp:effectExtent l="19050" t="0" r="0" b="0"/>
            <wp:docPr id="5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cstate="print"/>
                    <a:srcRect/>
                    <a:stretch>
                      <a:fillRect/>
                    </a:stretch>
                  </pic:blipFill>
                  <pic:spPr bwMode="auto">
                    <a:xfrm>
                      <a:off x="0" y="0"/>
                      <a:ext cx="8040940" cy="5314256"/>
                    </a:xfrm>
                    <a:prstGeom prst="rect">
                      <a:avLst/>
                    </a:prstGeom>
                    <a:noFill/>
                    <a:ln w="9525">
                      <a:noFill/>
                      <a:miter lim="800000"/>
                      <a:headEnd/>
                      <a:tailEnd/>
                    </a:ln>
                  </pic:spPr>
                </pic:pic>
              </a:graphicData>
            </a:graphic>
          </wp:inline>
        </w:drawing>
      </w:r>
    </w:p>
    <w:p w:rsidR="001C5D8D" w:rsidRPr="00134925" w:rsidRDefault="001C5D8D" w:rsidP="001C5D8D">
      <w:pPr>
        <w:pStyle w:val="Heading3"/>
        <w:jc w:val="both"/>
        <w:rPr>
          <w:rStyle w:val="IntenseEmphasis"/>
        </w:rPr>
      </w:pPr>
      <w:bookmarkStart w:id="130" w:name="_Toc326332027"/>
      <w:bookmarkStart w:id="131" w:name="_Toc339280274"/>
      <w:bookmarkStart w:id="132" w:name="_Toc388626851"/>
      <w:r w:rsidRPr="00134925">
        <w:rPr>
          <w:rStyle w:val="IntenseEmphasis"/>
        </w:rPr>
        <w:lastRenderedPageBreak/>
        <w:t xml:space="preserve">Appendix B – Statement of Financial Position as at 31st </w:t>
      </w:r>
      <w:bookmarkEnd w:id="130"/>
      <w:bookmarkEnd w:id="131"/>
      <w:r w:rsidRPr="00134925">
        <w:rPr>
          <w:rStyle w:val="IntenseEmphasis"/>
        </w:rPr>
        <w:t>July 2014</w:t>
      </w:r>
      <w:bookmarkEnd w:id="132"/>
    </w:p>
    <w:p w:rsidR="001C5D8D" w:rsidRPr="00134925" w:rsidRDefault="001C5D8D" w:rsidP="001C5D8D">
      <w:pPr>
        <w:jc w:val="both"/>
      </w:pPr>
      <w:r w:rsidRPr="00134925">
        <w:rPr>
          <w:noProof/>
        </w:rPr>
        <w:drawing>
          <wp:inline distT="0" distB="0" distL="0" distR="0">
            <wp:extent cx="5835650" cy="7142688"/>
            <wp:effectExtent l="19050" t="0" r="0" b="0"/>
            <wp:docPr id="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0" cstate="print"/>
                    <a:srcRect/>
                    <a:stretch>
                      <a:fillRect/>
                    </a:stretch>
                  </pic:blipFill>
                  <pic:spPr bwMode="auto">
                    <a:xfrm>
                      <a:off x="0" y="0"/>
                      <a:ext cx="5835650" cy="7142688"/>
                    </a:xfrm>
                    <a:prstGeom prst="rect">
                      <a:avLst/>
                    </a:prstGeom>
                    <a:noFill/>
                    <a:ln w="9525">
                      <a:noFill/>
                      <a:miter lim="800000"/>
                      <a:headEnd/>
                      <a:tailEnd/>
                    </a:ln>
                  </pic:spPr>
                </pic:pic>
              </a:graphicData>
            </a:graphic>
          </wp:inline>
        </w:drawing>
      </w:r>
    </w:p>
    <w:p w:rsidR="001C5D8D" w:rsidRPr="00134925" w:rsidRDefault="001C5D8D" w:rsidP="001C5D8D">
      <w:pPr>
        <w:jc w:val="both"/>
        <w:sectPr w:rsidR="001C5D8D" w:rsidRPr="00134925" w:rsidSect="001C5D8D">
          <w:pgSz w:w="11900" w:h="16840"/>
          <w:pgMar w:top="641" w:right="1298" w:bottom="680" w:left="1412" w:header="426" w:footer="301" w:gutter="0"/>
          <w:cols w:space="720"/>
          <w:noEndnote/>
          <w:titlePg/>
          <w:docGrid w:linePitch="326"/>
        </w:sectPr>
      </w:pPr>
      <w:r w:rsidRPr="00134925">
        <w:rPr>
          <w:rStyle w:val="SubtitleChar"/>
          <w:sz w:val="20"/>
        </w:rPr>
        <w:t xml:space="preserve"> </w:t>
      </w:r>
    </w:p>
    <w:p w:rsidR="001C5D8D" w:rsidRPr="00134925" w:rsidRDefault="001C5D8D" w:rsidP="001C5D8D">
      <w:pPr>
        <w:pStyle w:val="Heading3"/>
        <w:jc w:val="both"/>
        <w:rPr>
          <w:noProof/>
        </w:rPr>
      </w:pPr>
      <w:bookmarkStart w:id="133" w:name="_Toc326332028"/>
      <w:bookmarkStart w:id="134" w:name="_Toc339280275"/>
      <w:bookmarkStart w:id="135" w:name="_Toc388626852"/>
      <w:r w:rsidRPr="00134925">
        <w:rPr>
          <w:rStyle w:val="Heading4Char"/>
        </w:rPr>
        <w:lastRenderedPageBreak/>
        <w:t>Appendix C - 12 Month statement of rolling cash flow</w:t>
      </w:r>
      <w:bookmarkEnd w:id="133"/>
      <w:bookmarkEnd w:id="134"/>
      <w:bookmarkEnd w:id="135"/>
    </w:p>
    <w:p w:rsidR="001C5D8D" w:rsidRPr="00134925" w:rsidRDefault="001C5D8D" w:rsidP="001C5D8D">
      <w:pPr>
        <w:pStyle w:val="Default"/>
        <w:jc w:val="both"/>
        <w:rPr>
          <w:noProof/>
        </w:rPr>
      </w:pPr>
    </w:p>
    <w:p w:rsidR="001C5D8D" w:rsidRPr="00134925" w:rsidRDefault="001C5D8D" w:rsidP="001C5D8D">
      <w:pPr>
        <w:pStyle w:val="Default"/>
        <w:jc w:val="center"/>
        <w:sectPr w:rsidR="001C5D8D" w:rsidRPr="00134925" w:rsidSect="001C5D8D">
          <w:pgSz w:w="16840" w:h="11900" w:orient="landscape"/>
          <w:pgMar w:top="1298" w:right="680" w:bottom="1412" w:left="641" w:header="426" w:footer="301" w:gutter="0"/>
          <w:cols w:space="720"/>
          <w:noEndnote/>
          <w:titlePg/>
          <w:docGrid w:linePitch="326"/>
        </w:sectPr>
      </w:pPr>
      <w:r w:rsidRPr="00134925">
        <w:rPr>
          <w:noProof/>
        </w:rPr>
        <w:drawing>
          <wp:inline distT="0" distB="0" distL="0" distR="0">
            <wp:extent cx="7429500" cy="5230255"/>
            <wp:effectExtent l="19050" t="0" r="0" b="0"/>
            <wp:docPr id="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1" cstate="print"/>
                    <a:srcRect/>
                    <a:stretch>
                      <a:fillRect/>
                    </a:stretch>
                  </pic:blipFill>
                  <pic:spPr bwMode="auto">
                    <a:xfrm>
                      <a:off x="0" y="0"/>
                      <a:ext cx="7443783" cy="5240310"/>
                    </a:xfrm>
                    <a:prstGeom prst="rect">
                      <a:avLst/>
                    </a:prstGeom>
                    <a:noFill/>
                    <a:ln w="9525">
                      <a:noFill/>
                      <a:miter lim="800000"/>
                      <a:headEnd/>
                      <a:tailEnd/>
                    </a:ln>
                  </pic:spPr>
                </pic:pic>
              </a:graphicData>
            </a:graphic>
          </wp:inline>
        </w:drawing>
      </w:r>
    </w:p>
    <w:p w:rsidR="001C5D8D" w:rsidRPr="00AF485F" w:rsidRDefault="001C5D8D" w:rsidP="001C5D8D">
      <w:pPr>
        <w:pStyle w:val="Heading3"/>
        <w:jc w:val="both"/>
        <w:rPr>
          <w:noProof/>
        </w:rPr>
      </w:pPr>
      <w:bookmarkStart w:id="136" w:name="_Toc326332030"/>
      <w:bookmarkStart w:id="137" w:name="_Toc339280277"/>
      <w:bookmarkStart w:id="138" w:name="_Toc388626853"/>
      <w:r w:rsidRPr="00134925">
        <w:rPr>
          <w:b w:val="0"/>
        </w:rPr>
        <w:lastRenderedPageBreak/>
        <w:t xml:space="preserve">Appendix D - Capital Programme </w:t>
      </w:r>
      <w:bookmarkEnd w:id="136"/>
      <w:bookmarkEnd w:id="137"/>
      <w:r w:rsidRPr="00134925">
        <w:rPr>
          <w:b w:val="0"/>
        </w:rPr>
        <w:t>31st July 2014</w:t>
      </w:r>
      <w:bookmarkEnd w:id="138"/>
    </w:p>
    <w:p w:rsidR="008F22EE" w:rsidRDefault="001C5D8D" w:rsidP="001C5D8D">
      <w:pPr>
        <w:widowControl w:val="0"/>
        <w:autoSpaceDE w:val="0"/>
        <w:autoSpaceDN w:val="0"/>
        <w:adjustRightInd w:val="0"/>
        <w:spacing w:after="240" w:line="240" w:lineRule="auto"/>
        <w:jc w:val="center"/>
        <w:rPr>
          <w:rFonts w:asciiTheme="majorHAnsi" w:hAnsiTheme="majorHAnsi" w:cstheme="majorHAnsi"/>
          <w:b/>
          <w:color w:val="21798E" w:themeColor="accent1" w:themeShade="BF"/>
          <w:sz w:val="48"/>
          <w:szCs w:val="48"/>
        </w:rPr>
      </w:pPr>
      <w:r w:rsidRPr="001C5D8D">
        <w:rPr>
          <w:rFonts w:asciiTheme="majorHAnsi" w:hAnsiTheme="majorHAnsi" w:cstheme="majorHAnsi"/>
          <w:b/>
          <w:noProof/>
          <w:color w:val="21798E" w:themeColor="accent1" w:themeShade="BF"/>
          <w:sz w:val="48"/>
          <w:szCs w:val="48"/>
        </w:rPr>
        <w:drawing>
          <wp:inline distT="0" distB="0" distL="0" distR="0">
            <wp:extent cx="5391150" cy="9119860"/>
            <wp:effectExtent l="19050" t="0" r="0" b="0"/>
            <wp:docPr id="5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srcRect/>
                    <a:stretch>
                      <a:fillRect/>
                    </a:stretch>
                  </pic:blipFill>
                  <pic:spPr bwMode="auto">
                    <a:xfrm>
                      <a:off x="0" y="0"/>
                      <a:ext cx="5393276" cy="9123457"/>
                    </a:xfrm>
                    <a:prstGeom prst="rect">
                      <a:avLst/>
                    </a:prstGeom>
                    <a:noFill/>
                    <a:ln w="9525">
                      <a:noFill/>
                      <a:miter lim="800000"/>
                      <a:headEnd/>
                      <a:tailEnd/>
                    </a:ln>
                  </pic:spPr>
                </pic:pic>
              </a:graphicData>
            </a:graphic>
          </wp:inline>
        </w:drawing>
      </w:r>
      <w:bookmarkEnd w:id="60"/>
      <w:bookmarkEnd w:id="61"/>
    </w:p>
    <w:sectPr w:rsidR="008F22EE" w:rsidSect="001C5D8D">
      <w:pgSz w:w="11900" w:h="16840"/>
      <w:pgMar w:top="720" w:right="720" w:bottom="720" w:left="720" w:header="720" w:footer="115"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4FEE" w:rsidRDefault="002B4FEE" w:rsidP="00A77EA2">
      <w:pPr>
        <w:spacing w:after="0" w:line="240" w:lineRule="auto"/>
      </w:pPr>
      <w:r>
        <w:separator/>
      </w:r>
    </w:p>
  </w:endnote>
  <w:endnote w:type="continuationSeparator" w:id="0">
    <w:p w:rsidR="002B4FEE" w:rsidRDefault="002B4FEE" w:rsidP="00A77EA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FEE" w:rsidRDefault="002B4FEE" w:rsidP="000561FE">
    <w:pPr>
      <w:pStyle w:val="Footer"/>
      <w:tabs>
        <w:tab w:val="center" w:pos="5233"/>
        <w:tab w:val="left" w:pos="6331"/>
      </w:tabs>
    </w:pPr>
    <w:r>
      <w:rPr>
        <w:noProof/>
      </w:rPr>
      <w:drawing>
        <wp:anchor distT="0" distB="0" distL="114300" distR="114300" simplePos="0" relativeHeight="251661312" behindDoc="1" locked="0" layoutInCell="1" allowOverlap="1">
          <wp:simplePos x="0" y="0"/>
          <wp:positionH relativeFrom="column">
            <wp:posOffset>4703445</wp:posOffset>
          </wp:positionH>
          <wp:positionV relativeFrom="paragraph">
            <wp:posOffset>477520</wp:posOffset>
          </wp:positionV>
          <wp:extent cx="1518285" cy="403225"/>
          <wp:effectExtent l="19050" t="0" r="5715" b="0"/>
          <wp:wrapTight wrapText="bothSides">
            <wp:wrapPolygon edited="0">
              <wp:start x="6775" y="0"/>
              <wp:lineTo x="-271" y="3061"/>
              <wp:lineTo x="-271" y="10205"/>
              <wp:lineTo x="1626" y="20409"/>
              <wp:lineTo x="20868" y="20409"/>
              <wp:lineTo x="21139" y="16328"/>
              <wp:lineTo x="21681" y="7143"/>
              <wp:lineTo x="21681" y="0"/>
              <wp:lineTo x="6775" y="0"/>
            </wp:wrapPolygon>
          </wp:wrapTight>
          <wp:docPr id="43" name="Picture 1" descr="PRI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IDE logo"/>
                  <pic:cNvPicPr>
                    <a:picLocks noChangeAspect="1" noChangeArrowheads="1"/>
                  </pic:cNvPicPr>
                </pic:nvPicPr>
                <pic:blipFill>
                  <a:blip r:embed="rId1"/>
                  <a:srcRect/>
                  <a:stretch>
                    <a:fillRect/>
                  </a:stretch>
                </pic:blipFill>
                <pic:spPr bwMode="auto">
                  <a:xfrm>
                    <a:off x="0" y="0"/>
                    <a:ext cx="1518285" cy="403225"/>
                  </a:xfrm>
                  <a:prstGeom prst="rect">
                    <a:avLst/>
                  </a:prstGeom>
                  <a:noFill/>
                  <a:ln w="9525">
                    <a:noFill/>
                    <a:miter lim="800000"/>
                    <a:headEnd/>
                    <a:tailEnd/>
                  </a:ln>
                </pic:spPr>
              </pic:pic>
            </a:graphicData>
          </a:graphic>
        </wp:anchor>
      </w:drawing>
    </w:r>
    <w:sdt>
      <w:sdtPr>
        <w:id w:val="14693516"/>
        <w:docPartObj>
          <w:docPartGallery w:val="Page Numbers (Bottom of Page)"/>
          <w:docPartUnique/>
        </w:docPartObj>
      </w:sdtPr>
      <w:sdtContent>
        <w:r>
          <w:tab/>
        </w:r>
        <w:r>
          <w:tab/>
        </w:r>
        <w:r w:rsidR="005866E8">
          <w:rPr>
            <w:noProof/>
          </w:rPr>
        </w:r>
        <w:r w:rsidR="005866E8">
          <w:rPr>
            <w:noProof/>
          </w:rPr>
          <w:pict>
            <v:group id="Group 1" o:spid="_x0000_s2049" style="width:32.95pt;height:17.45pt;mso-position-horizontal-relative:char;mso-position-vertical-relative:line" coordorigin="5351,739" coordsize="659,3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">
              <v:shapetype id="_x0000_t202" coordsize="21600,21600" o:spt="202" path="m,l,21600r21600,l21600,xe">
                <v:stroke joinstyle="miter"/>
                <v:path gradientshapeok="t" o:connecttype="rect"/>
              </v:shapetype>
              <v:shape id="Text Box 2" o:spid="_x0000_s2054" type="#_x0000_t202" style="position:absolute;left:5351;top:800;width:659;height:288;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eQcAA&#10;AADbAAAADwAAAGRycy9kb3ducmV2LnhtbERPzYrCMBC+C/sOYRa8iKa7oEg1FVdZ9eKh3X2AoZn+&#10;YDMpTdTq0xtB8DYf3+8sV71pxIU6V1tW8DWJQBDnVtdcKvj/+x3PQTiPrLGxTApu5GCVfAyWGGt7&#10;5ZQumS9FCGEXo4LK+zaW0uUVGXQT2xIHrrCdQR9gV0rd4TWEm0Z+R9FMGqw5NFTY0qai/JSdjQJa&#10;p/Z+PLmdSX+2m11RM43kXqnhZ79egPDU+7f45T7oMH8Kz1/CATJ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KFeQcAAAADbAAAADwAAAAAAAAAAAAAAAACYAgAAZHJzL2Rvd25y&#10;ZXYueG1sUEsFBgAAAAAEAAQA9QAAAIUDAAAAAA==&#10;" filled="f" stroked="f">
                <v:textbox style="mso-next-textbox:#Text Box 2" inset="0,0,0,0">
                  <w:txbxContent>
                    <w:p w:rsidR="002B4FEE" w:rsidRDefault="005866E8">
                      <w:pPr>
                        <w:jc w:val="center"/>
                        <w:rPr>
                          <w:szCs w:val="18"/>
                        </w:rPr>
                      </w:pPr>
                      <w:r w:rsidRPr="005866E8">
                        <w:fldChar w:fldCharType="begin"/>
                      </w:r>
                      <w:r w:rsidR="002B4FEE">
                        <w:instrText xml:space="preserve"> PAGE    \* MERGEFORMAT </w:instrText>
                      </w:r>
                      <w:r w:rsidRPr="005866E8">
                        <w:fldChar w:fldCharType="separate"/>
                      </w:r>
                      <w:r w:rsidR="00750C62" w:rsidRPr="00750C62">
                        <w:rPr>
                          <w:i/>
                          <w:noProof/>
                          <w:sz w:val="18"/>
                          <w:szCs w:val="18"/>
                        </w:rPr>
                        <w:t>1</w:t>
                      </w:r>
                      <w:r>
                        <w:rPr>
                          <w:i/>
                          <w:noProof/>
                          <w:sz w:val="18"/>
                          <w:szCs w:val="18"/>
                        </w:rPr>
                        <w:fldChar w:fldCharType="end"/>
                      </w:r>
                    </w:p>
                  </w:txbxContent>
                </v:textbox>
              </v:shape>
              <v:group id="Group 3" o:spid="_x0000_s2050" style="position:absolute;left:5494;top:739;width:372;height:72" coordorigin="5486,739" coordsize="372,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oval id="Oval 4" o:spid="_x0000_s2053" style="position:absolute;left:54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XogsEA&#10;AADbAAAADwAAAGRycy9kb3ducmV2LnhtbERPTYvCMBC9C/6HMII3TV3Bla5RdJeCBw+uyp6HZLbt&#10;2ky6TdTqrzeC4G0e73Nmi9ZW4kyNLx0rGA0TEMTamZJzBYd9NpiC8AHZYOWYFFzJw2Le7cwwNe7C&#10;33TehVzEEPYpKihCqFMpvS7Ioh+6mjhyv66xGCJscmkavMRwW8m3JJlIiyXHhgJr+ixIH3cnq2C8&#10;wa98ddP/+232M03+nNbjzCvV77XLDxCB2vASP91rE+e/w+OXeICc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l6ILBAAAA2wAAAA8AAAAAAAAAAAAAAAAAmAIAAGRycy9kb3du&#10;cmV2LnhtbFBLBQYAAAAABAAEAPUAAACGAwAAAAA=&#10;" fillcolor="#58bed7 [2420]" stroked="f"/>
                <v:oval id="Oval 5" o:spid="_x0000_s2052" style="position:absolute;left:563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8MQA&#10;AADbAAAADwAAAGRycy9kb3ducmV2LnhtbESPQW/CMAyF75P4D5GRdhspQ5pQISBgqsRhhw0QZysx&#10;baFxShOg26+fD5N2s/We3/s8X/a+UXfqYh3YwHiUgSK2wdVcGjjsi5cpqJiQHTaBycA3RVguBk9z&#10;zF148Bfdd6lUEsIxRwNVSm2udbQVeYyj0BKLdgqdxyRrV2rX4UPCfaNfs+xNe6xZGipsaVORvexu&#10;3sDkA9/L9Y+97j+L4zQ7B2snRTTmedivZqAS9enf/He9dYIvsPKLDK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fPDEAAAA2wAAAA8AAAAAAAAAAAAAAAAAmAIAAGRycy9k&#10;b3ducmV2LnhtbFBLBQYAAAAABAAEAPUAAACJAwAAAAA=&#10;" fillcolor="#58bed7 [2420]" stroked="f"/>
                <v:oval id="Oval 6" o:spid="_x0000_s2051" style="position:absolute;left:5786;top:739;width:72;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Za8EA&#10;AADbAAAADwAAAGRycy9kb3ducmV2LnhtbERPS4vCMBC+L/gfwgje1tQVRLtG0V0KHjz4Ys9DMtt2&#10;bSbdJmr11xtB8DYf33Om89ZW4kyNLx0rGPQTEMTamZJzBYd99j4G4QOywcoxKbiSh/ms8zbF1LgL&#10;b+m8C7mIIexTVFCEUKdSel2QRd93NXHkfl1jMUTY5NI0eInhtpIfSTKSFkuODQXW9FWQPu5OVsFw&#10;jd/58qb/95vsZ5z8Oa2HmVeq120XnyACteElfrpXJs6fwOOXeIC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C22WvBAAAA2wAAAA8AAAAAAAAAAAAAAAAAmAIAAGRycy9kb3du&#10;cmV2LnhtbFBLBQYAAAAABAAEAPUAAACGAwAAAAA=&#10;" fillcolor="#58bed7 [2420]" stroked="f"/>
              </v:group>
              <w10:wrap type="none"/>
              <w10:anchorlock/>
            </v:group>
          </w:pict>
        </w:r>
      </w:sdtContent>
    </w:sdt>
    <w:r>
      <w:tab/>
    </w:r>
  </w:p>
  <w:p w:rsidR="002B4FEE" w:rsidRDefault="002B4FEE" w:rsidP="00C42622">
    <w:pPr>
      <w:pStyle w:val="Footer"/>
      <w:tabs>
        <w:tab w:val="clear" w:pos="9026"/>
        <w:tab w:val="left" w:pos="5040"/>
        <w:tab w:val="left" w:pos="5760"/>
        <w:tab w:val="left" w:pos="6480"/>
        <w:tab w:val="left" w:pos="7200"/>
        <w:tab w:val="left" w:pos="7920"/>
        <w:tab w:val="left" w:pos="8640"/>
      </w:tabs>
    </w:pPr>
    <w:r>
      <w:tab/>
    </w:r>
    <w:r>
      <w:tab/>
    </w:r>
    <w:r>
      <w:tab/>
    </w:r>
    <w:r>
      <w:tab/>
    </w:r>
    <w:r>
      <w:tab/>
    </w:r>
    <w:r>
      <w:tab/>
    </w:r>
    <w:r>
      <w:tab/>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4FEE" w:rsidRDefault="002B4FEE" w:rsidP="00A77EA2">
      <w:pPr>
        <w:spacing w:after="0" w:line="240" w:lineRule="auto"/>
      </w:pPr>
      <w:r>
        <w:separator/>
      </w:r>
    </w:p>
  </w:footnote>
  <w:footnote w:type="continuationSeparator" w:id="0">
    <w:p w:rsidR="002B4FEE" w:rsidRDefault="002B4FEE" w:rsidP="00A77EA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4FEE" w:rsidRDefault="002B4FEE">
    <w:pPr>
      <w:pStyle w:val="Header"/>
    </w:pPr>
    <w:r w:rsidRPr="00313BAE">
      <w:rPr>
        <w:noProof/>
      </w:rPr>
      <w:drawing>
        <wp:anchor distT="0" distB="0" distL="114300" distR="114300" simplePos="0" relativeHeight="251659264" behindDoc="0" locked="0" layoutInCell="1" allowOverlap="1">
          <wp:simplePos x="0" y="0"/>
          <wp:positionH relativeFrom="column">
            <wp:posOffset>4921250</wp:posOffset>
          </wp:positionH>
          <wp:positionV relativeFrom="paragraph">
            <wp:posOffset>-102870</wp:posOffset>
          </wp:positionV>
          <wp:extent cx="1546860" cy="313055"/>
          <wp:effectExtent l="19050" t="0" r="0" b="0"/>
          <wp:wrapSquare wrapText="bothSides"/>
          <wp:docPr id="1" name="Picture 1" descr="Wahtcol.JPG"/>
          <wp:cNvGraphicFramePr/>
          <a:graphic xmlns:a="http://schemas.openxmlformats.org/drawingml/2006/main">
            <a:graphicData uri="http://schemas.openxmlformats.org/drawingml/2006/picture">
              <pic:pic xmlns:pic="http://schemas.openxmlformats.org/drawingml/2006/picture">
                <pic:nvPicPr>
                  <pic:cNvPr id="14339" name="Picture 3" descr="Wahtcol.JPG"/>
                  <pic:cNvPicPr>
                    <a:picLocks noChangeAspect="1"/>
                  </pic:cNvPicPr>
                </pic:nvPicPr>
                <pic:blipFill>
                  <a:blip r:embed="rId1" cstate="print"/>
                  <a:srcRect/>
                  <a:stretch>
                    <a:fillRect/>
                  </a:stretch>
                </pic:blipFill>
                <pic:spPr bwMode="auto">
                  <a:xfrm>
                    <a:off x="0" y="0"/>
                    <a:ext cx="1546860" cy="313055"/>
                  </a:xfrm>
                  <a:prstGeom prst="rect">
                    <a:avLst/>
                  </a:prstGeom>
                  <a:noFill/>
                  <a:ln w="9525">
                    <a:noFill/>
                    <a:miter lim="800000"/>
                    <a:headEnd/>
                    <a:tailEnd/>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25pt;height:11.25pt" o:bullet="t">
        <v:imagedata r:id="rId1" o:title="BD21364_"/>
      </v:shape>
    </w:pict>
  </w:numPicBullet>
  <w:numPicBullet w:numPicBulletId="1">
    <w:pict>
      <v:shape id="_x0000_i1031" type="#_x0000_t75" style="width:11.25pt;height:11.25pt" o:bullet="t">
        <v:imagedata r:id="rId2" o:title="BD21364_"/>
      </v:shape>
    </w:pict>
  </w:numPicBullet>
  <w:abstractNum w:abstractNumId="0">
    <w:nsid w:val="04D34A45"/>
    <w:multiLevelType w:val="hybridMultilevel"/>
    <w:tmpl w:val="E8D27E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
    <w:nsid w:val="07BA1599"/>
    <w:multiLevelType w:val="hybridMultilevel"/>
    <w:tmpl w:val="7E6A2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EF1907"/>
    <w:multiLevelType w:val="hybridMultilevel"/>
    <w:tmpl w:val="91062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D86D38"/>
    <w:multiLevelType w:val="hybridMultilevel"/>
    <w:tmpl w:val="9A40EF70"/>
    <w:lvl w:ilvl="0" w:tplc="0809000F">
      <w:start w:val="1"/>
      <w:numFmt w:val="decimal"/>
      <w:lvlText w:val="%1."/>
      <w:lvlJc w:val="left"/>
      <w:pPr>
        <w:ind w:left="787" w:hanging="360"/>
      </w:pPr>
    </w:lvl>
    <w:lvl w:ilvl="1" w:tplc="08090019" w:tentative="1">
      <w:start w:val="1"/>
      <w:numFmt w:val="lowerLetter"/>
      <w:lvlText w:val="%2."/>
      <w:lvlJc w:val="left"/>
      <w:pPr>
        <w:ind w:left="1507" w:hanging="360"/>
      </w:pPr>
    </w:lvl>
    <w:lvl w:ilvl="2" w:tplc="0809001B" w:tentative="1">
      <w:start w:val="1"/>
      <w:numFmt w:val="lowerRoman"/>
      <w:lvlText w:val="%3."/>
      <w:lvlJc w:val="right"/>
      <w:pPr>
        <w:ind w:left="2227" w:hanging="180"/>
      </w:pPr>
    </w:lvl>
    <w:lvl w:ilvl="3" w:tplc="0809000F" w:tentative="1">
      <w:start w:val="1"/>
      <w:numFmt w:val="decimal"/>
      <w:lvlText w:val="%4."/>
      <w:lvlJc w:val="left"/>
      <w:pPr>
        <w:ind w:left="2947" w:hanging="360"/>
      </w:pPr>
    </w:lvl>
    <w:lvl w:ilvl="4" w:tplc="08090019" w:tentative="1">
      <w:start w:val="1"/>
      <w:numFmt w:val="lowerLetter"/>
      <w:lvlText w:val="%5."/>
      <w:lvlJc w:val="left"/>
      <w:pPr>
        <w:ind w:left="3667" w:hanging="360"/>
      </w:pPr>
    </w:lvl>
    <w:lvl w:ilvl="5" w:tplc="0809001B" w:tentative="1">
      <w:start w:val="1"/>
      <w:numFmt w:val="lowerRoman"/>
      <w:lvlText w:val="%6."/>
      <w:lvlJc w:val="right"/>
      <w:pPr>
        <w:ind w:left="4387" w:hanging="180"/>
      </w:pPr>
    </w:lvl>
    <w:lvl w:ilvl="6" w:tplc="0809000F" w:tentative="1">
      <w:start w:val="1"/>
      <w:numFmt w:val="decimal"/>
      <w:lvlText w:val="%7."/>
      <w:lvlJc w:val="left"/>
      <w:pPr>
        <w:ind w:left="5107" w:hanging="360"/>
      </w:pPr>
    </w:lvl>
    <w:lvl w:ilvl="7" w:tplc="08090019" w:tentative="1">
      <w:start w:val="1"/>
      <w:numFmt w:val="lowerLetter"/>
      <w:lvlText w:val="%8."/>
      <w:lvlJc w:val="left"/>
      <w:pPr>
        <w:ind w:left="5827" w:hanging="360"/>
      </w:pPr>
    </w:lvl>
    <w:lvl w:ilvl="8" w:tplc="0809001B" w:tentative="1">
      <w:start w:val="1"/>
      <w:numFmt w:val="lowerRoman"/>
      <w:lvlText w:val="%9."/>
      <w:lvlJc w:val="right"/>
      <w:pPr>
        <w:ind w:left="6547" w:hanging="180"/>
      </w:pPr>
    </w:lvl>
  </w:abstractNum>
  <w:abstractNum w:abstractNumId="4">
    <w:nsid w:val="10F66108"/>
    <w:multiLevelType w:val="hybridMultilevel"/>
    <w:tmpl w:val="743A3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50470B4"/>
    <w:multiLevelType w:val="hybridMultilevel"/>
    <w:tmpl w:val="F4842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C35864"/>
    <w:multiLevelType w:val="hybridMultilevel"/>
    <w:tmpl w:val="99562370"/>
    <w:lvl w:ilvl="0" w:tplc="67F6C9FA">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452074D"/>
    <w:multiLevelType w:val="hybridMultilevel"/>
    <w:tmpl w:val="77381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CE804B9"/>
    <w:multiLevelType w:val="hybridMultilevel"/>
    <w:tmpl w:val="BBE618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61217E"/>
    <w:multiLevelType w:val="hybridMultilevel"/>
    <w:tmpl w:val="3028DC6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35762B1D"/>
    <w:multiLevelType w:val="hybridMultilevel"/>
    <w:tmpl w:val="B4BC2662"/>
    <w:lvl w:ilvl="0" w:tplc="89F4DB60">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3" w:hanging="360"/>
      </w:pPr>
      <w:rPr>
        <w:rFonts w:ascii="Courier New" w:hAnsi="Courier New" w:cs="Courier New" w:hint="default"/>
      </w:rPr>
    </w:lvl>
    <w:lvl w:ilvl="2" w:tplc="08090005" w:tentative="1">
      <w:start w:val="1"/>
      <w:numFmt w:val="bullet"/>
      <w:lvlText w:val=""/>
      <w:lvlJc w:val="left"/>
      <w:pPr>
        <w:ind w:left="2163" w:hanging="360"/>
      </w:pPr>
      <w:rPr>
        <w:rFonts w:ascii="Wingdings" w:hAnsi="Wingdings" w:hint="default"/>
      </w:rPr>
    </w:lvl>
    <w:lvl w:ilvl="3" w:tplc="08090001" w:tentative="1">
      <w:start w:val="1"/>
      <w:numFmt w:val="bullet"/>
      <w:lvlText w:val=""/>
      <w:lvlJc w:val="left"/>
      <w:pPr>
        <w:ind w:left="2883" w:hanging="360"/>
      </w:pPr>
      <w:rPr>
        <w:rFonts w:ascii="Symbol" w:hAnsi="Symbol" w:hint="default"/>
      </w:rPr>
    </w:lvl>
    <w:lvl w:ilvl="4" w:tplc="08090003" w:tentative="1">
      <w:start w:val="1"/>
      <w:numFmt w:val="bullet"/>
      <w:lvlText w:val="o"/>
      <w:lvlJc w:val="left"/>
      <w:pPr>
        <w:ind w:left="3603" w:hanging="360"/>
      </w:pPr>
      <w:rPr>
        <w:rFonts w:ascii="Courier New" w:hAnsi="Courier New" w:cs="Courier New" w:hint="default"/>
      </w:rPr>
    </w:lvl>
    <w:lvl w:ilvl="5" w:tplc="08090005" w:tentative="1">
      <w:start w:val="1"/>
      <w:numFmt w:val="bullet"/>
      <w:lvlText w:val=""/>
      <w:lvlJc w:val="left"/>
      <w:pPr>
        <w:ind w:left="4323" w:hanging="360"/>
      </w:pPr>
      <w:rPr>
        <w:rFonts w:ascii="Wingdings" w:hAnsi="Wingdings" w:hint="default"/>
      </w:rPr>
    </w:lvl>
    <w:lvl w:ilvl="6" w:tplc="08090001" w:tentative="1">
      <w:start w:val="1"/>
      <w:numFmt w:val="bullet"/>
      <w:lvlText w:val=""/>
      <w:lvlJc w:val="left"/>
      <w:pPr>
        <w:ind w:left="5043" w:hanging="360"/>
      </w:pPr>
      <w:rPr>
        <w:rFonts w:ascii="Symbol" w:hAnsi="Symbol" w:hint="default"/>
      </w:rPr>
    </w:lvl>
    <w:lvl w:ilvl="7" w:tplc="08090003" w:tentative="1">
      <w:start w:val="1"/>
      <w:numFmt w:val="bullet"/>
      <w:lvlText w:val="o"/>
      <w:lvlJc w:val="left"/>
      <w:pPr>
        <w:ind w:left="5763" w:hanging="360"/>
      </w:pPr>
      <w:rPr>
        <w:rFonts w:ascii="Courier New" w:hAnsi="Courier New" w:cs="Courier New" w:hint="default"/>
      </w:rPr>
    </w:lvl>
    <w:lvl w:ilvl="8" w:tplc="08090005" w:tentative="1">
      <w:start w:val="1"/>
      <w:numFmt w:val="bullet"/>
      <w:lvlText w:val=""/>
      <w:lvlJc w:val="left"/>
      <w:pPr>
        <w:ind w:left="6483" w:hanging="360"/>
      </w:pPr>
      <w:rPr>
        <w:rFonts w:ascii="Wingdings" w:hAnsi="Wingdings" w:hint="default"/>
      </w:rPr>
    </w:lvl>
  </w:abstractNum>
  <w:abstractNum w:abstractNumId="11">
    <w:nsid w:val="3CD271EF"/>
    <w:multiLevelType w:val="hybridMultilevel"/>
    <w:tmpl w:val="B38C77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EE76C59"/>
    <w:multiLevelType w:val="hybridMultilevel"/>
    <w:tmpl w:val="DF60E7F0"/>
    <w:lvl w:ilvl="0" w:tplc="08090001">
      <w:start w:val="1"/>
      <w:numFmt w:val="bullet"/>
      <w:lvlText w:val=""/>
      <w:lvlJc w:val="left"/>
      <w:pPr>
        <w:tabs>
          <w:tab w:val="num" w:pos="360"/>
        </w:tabs>
        <w:ind w:left="360" w:hanging="360"/>
      </w:pPr>
      <w:rPr>
        <w:rFonts w:ascii="Symbol" w:hAnsi="Symbol" w:hint="default"/>
      </w:rPr>
    </w:lvl>
    <w:lvl w:ilvl="1" w:tplc="9C48EFD4">
      <w:start w:val="1"/>
      <w:numFmt w:val="bullet"/>
      <w:lvlText w:val=""/>
      <w:lvlJc w:val="left"/>
      <w:pPr>
        <w:tabs>
          <w:tab w:val="num" w:pos="873"/>
        </w:tabs>
        <w:ind w:left="873" w:hanging="153"/>
      </w:pPr>
      <w:rPr>
        <w:rFonts w:ascii="Symbol" w:hAnsi="Symbol" w:hint="default"/>
        <w:color w:val="auto"/>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nsid w:val="410056D9"/>
    <w:multiLevelType w:val="hybridMultilevel"/>
    <w:tmpl w:val="37169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12C6988"/>
    <w:multiLevelType w:val="hybridMultilevel"/>
    <w:tmpl w:val="17E294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2C96460"/>
    <w:multiLevelType w:val="hybridMultilevel"/>
    <w:tmpl w:val="F858CE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49CB361B"/>
    <w:multiLevelType w:val="hybridMultilevel"/>
    <w:tmpl w:val="AF500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B2D31BB"/>
    <w:multiLevelType w:val="hybridMultilevel"/>
    <w:tmpl w:val="3AA0884A"/>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8">
    <w:nsid w:val="4C5F1FD4"/>
    <w:multiLevelType w:val="hybridMultilevel"/>
    <w:tmpl w:val="DC541AF6"/>
    <w:lvl w:ilvl="0" w:tplc="FFFFFFFF">
      <w:start w:val="1"/>
      <w:numFmt w:val="decimal"/>
      <w:lvlText w:val="%1."/>
      <w:lvlJc w:val="left"/>
      <w:pPr>
        <w:tabs>
          <w:tab w:val="num" w:pos="720"/>
        </w:tabs>
        <w:ind w:left="720" w:hanging="360"/>
      </w:pPr>
      <w:rPr>
        <w:rFonts w:cs="Times New Roman"/>
      </w:rPr>
    </w:lvl>
    <w:lvl w:ilvl="1" w:tplc="08090003">
      <w:start w:val="1"/>
      <w:numFmt w:val="bullet"/>
      <w:pStyle w:val="Style8Bullet2After18pt"/>
      <w:lvlText w:val=""/>
      <w:lvlJc w:val="left"/>
      <w:pPr>
        <w:tabs>
          <w:tab w:val="num" w:pos="1440"/>
        </w:tabs>
        <w:ind w:left="1440" w:hanging="360"/>
      </w:pPr>
      <w:rPr>
        <w:rFonts w:ascii="Symbol" w:hAnsi="Symbol" w:hint="default"/>
        <w:color w:val="339966"/>
      </w:rPr>
    </w:lvl>
    <w:lvl w:ilvl="2" w:tplc="08090005" w:tentative="1">
      <w:start w:val="1"/>
      <w:numFmt w:val="lowerRoman"/>
      <w:lvlText w:val="%3."/>
      <w:lvlJc w:val="right"/>
      <w:pPr>
        <w:tabs>
          <w:tab w:val="num" w:pos="2160"/>
        </w:tabs>
        <w:ind w:left="2160" w:hanging="180"/>
      </w:pPr>
      <w:rPr>
        <w:rFonts w:cs="Times New Roman"/>
      </w:rPr>
    </w:lvl>
    <w:lvl w:ilvl="3" w:tplc="08090001" w:tentative="1">
      <w:start w:val="1"/>
      <w:numFmt w:val="decimal"/>
      <w:lvlText w:val="%4."/>
      <w:lvlJc w:val="left"/>
      <w:pPr>
        <w:tabs>
          <w:tab w:val="num" w:pos="2880"/>
        </w:tabs>
        <w:ind w:left="2880" w:hanging="360"/>
      </w:pPr>
      <w:rPr>
        <w:rFonts w:cs="Times New Roman"/>
      </w:rPr>
    </w:lvl>
    <w:lvl w:ilvl="4" w:tplc="08090003" w:tentative="1">
      <w:start w:val="1"/>
      <w:numFmt w:val="lowerLetter"/>
      <w:lvlText w:val="%5."/>
      <w:lvlJc w:val="left"/>
      <w:pPr>
        <w:tabs>
          <w:tab w:val="num" w:pos="3600"/>
        </w:tabs>
        <w:ind w:left="3600" w:hanging="360"/>
      </w:pPr>
      <w:rPr>
        <w:rFonts w:cs="Times New Roman"/>
      </w:rPr>
    </w:lvl>
    <w:lvl w:ilvl="5" w:tplc="08090005" w:tentative="1">
      <w:start w:val="1"/>
      <w:numFmt w:val="lowerRoman"/>
      <w:lvlText w:val="%6."/>
      <w:lvlJc w:val="right"/>
      <w:pPr>
        <w:tabs>
          <w:tab w:val="num" w:pos="4320"/>
        </w:tabs>
        <w:ind w:left="4320" w:hanging="180"/>
      </w:pPr>
      <w:rPr>
        <w:rFonts w:cs="Times New Roman"/>
      </w:rPr>
    </w:lvl>
    <w:lvl w:ilvl="6" w:tplc="08090001" w:tentative="1">
      <w:start w:val="1"/>
      <w:numFmt w:val="decimal"/>
      <w:lvlText w:val="%7."/>
      <w:lvlJc w:val="left"/>
      <w:pPr>
        <w:tabs>
          <w:tab w:val="num" w:pos="5040"/>
        </w:tabs>
        <w:ind w:left="5040" w:hanging="360"/>
      </w:pPr>
      <w:rPr>
        <w:rFonts w:cs="Times New Roman"/>
      </w:rPr>
    </w:lvl>
    <w:lvl w:ilvl="7" w:tplc="08090003" w:tentative="1">
      <w:start w:val="1"/>
      <w:numFmt w:val="lowerLetter"/>
      <w:lvlText w:val="%8."/>
      <w:lvlJc w:val="left"/>
      <w:pPr>
        <w:tabs>
          <w:tab w:val="num" w:pos="5760"/>
        </w:tabs>
        <w:ind w:left="5760" w:hanging="360"/>
      </w:pPr>
      <w:rPr>
        <w:rFonts w:cs="Times New Roman"/>
      </w:rPr>
    </w:lvl>
    <w:lvl w:ilvl="8" w:tplc="08090005" w:tentative="1">
      <w:start w:val="1"/>
      <w:numFmt w:val="lowerRoman"/>
      <w:lvlText w:val="%9."/>
      <w:lvlJc w:val="right"/>
      <w:pPr>
        <w:tabs>
          <w:tab w:val="num" w:pos="6480"/>
        </w:tabs>
        <w:ind w:left="6480" w:hanging="180"/>
      </w:pPr>
      <w:rPr>
        <w:rFonts w:cs="Times New Roman"/>
      </w:rPr>
    </w:lvl>
  </w:abstractNum>
  <w:abstractNum w:abstractNumId="19">
    <w:nsid w:val="4CAC2A41"/>
    <w:multiLevelType w:val="hybridMultilevel"/>
    <w:tmpl w:val="7C38CC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54103E37"/>
    <w:multiLevelType w:val="hybridMultilevel"/>
    <w:tmpl w:val="0DA83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4E77692"/>
    <w:multiLevelType w:val="hybridMultilevel"/>
    <w:tmpl w:val="30220ED0"/>
    <w:lvl w:ilvl="0" w:tplc="67F6C9F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AA95935"/>
    <w:multiLevelType w:val="hybridMultilevel"/>
    <w:tmpl w:val="F9D291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C4C21CC"/>
    <w:multiLevelType w:val="hybridMultilevel"/>
    <w:tmpl w:val="839A2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6E478BD"/>
    <w:multiLevelType w:val="multilevel"/>
    <w:tmpl w:val="9B7EBD90"/>
    <w:lvl w:ilvl="0">
      <w:start w:val="1"/>
      <w:numFmt w:val="decimal"/>
      <w:lvlText w:val="%1.0"/>
      <w:lvlJc w:val="left"/>
      <w:pPr>
        <w:ind w:left="555" w:hanging="555"/>
      </w:pPr>
      <w:rPr>
        <w:rFonts w:hint="default"/>
      </w:rPr>
    </w:lvl>
    <w:lvl w:ilvl="1">
      <w:start w:val="1"/>
      <w:numFmt w:val="decimal"/>
      <w:lvlText w:val="%1.%2"/>
      <w:lvlJc w:val="left"/>
      <w:pPr>
        <w:ind w:left="1275" w:hanging="55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5">
    <w:nsid w:val="677F4913"/>
    <w:multiLevelType w:val="hybridMultilevel"/>
    <w:tmpl w:val="81DEB05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69873E83"/>
    <w:multiLevelType w:val="hybridMultilevel"/>
    <w:tmpl w:val="BE58A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6FDB713A"/>
    <w:multiLevelType w:val="multilevel"/>
    <w:tmpl w:val="069CF48A"/>
    <w:lvl w:ilvl="0">
      <w:start w:val="1"/>
      <w:numFmt w:val="decimal"/>
      <w:lvlText w:val="%1"/>
      <w:lvlJc w:val="left"/>
      <w:pPr>
        <w:ind w:left="510" w:hanging="510"/>
      </w:pPr>
      <w:rPr>
        <w:rFonts w:asciiTheme="majorHAnsi" w:eastAsiaTheme="majorEastAsia" w:hAnsiTheme="majorHAnsi" w:cstheme="majorBidi" w:hint="default"/>
        <w:b/>
        <w:color w:val="2DA2BF" w:themeColor="accent1"/>
        <w:sz w:val="26"/>
      </w:rPr>
    </w:lvl>
    <w:lvl w:ilvl="1">
      <w:start w:val="1"/>
      <w:numFmt w:val="decimal"/>
      <w:lvlText w:val="%1.%2"/>
      <w:lvlJc w:val="left"/>
      <w:pPr>
        <w:ind w:left="510" w:hanging="510"/>
      </w:pPr>
      <w:rPr>
        <w:rFonts w:asciiTheme="majorHAnsi" w:eastAsiaTheme="majorEastAsia" w:hAnsiTheme="majorHAnsi" w:cstheme="majorBidi" w:hint="default"/>
        <w:b/>
        <w:color w:val="2DA2BF" w:themeColor="accent1"/>
        <w:sz w:val="26"/>
      </w:rPr>
    </w:lvl>
    <w:lvl w:ilvl="2">
      <w:start w:val="1"/>
      <w:numFmt w:val="decimal"/>
      <w:lvlText w:val="%1.%2.%3"/>
      <w:lvlJc w:val="left"/>
      <w:pPr>
        <w:ind w:left="720" w:hanging="720"/>
      </w:pPr>
      <w:rPr>
        <w:rFonts w:asciiTheme="majorHAnsi" w:eastAsiaTheme="majorEastAsia" w:hAnsiTheme="majorHAnsi" w:cstheme="majorBidi" w:hint="default"/>
        <w:b/>
        <w:color w:val="2DA2BF" w:themeColor="accent1"/>
        <w:sz w:val="26"/>
      </w:rPr>
    </w:lvl>
    <w:lvl w:ilvl="3">
      <w:start w:val="1"/>
      <w:numFmt w:val="decimal"/>
      <w:lvlText w:val="%1.%2.%3.%4"/>
      <w:lvlJc w:val="left"/>
      <w:pPr>
        <w:ind w:left="1080" w:hanging="1080"/>
      </w:pPr>
      <w:rPr>
        <w:rFonts w:asciiTheme="majorHAnsi" w:eastAsiaTheme="majorEastAsia" w:hAnsiTheme="majorHAnsi" w:cstheme="majorBidi" w:hint="default"/>
        <w:b/>
        <w:color w:val="2DA2BF" w:themeColor="accent1"/>
        <w:sz w:val="26"/>
      </w:rPr>
    </w:lvl>
    <w:lvl w:ilvl="4">
      <w:start w:val="1"/>
      <w:numFmt w:val="decimal"/>
      <w:lvlText w:val="%1.%2.%3.%4.%5"/>
      <w:lvlJc w:val="left"/>
      <w:pPr>
        <w:ind w:left="1080" w:hanging="1080"/>
      </w:pPr>
      <w:rPr>
        <w:rFonts w:asciiTheme="majorHAnsi" w:eastAsiaTheme="majorEastAsia" w:hAnsiTheme="majorHAnsi" w:cstheme="majorBidi" w:hint="default"/>
        <w:b/>
        <w:color w:val="2DA2BF" w:themeColor="accent1"/>
        <w:sz w:val="26"/>
      </w:rPr>
    </w:lvl>
    <w:lvl w:ilvl="5">
      <w:start w:val="1"/>
      <w:numFmt w:val="decimal"/>
      <w:lvlText w:val="%1.%2.%3.%4.%5.%6"/>
      <w:lvlJc w:val="left"/>
      <w:pPr>
        <w:ind w:left="1440" w:hanging="1440"/>
      </w:pPr>
      <w:rPr>
        <w:rFonts w:asciiTheme="majorHAnsi" w:eastAsiaTheme="majorEastAsia" w:hAnsiTheme="majorHAnsi" w:cstheme="majorBidi" w:hint="default"/>
        <w:b/>
        <w:color w:val="2DA2BF" w:themeColor="accent1"/>
        <w:sz w:val="26"/>
      </w:rPr>
    </w:lvl>
    <w:lvl w:ilvl="6">
      <w:start w:val="1"/>
      <w:numFmt w:val="decimal"/>
      <w:lvlText w:val="%1.%2.%3.%4.%5.%6.%7"/>
      <w:lvlJc w:val="left"/>
      <w:pPr>
        <w:ind w:left="1440" w:hanging="1440"/>
      </w:pPr>
      <w:rPr>
        <w:rFonts w:asciiTheme="majorHAnsi" w:eastAsiaTheme="majorEastAsia" w:hAnsiTheme="majorHAnsi" w:cstheme="majorBidi" w:hint="default"/>
        <w:b/>
        <w:color w:val="2DA2BF" w:themeColor="accent1"/>
        <w:sz w:val="26"/>
      </w:rPr>
    </w:lvl>
    <w:lvl w:ilvl="7">
      <w:start w:val="1"/>
      <w:numFmt w:val="decimal"/>
      <w:lvlText w:val="%1.%2.%3.%4.%5.%6.%7.%8"/>
      <w:lvlJc w:val="left"/>
      <w:pPr>
        <w:ind w:left="1800" w:hanging="1800"/>
      </w:pPr>
      <w:rPr>
        <w:rFonts w:asciiTheme="majorHAnsi" w:eastAsiaTheme="majorEastAsia" w:hAnsiTheme="majorHAnsi" w:cstheme="majorBidi" w:hint="default"/>
        <w:b/>
        <w:color w:val="2DA2BF" w:themeColor="accent1"/>
        <w:sz w:val="26"/>
      </w:rPr>
    </w:lvl>
    <w:lvl w:ilvl="8">
      <w:start w:val="1"/>
      <w:numFmt w:val="decimal"/>
      <w:lvlText w:val="%1.%2.%3.%4.%5.%6.%7.%8.%9"/>
      <w:lvlJc w:val="left"/>
      <w:pPr>
        <w:ind w:left="2160" w:hanging="2160"/>
      </w:pPr>
      <w:rPr>
        <w:rFonts w:asciiTheme="majorHAnsi" w:eastAsiaTheme="majorEastAsia" w:hAnsiTheme="majorHAnsi" w:cstheme="majorBidi" w:hint="default"/>
        <w:b/>
        <w:color w:val="2DA2BF" w:themeColor="accent1"/>
        <w:sz w:val="26"/>
      </w:rPr>
    </w:lvl>
  </w:abstractNum>
  <w:abstractNum w:abstractNumId="28">
    <w:nsid w:val="71F04A95"/>
    <w:multiLevelType w:val="hybridMultilevel"/>
    <w:tmpl w:val="3D66C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25156E4"/>
    <w:multiLevelType w:val="multilevel"/>
    <w:tmpl w:val="769EF92E"/>
    <w:lvl w:ilvl="0">
      <w:start w:val="5"/>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0">
    <w:nsid w:val="74B33555"/>
    <w:multiLevelType w:val="hybridMultilevel"/>
    <w:tmpl w:val="83D4FE6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5EF1D5E"/>
    <w:multiLevelType w:val="multilevel"/>
    <w:tmpl w:val="C7988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C2321C6"/>
    <w:multiLevelType w:val="hybridMultilevel"/>
    <w:tmpl w:val="12C43AD6"/>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7"/>
  </w:num>
  <w:num w:numId="3">
    <w:abstractNumId w:val="21"/>
  </w:num>
  <w:num w:numId="4">
    <w:abstractNumId w:val="18"/>
  </w:num>
  <w:num w:numId="5">
    <w:abstractNumId w:val="12"/>
  </w:num>
  <w:num w:numId="6">
    <w:abstractNumId w:val="17"/>
  </w:num>
  <w:num w:numId="7">
    <w:abstractNumId w:val="32"/>
  </w:num>
  <w:num w:numId="8">
    <w:abstractNumId w:val="24"/>
  </w:num>
  <w:num w:numId="9">
    <w:abstractNumId w:val="2"/>
  </w:num>
  <w:num w:numId="10">
    <w:abstractNumId w:val="23"/>
  </w:num>
  <w:num w:numId="11">
    <w:abstractNumId w:val="20"/>
  </w:num>
  <w:num w:numId="12">
    <w:abstractNumId w:val="30"/>
  </w:num>
  <w:num w:numId="13">
    <w:abstractNumId w:val="28"/>
  </w:num>
  <w:num w:numId="14">
    <w:abstractNumId w:val="31"/>
  </w:num>
  <w:num w:numId="15">
    <w:abstractNumId w:val="5"/>
  </w:num>
  <w:num w:numId="16">
    <w:abstractNumId w:val="26"/>
  </w:num>
  <w:num w:numId="17">
    <w:abstractNumId w:val="16"/>
  </w:num>
  <w:num w:numId="18">
    <w:abstractNumId w:val="10"/>
  </w:num>
  <w:num w:numId="19">
    <w:abstractNumId w:val="8"/>
  </w:num>
  <w:num w:numId="20">
    <w:abstractNumId w:val="15"/>
  </w:num>
  <w:num w:numId="21">
    <w:abstractNumId w:val="19"/>
  </w:num>
  <w:num w:numId="22">
    <w:abstractNumId w:val="22"/>
  </w:num>
  <w:num w:numId="23">
    <w:abstractNumId w:val="4"/>
  </w:num>
  <w:num w:numId="24">
    <w:abstractNumId w:val="25"/>
  </w:num>
  <w:num w:numId="25">
    <w:abstractNumId w:val="3"/>
  </w:num>
  <w:num w:numId="26">
    <w:abstractNumId w:val="11"/>
  </w:num>
  <w:num w:numId="27">
    <w:abstractNumId w:val="1"/>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9"/>
  </w:num>
  <w:num w:numId="31">
    <w:abstractNumId w:val="13"/>
  </w:num>
  <w:num w:numId="32">
    <w:abstractNumId w:val="6"/>
  </w:num>
  <w:num w:numId="33">
    <w:abstractNumId w:val="29"/>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056" fillcolor="none [3201]" strokecolor="none [1940]">
      <v:fill color="none [3201]" color2="none [1300]" focusposition="1" focussize="" focus="100%" type="gradient"/>
      <v:stroke color="none [1940]" weight="1pt"/>
      <v:shadow on="t" type="perspective" color="none [1604]" opacity=".5" offset="1pt" offset2="-3pt"/>
    </o:shapedefaults>
    <o:shapelayout v:ext="edit">
      <o:idmap v:ext="edit" data="2"/>
    </o:shapelayout>
  </w:hdrShapeDefaults>
  <w:footnotePr>
    <w:footnote w:id="-1"/>
    <w:footnote w:id="0"/>
  </w:footnotePr>
  <w:endnotePr>
    <w:endnote w:id="-1"/>
    <w:endnote w:id="0"/>
  </w:endnotePr>
  <w:compat>
    <w:useFELayout/>
  </w:compat>
  <w:rsids>
    <w:rsidRoot w:val="00AB3CF2"/>
    <w:rsid w:val="00000B99"/>
    <w:rsid w:val="000016EC"/>
    <w:rsid w:val="00001C96"/>
    <w:rsid w:val="000024C5"/>
    <w:rsid w:val="00002858"/>
    <w:rsid w:val="00002B46"/>
    <w:rsid w:val="00002B84"/>
    <w:rsid w:val="00002EA3"/>
    <w:rsid w:val="0000354B"/>
    <w:rsid w:val="00003930"/>
    <w:rsid w:val="00003F64"/>
    <w:rsid w:val="00004669"/>
    <w:rsid w:val="000051CC"/>
    <w:rsid w:val="00005333"/>
    <w:rsid w:val="000075D5"/>
    <w:rsid w:val="00007ABE"/>
    <w:rsid w:val="0001047A"/>
    <w:rsid w:val="000130B7"/>
    <w:rsid w:val="00013AB8"/>
    <w:rsid w:val="00014A40"/>
    <w:rsid w:val="00014CBC"/>
    <w:rsid w:val="00014E2A"/>
    <w:rsid w:val="00015ACC"/>
    <w:rsid w:val="0001615B"/>
    <w:rsid w:val="00017954"/>
    <w:rsid w:val="00017BAC"/>
    <w:rsid w:val="00017E65"/>
    <w:rsid w:val="00020125"/>
    <w:rsid w:val="00020242"/>
    <w:rsid w:val="00020319"/>
    <w:rsid w:val="00020B64"/>
    <w:rsid w:val="00020C0E"/>
    <w:rsid w:val="00020FB5"/>
    <w:rsid w:val="00021082"/>
    <w:rsid w:val="000217AE"/>
    <w:rsid w:val="000218F9"/>
    <w:rsid w:val="00022506"/>
    <w:rsid w:val="00022653"/>
    <w:rsid w:val="0002267E"/>
    <w:rsid w:val="000229BF"/>
    <w:rsid w:val="000242DF"/>
    <w:rsid w:val="00024841"/>
    <w:rsid w:val="00025127"/>
    <w:rsid w:val="000252B9"/>
    <w:rsid w:val="00025B1D"/>
    <w:rsid w:val="00025DAD"/>
    <w:rsid w:val="00025FD9"/>
    <w:rsid w:val="00026541"/>
    <w:rsid w:val="00027678"/>
    <w:rsid w:val="0002776D"/>
    <w:rsid w:val="00027BF8"/>
    <w:rsid w:val="0003345A"/>
    <w:rsid w:val="0003387F"/>
    <w:rsid w:val="0003388D"/>
    <w:rsid w:val="00033A3A"/>
    <w:rsid w:val="00034556"/>
    <w:rsid w:val="000349F5"/>
    <w:rsid w:val="0003639D"/>
    <w:rsid w:val="00037166"/>
    <w:rsid w:val="0003730C"/>
    <w:rsid w:val="00037B85"/>
    <w:rsid w:val="00040C76"/>
    <w:rsid w:val="000413BB"/>
    <w:rsid w:val="0004183E"/>
    <w:rsid w:val="00042A5D"/>
    <w:rsid w:val="000431B4"/>
    <w:rsid w:val="000436D7"/>
    <w:rsid w:val="00043ED8"/>
    <w:rsid w:val="0004656D"/>
    <w:rsid w:val="00050213"/>
    <w:rsid w:val="00052791"/>
    <w:rsid w:val="00053433"/>
    <w:rsid w:val="00054029"/>
    <w:rsid w:val="00055768"/>
    <w:rsid w:val="00055EE1"/>
    <w:rsid w:val="000561FE"/>
    <w:rsid w:val="000562D4"/>
    <w:rsid w:val="000569D2"/>
    <w:rsid w:val="000577A1"/>
    <w:rsid w:val="00057BA5"/>
    <w:rsid w:val="000615D6"/>
    <w:rsid w:val="000619F7"/>
    <w:rsid w:val="00061A1C"/>
    <w:rsid w:val="00061EE9"/>
    <w:rsid w:val="00062875"/>
    <w:rsid w:val="00063F7B"/>
    <w:rsid w:val="00064347"/>
    <w:rsid w:val="000646D9"/>
    <w:rsid w:val="00064CC0"/>
    <w:rsid w:val="000650E6"/>
    <w:rsid w:val="00067216"/>
    <w:rsid w:val="0006772C"/>
    <w:rsid w:val="00070155"/>
    <w:rsid w:val="0007071E"/>
    <w:rsid w:val="00071970"/>
    <w:rsid w:val="00072343"/>
    <w:rsid w:val="00072368"/>
    <w:rsid w:val="00072F15"/>
    <w:rsid w:val="00073310"/>
    <w:rsid w:val="00074BC8"/>
    <w:rsid w:val="00075530"/>
    <w:rsid w:val="00076CF4"/>
    <w:rsid w:val="000818AD"/>
    <w:rsid w:val="00083361"/>
    <w:rsid w:val="00083E3B"/>
    <w:rsid w:val="00083E7A"/>
    <w:rsid w:val="00084993"/>
    <w:rsid w:val="00084C77"/>
    <w:rsid w:val="00085FB6"/>
    <w:rsid w:val="00087F23"/>
    <w:rsid w:val="00087F60"/>
    <w:rsid w:val="00090852"/>
    <w:rsid w:val="000908D4"/>
    <w:rsid w:val="00090AA8"/>
    <w:rsid w:val="00090BFF"/>
    <w:rsid w:val="000918CB"/>
    <w:rsid w:val="000923AF"/>
    <w:rsid w:val="00093148"/>
    <w:rsid w:val="00093B68"/>
    <w:rsid w:val="00093ED0"/>
    <w:rsid w:val="00094A8C"/>
    <w:rsid w:val="00095C85"/>
    <w:rsid w:val="00095C98"/>
    <w:rsid w:val="000964F5"/>
    <w:rsid w:val="00097179"/>
    <w:rsid w:val="000974D9"/>
    <w:rsid w:val="000A133B"/>
    <w:rsid w:val="000A1BD5"/>
    <w:rsid w:val="000A349C"/>
    <w:rsid w:val="000A4101"/>
    <w:rsid w:val="000A5C20"/>
    <w:rsid w:val="000A67A9"/>
    <w:rsid w:val="000A7301"/>
    <w:rsid w:val="000B073C"/>
    <w:rsid w:val="000B0C9B"/>
    <w:rsid w:val="000B1022"/>
    <w:rsid w:val="000B14A0"/>
    <w:rsid w:val="000B2672"/>
    <w:rsid w:val="000B2A9E"/>
    <w:rsid w:val="000B2C52"/>
    <w:rsid w:val="000B2F16"/>
    <w:rsid w:val="000B3FAC"/>
    <w:rsid w:val="000B44EA"/>
    <w:rsid w:val="000B5F0B"/>
    <w:rsid w:val="000B6079"/>
    <w:rsid w:val="000B74E2"/>
    <w:rsid w:val="000B7727"/>
    <w:rsid w:val="000C019A"/>
    <w:rsid w:val="000C08AA"/>
    <w:rsid w:val="000C0C71"/>
    <w:rsid w:val="000C0CE6"/>
    <w:rsid w:val="000C0DF1"/>
    <w:rsid w:val="000C2046"/>
    <w:rsid w:val="000C2C79"/>
    <w:rsid w:val="000C3392"/>
    <w:rsid w:val="000C3924"/>
    <w:rsid w:val="000C3AAB"/>
    <w:rsid w:val="000C3B94"/>
    <w:rsid w:val="000C47D5"/>
    <w:rsid w:val="000C4D08"/>
    <w:rsid w:val="000C4FD9"/>
    <w:rsid w:val="000C50AA"/>
    <w:rsid w:val="000C56E1"/>
    <w:rsid w:val="000C5CB3"/>
    <w:rsid w:val="000C6FC6"/>
    <w:rsid w:val="000C77A2"/>
    <w:rsid w:val="000C795D"/>
    <w:rsid w:val="000C7E16"/>
    <w:rsid w:val="000D001F"/>
    <w:rsid w:val="000D0822"/>
    <w:rsid w:val="000D1026"/>
    <w:rsid w:val="000D1258"/>
    <w:rsid w:val="000D181F"/>
    <w:rsid w:val="000D4197"/>
    <w:rsid w:val="000D41DB"/>
    <w:rsid w:val="000D4F61"/>
    <w:rsid w:val="000D5A10"/>
    <w:rsid w:val="000D5C74"/>
    <w:rsid w:val="000D61DC"/>
    <w:rsid w:val="000D64A0"/>
    <w:rsid w:val="000D6520"/>
    <w:rsid w:val="000D66BA"/>
    <w:rsid w:val="000D726F"/>
    <w:rsid w:val="000E004D"/>
    <w:rsid w:val="000E0307"/>
    <w:rsid w:val="000E072F"/>
    <w:rsid w:val="000E1026"/>
    <w:rsid w:val="000E1C50"/>
    <w:rsid w:val="000E1CC5"/>
    <w:rsid w:val="000E2457"/>
    <w:rsid w:val="000E561A"/>
    <w:rsid w:val="000E6080"/>
    <w:rsid w:val="000E643F"/>
    <w:rsid w:val="000F11DD"/>
    <w:rsid w:val="000F1393"/>
    <w:rsid w:val="000F20A6"/>
    <w:rsid w:val="000F27EC"/>
    <w:rsid w:val="000F2A73"/>
    <w:rsid w:val="000F317A"/>
    <w:rsid w:val="000F36F2"/>
    <w:rsid w:val="000F4010"/>
    <w:rsid w:val="000F481F"/>
    <w:rsid w:val="000F4A71"/>
    <w:rsid w:val="000F5895"/>
    <w:rsid w:val="000F7D93"/>
    <w:rsid w:val="000F7E6A"/>
    <w:rsid w:val="00101E0C"/>
    <w:rsid w:val="001027B5"/>
    <w:rsid w:val="00102C1C"/>
    <w:rsid w:val="00103564"/>
    <w:rsid w:val="001058B5"/>
    <w:rsid w:val="00105EDA"/>
    <w:rsid w:val="00107B23"/>
    <w:rsid w:val="0011029F"/>
    <w:rsid w:val="00110742"/>
    <w:rsid w:val="00110BAD"/>
    <w:rsid w:val="00111766"/>
    <w:rsid w:val="00112200"/>
    <w:rsid w:val="00112521"/>
    <w:rsid w:val="00112A70"/>
    <w:rsid w:val="0011380E"/>
    <w:rsid w:val="00115BCD"/>
    <w:rsid w:val="00115E87"/>
    <w:rsid w:val="00116129"/>
    <w:rsid w:val="00116145"/>
    <w:rsid w:val="00116DA0"/>
    <w:rsid w:val="001174AF"/>
    <w:rsid w:val="00117EBA"/>
    <w:rsid w:val="00120376"/>
    <w:rsid w:val="001209E1"/>
    <w:rsid w:val="00121F8C"/>
    <w:rsid w:val="0012293C"/>
    <w:rsid w:val="00123203"/>
    <w:rsid w:val="0012342B"/>
    <w:rsid w:val="00123AC4"/>
    <w:rsid w:val="001245B7"/>
    <w:rsid w:val="001263C0"/>
    <w:rsid w:val="00126AC6"/>
    <w:rsid w:val="001272A6"/>
    <w:rsid w:val="00130867"/>
    <w:rsid w:val="00130FAF"/>
    <w:rsid w:val="00131D93"/>
    <w:rsid w:val="0013224F"/>
    <w:rsid w:val="00133F4E"/>
    <w:rsid w:val="00134534"/>
    <w:rsid w:val="001347AF"/>
    <w:rsid w:val="00135F11"/>
    <w:rsid w:val="00136EAB"/>
    <w:rsid w:val="00137406"/>
    <w:rsid w:val="0014003B"/>
    <w:rsid w:val="00140D79"/>
    <w:rsid w:val="001423E0"/>
    <w:rsid w:val="00142518"/>
    <w:rsid w:val="0014271A"/>
    <w:rsid w:val="001433B2"/>
    <w:rsid w:val="001435C1"/>
    <w:rsid w:val="00144E44"/>
    <w:rsid w:val="0014558F"/>
    <w:rsid w:val="00145CDF"/>
    <w:rsid w:val="00145DD6"/>
    <w:rsid w:val="00145EB6"/>
    <w:rsid w:val="00146038"/>
    <w:rsid w:val="00146B7B"/>
    <w:rsid w:val="00147458"/>
    <w:rsid w:val="00150C05"/>
    <w:rsid w:val="00150D0D"/>
    <w:rsid w:val="001510BB"/>
    <w:rsid w:val="001513CF"/>
    <w:rsid w:val="00152146"/>
    <w:rsid w:val="00152492"/>
    <w:rsid w:val="00154DE4"/>
    <w:rsid w:val="0015628B"/>
    <w:rsid w:val="0015632C"/>
    <w:rsid w:val="00156872"/>
    <w:rsid w:val="00157B5C"/>
    <w:rsid w:val="001603CC"/>
    <w:rsid w:val="00160D68"/>
    <w:rsid w:val="00162748"/>
    <w:rsid w:val="001633DA"/>
    <w:rsid w:val="001633E0"/>
    <w:rsid w:val="00164F10"/>
    <w:rsid w:val="001666CC"/>
    <w:rsid w:val="001669FD"/>
    <w:rsid w:val="00167DA7"/>
    <w:rsid w:val="0017079A"/>
    <w:rsid w:val="00170A77"/>
    <w:rsid w:val="0017190D"/>
    <w:rsid w:val="0017227E"/>
    <w:rsid w:val="0017236D"/>
    <w:rsid w:val="00172552"/>
    <w:rsid w:val="001726A4"/>
    <w:rsid w:val="00172B81"/>
    <w:rsid w:val="00174469"/>
    <w:rsid w:val="00174D43"/>
    <w:rsid w:val="00174F79"/>
    <w:rsid w:val="00175C94"/>
    <w:rsid w:val="001763A8"/>
    <w:rsid w:val="001768A4"/>
    <w:rsid w:val="00177E0B"/>
    <w:rsid w:val="00177F87"/>
    <w:rsid w:val="001802FF"/>
    <w:rsid w:val="001808CB"/>
    <w:rsid w:val="00180C26"/>
    <w:rsid w:val="00181136"/>
    <w:rsid w:val="001821EF"/>
    <w:rsid w:val="00182851"/>
    <w:rsid w:val="00183722"/>
    <w:rsid w:val="00183FC7"/>
    <w:rsid w:val="0018416F"/>
    <w:rsid w:val="0018436B"/>
    <w:rsid w:val="001860A7"/>
    <w:rsid w:val="001864C3"/>
    <w:rsid w:val="0018717A"/>
    <w:rsid w:val="00190A4A"/>
    <w:rsid w:val="001916BC"/>
    <w:rsid w:val="0019199D"/>
    <w:rsid w:val="00191A1B"/>
    <w:rsid w:val="00191E5D"/>
    <w:rsid w:val="00192411"/>
    <w:rsid w:val="00192808"/>
    <w:rsid w:val="00193598"/>
    <w:rsid w:val="00193DD5"/>
    <w:rsid w:val="0019504C"/>
    <w:rsid w:val="00195962"/>
    <w:rsid w:val="00195B4B"/>
    <w:rsid w:val="00195F2C"/>
    <w:rsid w:val="001963C2"/>
    <w:rsid w:val="001969AF"/>
    <w:rsid w:val="001A1396"/>
    <w:rsid w:val="001A18DF"/>
    <w:rsid w:val="001A1E20"/>
    <w:rsid w:val="001A2F20"/>
    <w:rsid w:val="001A4B9D"/>
    <w:rsid w:val="001A503C"/>
    <w:rsid w:val="001A53A7"/>
    <w:rsid w:val="001A5D58"/>
    <w:rsid w:val="001A5D91"/>
    <w:rsid w:val="001A6673"/>
    <w:rsid w:val="001B0999"/>
    <w:rsid w:val="001B17D3"/>
    <w:rsid w:val="001B1AFB"/>
    <w:rsid w:val="001B1B66"/>
    <w:rsid w:val="001B1B68"/>
    <w:rsid w:val="001B1CEF"/>
    <w:rsid w:val="001B1D27"/>
    <w:rsid w:val="001B1DC1"/>
    <w:rsid w:val="001B2D2A"/>
    <w:rsid w:val="001B3B3A"/>
    <w:rsid w:val="001B3E35"/>
    <w:rsid w:val="001B586D"/>
    <w:rsid w:val="001B59FF"/>
    <w:rsid w:val="001B5FAE"/>
    <w:rsid w:val="001B6079"/>
    <w:rsid w:val="001B6E2E"/>
    <w:rsid w:val="001B7226"/>
    <w:rsid w:val="001C0E10"/>
    <w:rsid w:val="001C0E15"/>
    <w:rsid w:val="001C1371"/>
    <w:rsid w:val="001C1617"/>
    <w:rsid w:val="001C16A2"/>
    <w:rsid w:val="001C248F"/>
    <w:rsid w:val="001C2664"/>
    <w:rsid w:val="001C2BA5"/>
    <w:rsid w:val="001C2EE7"/>
    <w:rsid w:val="001C386B"/>
    <w:rsid w:val="001C38FE"/>
    <w:rsid w:val="001C3CB2"/>
    <w:rsid w:val="001C5705"/>
    <w:rsid w:val="001C58B7"/>
    <w:rsid w:val="001C5D8D"/>
    <w:rsid w:val="001C6980"/>
    <w:rsid w:val="001C7B00"/>
    <w:rsid w:val="001C7B82"/>
    <w:rsid w:val="001D0B2F"/>
    <w:rsid w:val="001D0BDC"/>
    <w:rsid w:val="001D0D25"/>
    <w:rsid w:val="001D20DD"/>
    <w:rsid w:val="001D22E8"/>
    <w:rsid w:val="001D322F"/>
    <w:rsid w:val="001D5948"/>
    <w:rsid w:val="001D5B4E"/>
    <w:rsid w:val="001D5DC9"/>
    <w:rsid w:val="001D70DF"/>
    <w:rsid w:val="001E03B2"/>
    <w:rsid w:val="001E03ED"/>
    <w:rsid w:val="001E07A1"/>
    <w:rsid w:val="001E07C0"/>
    <w:rsid w:val="001E1878"/>
    <w:rsid w:val="001E1CA5"/>
    <w:rsid w:val="001E210D"/>
    <w:rsid w:val="001E28F9"/>
    <w:rsid w:val="001E39F7"/>
    <w:rsid w:val="001E3CE5"/>
    <w:rsid w:val="001E4F9A"/>
    <w:rsid w:val="001E6142"/>
    <w:rsid w:val="001E6545"/>
    <w:rsid w:val="001E6910"/>
    <w:rsid w:val="001E76E9"/>
    <w:rsid w:val="001E794F"/>
    <w:rsid w:val="001E7BD1"/>
    <w:rsid w:val="001F0B8E"/>
    <w:rsid w:val="001F168E"/>
    <w:rsid w:val="001F170B"/>
    <w:rsid w:val="001F2158"/>
    <w:rsid w:val="001F3473"/>
    <w:rsid w:val="001F42FC"/>
    <w:rsid w:val="001F475D"/>
    <w:rsid w:val="001F49B0"/>
    <w:rsid w:val="001F67E8"/>
    <w:rsid w:val="001F71E1"/>
    <w:rsid w:val="001F7D4D"/>
    <w:rsid w:val="002002A7"/>
    <w:rsid w:val="002005B8"/>
    <w:rsid w:val="002005DF"/>
    <w:rsid w:val="00200DC5"/>
    <w:rsid w:val="0020289C"/>
    <w:rsid w:val="00202A81"/>
    <w:rsid w:val="0020326D"/>
    <w:rsid w:val="00203DD9"/>
    <w:rsid w:val="0020403C"/>
    <w:rsid w:val="0020425B"/>
    <w:rsid w:val="002046B4"/>
    <w:rsid w:val="00204D4D"/>
    <w:rsid w:val="00207AE6"/>
    <w:rsid w:val="00210480"/>
    <w:rsid w:val="00210748"/>
    <w:rsid w:val="00210A68"/>
    <w:rsid w:val="00210B82"/>
    <w:rsid w:val="00210BEF"/>
    <w:rsid w:val="00211B11"/>
    <w:rsid w:val="00211C67"/>
    <w:rsid w:val="002129A2"/>
    <w:rsid w:val="00213AD2"/>
    <w:rsid w:val="00213C21"/>
    <w:rsid w:val="002145C8"/>
    <w:rsid w:val="00214D95"/>
    <w:rsid w:val="00214F8C"/>
    <w:rsid w:val="00216A0B"/>
    <w:rsid w:val="0022019A"/>
    <w:rsid w:val="002202FB"/>
    <w:rsid w:val="00220A63"/>
    <w:rsid w:val="00222869"/>
    <w:rsid w:val="00222D7C"/>
    <w:rsid w:val="002254F4"/>
    <w:rsid w:val="00226AB5"/>
    <w:rsid w:val="00226C2A"/>
    <w:rsid w:val="00226FD4"/>
    <w:rsid w:val="00227C38"/>
    <w:rsid w:val="00227F30"/>
    <w:rsid w:val="0023114B"/>
    <w:rsid w:val="0023125B"/>
    <w:rsid w:val="0023158A"/>
    <w:rsid w:val="00231DE4"/>
    <w:rsid w:val="00232F7E"/>
    <w:rsid w:val="00233193"/>
    <w:rsid w:val="00233332"/>
    <w:rsid w:val="002339FA"/>
    <w:rsid w:val="00233A01"/>
    <w:rsid w:val="00234C35"/>
    <w:rsid w:val="00235A07"/>
    <w:rsid w:val="002364F3"/>
    <w:rsid w:val="00236A2F"/>
    <w:rsid w:val="00236DF4"/>
    <w:rsid w:val="00237E13"/>
    <w:rsid w:val="002404FA"/>
    <w:rsid w:val="00241059"/>
    <w:rsid w:val="00241166"/>
    <w:rsid w:val="0024164C"/>
    <w:rsid w:val="00241833"/>
    <w:rsid w:val="00242236"/>
    <w:rsid w:val="00243146"/>
    <w:rsid w:val="002434A7"/>
    <w:rsid w:val="002436C9"/>
    <w:rsid w:val="002439B5"/>
    <w:rsid w:val="002447D7"/>
    <w:rsid w:val="002458C4"/>
    <w:rsid w:val="00245F3C"/>
    <w:rsid w:val="00252E48"/>
    <w:rsid w:val="00253D96"/>
    <w:rsid w:val="002551AA"/>
    <w:rsid w:val="00255468"/>
    <w:rsid w:val="002554CA"/>
    <w:rsid w:val="0025606B"/>
    <w:rsid w:val="002566C3"/>
    <w:rsid w:val="002572DA"/>
    <w:rsid w:val="00257A8C"/>
    <w:rsid w:val="00257ACD"/>
    <w:rsid w:val="00260A0D"/>
    <w:rsid w:val="00260F5F"/>
    <w:rsid w:val="00262253"/>
    <w:rsid w:val="00262513"/>
    <w:rsid w:val="00262C6F"/>
    <w:rsid w:val="00262CF4"/>
    <w:rsid w:val="002641D2"/>
    <w:rsid w:val="00264652"/>
    <w:rsid w:val="00265688"/>
    <w:rsid w:val="00265A83"/>
    <w:rsid w:val="00265B12"/>
    <w:rsid w:val="00270040"/>
    <w:rsid w:val="00270AB2"/>
    <w:rsid w:val="00270D48"/>
    <w:rsid w:val="00270E6A"/>
    <w:rsid w:val="00271799"/>
    <w:rsid w:val="00273525"/>
    <w:rsid w:val="00273985"/>
    <w:rsid w:val="00274001"/>
    <w:rsid w:val="0027420D"/>
    <w:rsid w:val="00275225"/>
    <w:rsid w:val="002755F8"/>
    <w:rsid w:val="00275CB4"/>
    <w:rsid w:val="0027666E"/>
    <w:rsid w:val="00277C5A"/>
    <w:rsid w:val="00280563"/>
    <w:rsid w:val="002813CC"/>
    <w:rsid w:val="002815F8"/>
    <w:rsid w:val="00282830"/>
    <w:rsid w:val="002835BC"/>
    <w:rsid w:val="002837F9"/>
    <w:rsid w:val="00284434"/>
    <w:rsid w:val="00285C87"/>
    <w:rsid w:val="002872BD"/>
    <w:rsid w:val="00287913"/>
    <w:rsid w:val="00287ABC"/>
    <w:rsid w:val="00287D7D"/>
    <w:rsid w:val="002909B1"/>
    <w:rsid w:val="0029270C"/>
    <w:rsid w:val="00293522"/>
    <w:rsid w:val="00293B7D"/>
    <w:rsid w:val="00293F08"/>
    <w:rsid w:val="002940E0"/>
    <w:rsid w:val="002946D4"/>
    <w:rsid w:val="00294FC8"/>
    <w:rsid w:val="002960FA"/>
    <w:rsid w:val="00296D51"/>
    <w:rsid w:val="00297B2D"/>
    <w:rsid w:val="002A0162"/>
    <w:rsid w:val="002A0CF1"/>
    <w:rsid w:val="002A0D1E"/>
    <w:rsid w:val="002A1A6B"/>
    <w:rsid w:val="002A1D94"/>
    <w:rsid w:val="002A35BF"/>
    <w:rsid w:val="002A3C02"/>
    <w:rsid w:val="002A3EF4"/>
    <w:rsid w:val="002A417D"/>
    <w:rsid w:val="002A46EF"/>
    <w:rsid w:val="002A5E93"/>
    <w:rsid w:val="002A7BC5"/>
    <w:rsid w:val="002B0932"/>
    <w:rsid w:val="002B1277"/>
    <w:rsid w:val="002B14CF"/>
    <w:rsid w:val="002B437E"/>
    <w:rsid w:val="002B47C5"/>
    <w:rsid w:val="002B4AA5"/>
    <w:rsid w:val="002B4B08"/>
    <w:rsid w:val="002B4FEE"/>
    <w:rsid w:val="002B5038"/>
    <w:rsid w:val="002B5092"/>
    <w:rsid w:val="002B5FC9"/>
    <w:rsid w:val="002B7250"/>
    <w:rsid w:val="002B7423"/>
    <w:rsid w:val="002B76BB"/>
    <w:rsid w:val="002C073C"/>
    <w:rsid w:val="002C0C3A"/>
    <w:rsid w:val="002C0D9D"/>
    <w:rsid w:val="002C20F3"/>
    <w:rsid w:val="002C3248"/>
    <w:rsid w:val="002C3A04"/>
    <w:rsid w:val="002C3FB4"/>
    <w:rsid w:val="002C4E19"/>
    <w:rsid w:val="002C502E"/>
    <w:rsid w:val="002C52A6"/>
    <w:rsid w:val="002C6698"/>
    <w:rsid w:val="002C6E93"/>
    <w:rsid w:val="002C7C19"/>
    <w:rsid w:val="002D01E1"/>
    <w:rsid w:val="002D0304"/>
    <w:rsid w:val="002D1E8F"/>
    <w:rsid w:val="002D2AB4"/>
    <w:rsid w:val="002D2D1F"/>
    <w:rsid w:val="002D2ED8"/>
    <w:rsid w:val="002D32DC"/>
    <w:rsid w:val="002D3722"/>
    <w:rsid w:val="002D4CCD"/>
    <w:rsid w:val="002D525F"/>
    <w:rsid w:val="002D569F"/>
    <w:rsid w:val="002D5D05"/>
    <w:rsid w:val="002D7236"/>
    <w:rsid w:val="002D7EBC"/>
    <w:rsid w:val="002E0150"/>
    <w:rsid w:val="002E03FB"/>
    <w:rsid w:val="002E07B6"/>
    <w:rsid w:val="002E1943"/>
    <w:rsid w:val="002E19A3"/>
    <w:rsid w:val="002E22C1"/>
    <w:rsid w:val="002E2A62"/>
    <w:rsid w:val="002E3EAF"/>
    <w:rsid w:val="002E49EA"/>
    <w:rsid w:val="002E5188"/>
    <w:rsid w:val="002E56A6"/>
    <w:rsid w:val="002E5C9C"/>
    <w:rsid w:val="002E6425"/>
    <w:rsid w:val="002E65ED"/>
    <w:rsid w:val="002E69A2"/>
    <w:rsid w:val="002F0D35"/>
    <w:rsid w:val="002F1D19"/>
    <w:rsid w:val="002F204C"/>
    <w:rsid w:val="002F22B4"/>
    <w:rsid w:val="002F4A04"/>
    <w:rsid w:val="002F516B"/>
    <w:rsid w:val="002F6B07"/>
    <w:rsid w:val="002F6ED6"/>
    <w:rsid w:val="002F7335"/>
    <w:rsid w:val="002F7473"/>
    <w:rsid w:val="002F78D9"/>
    <w:rsid w:val="003002CE"/>
    <w:rsid w:val="00300523"/>
    <w:rsid w:val="00300608"/>
    <w:rsid w:val="003007E2"/>
    <w:rsid w:val="00300E5B"/>
    <w:rsid w:val="003011CA"/>
    <w:rsid w:val="003012E8"/>
    <w:rsid w:val="003015B9"/>
    <w:rsid w:val="00301BD1"/>
    <w:rsid w:val="00301DBB"/>
    <w:rsid w:val="0030348D"/>
    <w:rsid w:val="00304297"/>
    <w:rsid w:val="003048DC"/>
    <w:rsid w:val="003055CD"/>
    <w:rsid w:val="00305CD6"/>
    <w:rsid w:val="00306048"/>
    <w:rsid w:val="00306665"/>
    <w:rsid w:val="00306ECE"/>
    <w:rsid w:val="003106A7"/>
    <w:rsid w:val="00310819"/>
    <w:rsid w:val="00311E1A"/>
    <w:rsid w:val="0031263D"/>
    <w:rsid w:val="00313465"/>
    <w:rsid w:val="00313BAE"/>
    <w:rsid w:val="00313DD9"/>
    <w:rsid w:val="0031443E"/>
    <w:rsid w:val="003163DF"/>
    <w:rsid w:val="00316A1F"/>
    <w:rsid w:val="00317546"/>
    <w:rsid w:val="00317A79"/>
    <w:rsid w:val="00321356"/>
    <w:rsid w:val="003222A3"/>
    <w:rsid w:val="00322D4C"/>
    <w:rsid w:val="00323E94"/>
    <w:rsid w:val="0032495F"/>
    <w:rsid w:val="00326230"/>
    <w:rsid w:val="003274E8"/>
    <w:rsid w:val="003277DA"/>
    <w:rsid w:val="00327929"/>
    <w:rsid w:val="00327EA5"/>
    <w:rsid w:val="00330053"/>
    <w:rsid w:val="003308EE"/>
    <w:rsid w:val="0033100F"/>
    <w:rsid w:val="0033107A"/>
    <w:rsid w:val="003330D7"/>
    <w:rsid w:val="00333672"/>
    <w:rsid w:val="00333B10"/>
    <w:rsid w:val="00334158"/>
    <w:rsid w:val="00334887"/>
    <w:rsid w:val="00334959"/>
    <w:rsid w:val="00335179"/>
    <w:rsid w:val="00335F9D"/>
    <w:rsid w:val="003378B6"/>
    <w:rsid w:val="00340DB6"/>
    <w:rsid w:val="00343D78"/>
    <w:rsid w:val="00344403"/>
    <w:rsid w:val="00344A76"/>
    <w:rsid w:val="0034582F"/>
    <w:rsid w:val="00346F66"/>
    <w:rsid w:val="00347787"/>
    <w:rsid w:val="00347877"/>
    <w:rsid w:val="00347A8D"/>
    <w:rsid w:val="003514DC"/>
    <w:rsid w:val="00351B6A"/>
    <w:rsid w:val="00351CB3"/>
    <w:rsid w:val="00351CCF"/>
    <w:rsid w:val="0035334A"/>
    <w:rsid w:val="003534E5"/>
    <w:rsid w:val="003538B7"/>
    <w:rsid w:val="003543B8"/>
    <w:rsid w:val="00354D75"/>
    <w:rsid w:val="00356EDF"/>
    <w:rsid w:val="00357B27"/>
    <w:rsid w:val="0036088E"/>
    <w:rsid w:val="003623A8"/>
    <w:rsid w:val="00363707"/>
    <w:rsid w:val="003641BB"/>
    <w:rsid w:val="00364CFD"/>
    <w:rsid w:val="003655FE"/>
    <w:rsid w:val="0036646F"/>
    <w:rsid w:val="003670DE"/>
    <w:rsid w:val="00367D0D"/>
    <w:rsid w:val="0037147E"/>
    <w:rsid w:val="00371910"/>
    <w:rsid w:val="00371A0F"/>
    <w:rsid w:val="0037209A"/>
    <w:rsid w:val="00372BB4"/>
    <w:rsid w:val="00373214"/>
    <w:rsid w:val="00373358"/>
    <w:rsid w:val="003735AB"/>
    <w:rsid w:val="00376555"/>
    <w:rsid w:val="00376585"/>
    <w:rsid w:val="0037756A"/>
    <w:rsid w:val="00377B3E"/>
    <w:rsid w:val="00380396"/>
    <w:rsid w:val="0038084B"/>
    <w:rsid w:val="003837D0"/>
    <w:rsid w:val="00383FF8"/>
    <w:rsid w:val="003849AB"/>
    <w:rsid w:val="0038593E"/>
    <w:rsid w:val="00385FA5"/>
    <w:rsid w:val="003871C1"/>
    <w:rsid w:val="00387444"/>
    <w:rsid w:val="003875CF"/>
    <w:rsid w:val="00387645"/>
    <w:rsid w:val="00387B6A"/>
    <w:rsid w:val="00387BD6"/>
    <w:rsid w:val="00390733"/>
    <w:rsid w:val="00390F4F"/>
    <w:rsid w:val="00391CBD"/>
    <w:rsid w:val="00392402"/>
    <w:rsid w:val="00392A76"/>
    <w:rsid w:val="00392B14"/>
    <w:rsid w:val="00392C94"/>
    <w:rsid w:val="00395AFA"/>
    <w:rsid w:val="003960F5"/>
    <w:rsid w:val="00397595"/>
    <w:rsid w:val="00397BB1"/>
    <w:rsid w:val="00397F47"/>
    <w:rsid w:val="003A04B6"/>
    <w:rsid w:val="003A16CD"/>
    <w:rsid w:val="003A1D05"/>
    <w:rsid w:val="003A319B"/>
    <w:rsid w:val="003A398D"/>
    <w:rsid w:val="003A3B21"/>
    <w:rsid w:val="003A48F0"/>
    <w:rsid w:val="003A5F5D"/>
    <w:rsid w:val="003A77C6"/>
    <w:rsid w:val="003B1940"/>
    <w:rsid w:val="003B3C83"/>
    <w:rsid w:val="003B43E8"/>
    <w:rsid w:val="003B44F3"/>
    <w:rsid w:val="003B4597"/>
    <w:rsid w:val="003B51A2"/>
    <w:rsid w:val="003B5AF2"/>
    <w:rsid w:val="003B6774"/>
    <w:rsid w:val="003B6A06"/>
    <w:rsid w:val="003B6F03"/>
    <w:rsid w:val="003B76D6"/>
    <w:rsid w:val="003C0979"/>
    <w:rsid w:val="003C119C"/>
    <w:rsid w:val="003C203D"/>
    <w:rsid w:val="003C34DB"/>
    <w:rsid w:val="003C443B"/>
    <w:rsid w:val="003C4951"/>
    <w:rsid w:val="003C592B"/>
    <w:rsid w:val="003C5A33"/>
    <w:rsid w:val="003C5D27"/>
    <w:rsid w:val="003C7F6E"/>
    <w:rsid w:val="003D09ED"/>
    <w:rsid w:val="003D13B5"/>
    <w:rsid w:val="003D14C6"/>
    <w:rsid w:val="003D1DAD"/>
    <w:rsid w:val="003D24ED"/>
    <w:rsid w:val="003D3379"/>
    <w:rsid w:val="003D342D"/>
    <w:rsid w:val="003D4384"/>
    <w:rsid w:val="003D4509"/>
    <w:rsid w:val="003D4A64"/>
    <w:rsid w:val="003D5087"/>
    <w:rsid w:val="003D6E55"/>
    <w:rsid w:val="003D7420"/>
    <w:rsid w:val="003E16B6"/>
    <w:rsid w:val="003E1BF4"/>
    <w:rsid w:val="003E22C5"/>
    <w:rsid w:val="003E2C96"/>
    <w:rsid w:val="003E3E86"/>
    <w:rsid w:val="003E4123"/>
    <w:rsid w:val="003E4C07"/>
    <w:rsid w:val="003E6708"/>
    <w:rsid w:val="003E7785"/>
    <w:rsid w:val="003F0C18"/>
    <w:rsid w:val="003F159A"/>
    <w:rsid w:val="003F2715"/>
    <w:rsid w:val="003F2CBB"/>
    <w:rsid w:val="003F3A01"/>
    <w:rsid w:val="003F3BE9"/>
    <w:rsid w:val="003F4B9B"/>
    <w:rsid w:val="003F7C12"/>
    <w:rsid w:val="0040000A"/>
    <w:rsid w:val="004016EC"/>
    <w:rsid w:val="004025EB"/>
    <w:rsid w:val="00402FB9"/>
    <w:rsid w:val="004031F3"/>
    <w:rsid w:val="00404581"/>
    <w:rsid w:val="00404C63"/>
    <w:rsid w:val="00405ED3"/>
    <w:rsid w:val="004069BF"/>
    <w:rsid w:val="00407C7A"/>
    <w:rsid w:val="004102D3"/>
    <w:rsid w:val="0041121E"/>
    <w:rsid w:val="004119B9"/>
    <w:rsid w:val="00411DB3"/>
    <w:rsid w:val="004132E9"/>
    <w:rsid w:val="00414F90"/>
    <w:rsid w:val="004156FF"/>
    <w:rsid w:val="0041581A"/>
    <w:rsid w:val="004167B7"/>
    <w:rsid w:val="00416B1C"/>
    <w:rsid w:val="00416C99"/>
    <w:rsid w:val="00417C05"/>
    <w:rsid w:val="00417CE5"/>
    <w:rsid w:val="0042000A"/>
    <w:rsid w:val="00421C45"/>
    <w:rsid w:val="00421F6B"/>
    <w:rsid w:val="004221AE"/>
    <w:rsid w:val="00422324"/>
    <w:rsid w:val="00423037"/>
    <w:rsid w:val="0042354C"/>
    <w:rsid w:val="0042462F"/>
    <w:rsid w:val="00424940"/>
    <w:rsid w:val="00424FD0"/>
    <w:rsid w:val="00425431"/>
    <w:rsid w:val="00425818"/>
    <w:rsid w:val="00425D5C"/>
    <w:rsid w:val="00426C19"/>
    <w:rsid w:val="00426D26"/>
    <w:rsid w:val="0042724B"/>
    <w:rsid w:val="004276F2"/>
    <w:rsid w:val="00427DF3"/>
    <w:rsid w:val="004305D8"/>
    <w:rsid w:val="004312AC"/>
    <w:rsid w:val="00431E92"/>
    <w:rsid w:val="00432E1B"/>
    <w:rsid w:val="0043391A"/>
    <w:rsid w:val="004355A6"/>
    <w:rsid w:val="00435832"/>
    <w:rsid w:val="00435837"/>
    <w:rsid w:val="00437C4B"/>
    <w:rsid w:val="0044178A"/>
    <w:rsid w:val="004418C6"/>
    <w:rsid w:val="004429F1"/>
    <w:rsid w:val="004430A6"/>
    <w:rsid w:val="0044348D"/>
    <w:rsid w:val="00446938"/>
    <w:rsid w:val="00447C1B"/>
    <w:rsid w:val="00450400"/>
    <w:rsid w:val="0045132A"/>
    <w:rsid w:val="00451EE5"/>
    <w:rsid w:val="004525F8"/>
    <w:rsid w:val="00453892"/>
    <w:rsid w:val="004539EA"/>
    <w:rsid w:val="00453F5E"/>
    <w:rsid w:val="004541C5"/>
    <w:rsid w:val="00454331"/>
    <w:rsid w:val="00455057"/>
    <w:rsid w:val="004562E5"/>
    <w:rsid w:val="004567C9"/>
    <w:rsid w:val="00456A77"/>
    <w:rsid w:val="004574CF"/>
    <w:rsid w:val="004608A8"/>
    <w:rsid w:val="00461BD6"/>
    <w:rsid w:val="00461ED6"/>
    <w:rsid w:val="00461FF0"/>
    <w:rsid w:val="004631AE"/>
    <w:rsid w:val="004633B9"/>
    <w:rsid w:val="004640B6"/>
    <w:rsid w:val="004641CD"/>
    <w:rsid w:val="004643EE"/>
    <w:rsid w:val="00464610"/>
    <w:rsid w:val="00465660"/>
    <w:rsid w:val="00466424"/>
    <w:rsid w:val="00466929"/>
    <w:rsid w:val="00466995"/>
    <w:rsid w:val="00467093"/>
    <w:rsid w:val="004675B6"/>
    <w:rsid w:val="0046763E"/>
    <w:rsid w:val="00470231"/>
    <w:rsid w:val="0047072A"/>
    <w:rsid w:val="00470FCA"/>
    <w:rsid w:val="00471B9A"/>
    <w:rsid w:val="00472334"/>
    <w:rsid w:val="00472394"/>
    <w:rsid w:val="00472CF0"/>
    <w:rsid w:val="00472D79"/>
    <w:rsid w:val="004734A3"/>
    <w:rsid w:val="004735EA"/>
    <w:rsid w:val="00474E80"/>
    <w:rsid w:val="004757B0"/>
    <w:rsid w:val="00475D6B"/>
    <w:rsid w:val="004763C8"/>
    <w:rsid w:val="004777D1"/>
    <w:rsid w:val="00477CC7"/>
    <w:rsid w:val="004803A0"/>
    <w:rsid w:val="00480BA5"/>
    <w:rsid w:val="00481825"/>
    <w:rsid w:val="004818DF"/>
    <w:rsid w:val="0048239A"/>
    <w:rsid w:val="00482A0C"/>
    <w:rsid w:val="004839AD"/>
    <w:rsid w:val="0048610A"/>
    <w:rsid w:val="00486C78"/>
    <w:rsid w:val="0049006A"/>
    <w:rsid w:val="00491270"/>
    <w:rsid w:val="00491979"/>
    <w:rsid w:val="004925C8"/>
    <w:rsid w:val="00492EBA"/>
    <w:rsid w:val="004932CA"/>
    <w:rsid w:val="00493586"/>
    <w:rsid w:val="00493658"/>
    <w:rsid w:val="004954D9"/>
    <w:rsid w:val="00495638"/>
    <w:rsid w:val="004956ED"/>
    <w:rsid w:val="00496391"/>
    <w:rsid w:val="00496A0A"/>
    <w:rsid w:val="00497391"/>
    <w:rsid w:val="004973DD"/>
    <w:rsid w:val="00497711"/>
    <w:rsid w:val="004A0C84"/>
    <w:rsid w:val="004A11E0"/>
    <w:rsid w:val="004A1533"/>
    <w:rsid w:val="004A2D9D"/>
    <w:rsid w:val="004A2E63"/>
    <w:rsid w:val="004A321E"/>
    <w:rsid w:val="004A3A84"/>
    <w:rsid w:val="004A43A5"/>
    <w:rsid w:val="004A47F0"/>
    <w:rsid w:val="004A4D2B"/>
    <w:rsid w:val="004A50DB"/>
    <w:rsid w:val="004A5299"/>
    <w:rsid w:val="004A56BE"/>
    <w:rsid w:val="004A6B55"/>
    <w:rsid w:val="004A6B5F"/>
    <w:rsid w:val="004A7B27"/>
    <w:rsid w:val="004B16E0"/>
    <w:rsid w:val="004B1DBB"/>
    <w:rsid w:val="004B2AC2"/>
    <w:rsid w:val="004B2D9B"/>
    <w:rsid w:val="004B47D4"/>
    <w:rsid w:val="004B5CA6"/>
    <w:rsid w:val="004B5D59"/>
    <w:rsid w:val="004B67E7"/>
    <w:rsid w:val="004B696F"/>
    <w:rsid w:val="004B76A1"/>
    <w:rsid w:val="004B77D4"/>
    <w:rsid w:val="004C06AD"/>
    <w:rsid w:val="004C08A0"/>
    <w:rsid w:val="004C12F3"/>
    <w:rsid w:val="004C1461"/>
    <w:rsid w:val="004C149E"/>
    <w:rsid w:val="004C1D5C"/>
    <w:rsid w:val="004C2191"/>
    <w:rsid w:val="004C22F8"/>
    <w:rsid w:val="004C38FF"/>
    <w:rsid w:val="004C475C"/>
    <w:rsid w:val="004C506A"/>
    <w:rsid w:val="004C57F7"/>
    <w:rsid w:val="004C6DED"/>
    <w:rsid w:val="004C7386"/>
    <w:rsid w:val="004C741B"/>
    <w:rsid w:val="004C747F"/>
    <w:rsid w:val="004D1FDD"/>
    <w:rsid w:val="004D4738"/>
    <w:rsid w:val="004D490E"/>
    <w:rsid w:val="004E14A9"/>
    <w:rsid w:val="004E155F"/>
    <w:rsid w:val="004E1A1C"/>
    <w:rsid w:val="004E3F6C"/>
    <w:rsid w:val="004E48A7"/>
    <w:rsid w:val="004E4B20"/>
    <w:rsid w:val="004E52E7"/>
    <w:rsid w:val="004E6319"/>
    <w:rsid w:val="004E6330"/>
    <w:rsid w:val="004E660C"/>
    <w:rsid w:val="004F0087"/>
    <w:rsid w:val="004F1607"/>
    <w:rsid w:val="004F1EBA"/>
    <w:rsid w:val="004F2456"/>
    <w:rsid w:val="004F2CA8"/>
    <w:rsid w:val="004F3DA5"/>
    <w:rsid w:val="004F4D5A"/>
    <w:rsid w:val="004F581D"/>
    <w:rsid w:val="004F5DCA"/>
    <w:rsid w:val="004F69B7"/>
    <w:rsid w:val="004F742A"/>
    <w:rsid w:val="004F7E85"/>
    <w:rsid w:val="005003F5"/>
    <w:rsid w:val="00500D36"/>
    <w:rsid w:val="005031C9"/>
    <w:rsid w:val="005052C1"/>
    <w:rsid w:val="00505A58"/>
    <w:rsid w:val="00505E87"/>
    <w:rsid w:val="00506A29"/>
    <w:rsid w:val="005071C0"/>
    <w:rsid w:val="005112F5"/>
    <w:rsid w:val="005113EB"/>
    <w:rsid w:val="00512965"/>
    <w:rsid w:val="00512B79"/>
    <w:rsid w:val="00513B3D"/>
    <w:rsid w:val="00513F99"/>
    <w:rsid w:val="00514B59"/>
    <w:rsid w:val="00514B73"/>
    <w:rsid w:val="00514F28"/>
    <w:rsid w:val="00515670"/>
    <w:rsid w:val="005165C0"/>
    <w:rsid w:val="00516DE7"/>
    <w:rsid w:val="00517695"/>
    <w:rsid w:val="005217AC"/>
    <w:rsid w:val="00523015"/>
    <w:rsid w:val="00523326"/>
    <w:rsid w:val="005243ED"/>
    <w:rsid w:val="00524578"/>
    <w:rsid w:val="005249AD"/>
    <w:rsid w:val="00524A94"/>
    <w:rsid w:val="005251FB"/>
    <w:rsid w:val="00525683"/>
    <w:rsid w:val="00525AFC"/>
    <w:rsid w:val="005262CD"/>
    <w:rsid w:val="005263A3"/>
    <w:rsid w:val="00526E6D"/>
    <w:rsid w:val="00527D0A"/>
    <w:rsid w:val="00530096"/>
    <w:rsid w:val="00530F87"/>
    <w:rsid w:val="005311D1"/>
    <w:rsid w:val="0053243C"/>
    <w:rsid w:val="005339C5"/>
    <w:rsid w:val="00533FEB"/>
    <w:rsid w:val="00534D8E"/>
    <w:rsid w:val="00537675"/>
    <w:rsid w:val="0053788D"/>
    <w:rsid w:val="00540251"/>
    <w:rsid w:val="00540C6D"/>
    <w:rsid w:val="00540D6C"/>
    <w:rsid w:val="00541445"/>
    <w:rsid w:val="00541920"/>
    <w:rsid w:val="00541D88"/>
    <w:rsid w:val="00542807"/>
    <w:rsid w:val="00542E63"/>
    <w:rsid w:val="005434F5"/>
    <w:rsid w:val="00543FD7"/>
    <w:rsid w:val="0054545A"/>
    <w:rsid w:val="0054582E"/>
    <w:rsid w:val="00546710"/>
    <w:rsid w:val="00546719"/>
    <w:rsid w:val="00547936"/>
    <w:rsid w:val="00547CAC"/>
    <w:rsid w:val="00547DCE"/>
    <w:rsid w:val="005505C6"/>
    <w:rsid w:val="005516FC"/>
    <w:rsid w:val="00552146"/>
    <w:rsid w:val="005522B8"/>
    <w:rsid w:val="00553182"/>
    <w:rsid w:val="00553476"/>
    <w:rsid w:val="00553ACD"/>
    <w:rsid w:val="00554657"/>
    <w:rsid w:val="00554ED4"/>
    <w:rsid w:val="00555429"/>
    <w:rsid w:val="00555F87"/>
    <w:rsid w:val="005561FC"/>
    <w:rsid w:val="00557B15"/>
    <w:rsid w:val="00560615"/>
    <w:rsid w:val="0056083B"/>
    <w:rsid w:val="00561132"/>
    <w:rsid w:val="005611B5"/>
    <w:rsid w:val="005613CF"/>
    <w:rsid w:val="00561901"/>
    <w:rsid w:val="005624A0"/>
    <w:rsid w:val="00562D31"/>
    <w:rsid w:val="005636D0"/>
    <w:rsid w:val="00563CB9"/>
    <w:rsid w:val="005647F9"/>
    <w:rsid w:val="00564F08"/>
    <w:rsid w:val="00566578"/>
    <w:rsid w:val="00566AE0"/>
    <w:rsid w:val="00566B26"/>
    <w:rsid w:val="00567329"/>
    <w:rsid w:val="00567C49"/>
    <w:rsid w:val="005705B4"/>
    <w:rsid w:val="00571922"/>
    <w:rsid w:val="00573928"/>
    <w:rsid w:val="00573BFF"/>
    <w:rsid w:val="00573FC5"/>
    <w:rsid w:val="005741C6"/>
    <w:rsid w:val="005741C9"/>
    <w:rsid w:val="005742DF"/>
    <w:rsid w:val="0057431D"/>
    <w:rsid w:val="00576134"/>
    <w:rsid w:val="00577B7D"/>
    <w:rsid w:val="005803C7"/>
    <w:rsid w:val="00580D76"/>
    <w:rsid w:val="005830CB"/>
    <w:rsid w:val="005831DE"/>
    <w:rsid w:val="00583297"/>
    <w:rsid w:val="00584AF4"/>
    <w:rsid w:val="00584C2F"/>
    <w:rsid w:val="00584EE2"/>
    <w:rsid w:val="00585F33"/>
    <w:rsid w:val="0058637A"/>
    <w:rsid w:val="00586466"/>
    <w:rsid w:val="005866E8"/>
    <w:rsid w:val="00590363"/>
    <w:rsid w:val="00591CA7"/>
    <w:rsid w:val="00591CD5"/>
    <w:rsid w:val="0059246D"/>
    <w:rsid w:val="005926DF"/>
    <w:rsid w:val="00592A2F"/>
    <w:rsid w:val="00592D60"/>
    <w:rsid w:val="00592DDC"/>
    <w:rsid w:val="00592E1D"/>
    <w:rsid w:val="0059343E"/>
    <w:rsid w:val="00593843"/>
    <w:rsid w:val="00593FD6"/>
    <w:rsid w:val="0059407D"/>
    <w:rsid w:val="005947CA"/>
    <w:rsid w:val="00594902"/>
    <w:rsid w:val="0059504E"/>
    <w:rsid w:val="00595195"/>
    <w:rsid w:val="005954ED"/>
    <w:rsid w:val="00595C2A"/>
    <w:rsid w:val="0059689B"/>
    <w:rsid w:val="00597CB9"/>
    <w:rsid w:val="005A0115"/>
    <w:rsid w:val="005A0BFB"/>
    <w:rsid w:val="005A16F3"/>
    <w:rsid w:val="005A17A8"/>
    <w:rsid w:val="005A3698"/>
    <w:rsid w:val="005A3E96"/>
    <w:rsid w:val="005A4111"/>
    <w:rsid w:val="005A4712"/>
    <w:rsid w:val="005A531A"/>
    <w:rsid w:val="005A5868"/>
    <w:rsid w:val="005A59BC"/>
    <w:rsid w:val="005A60ED"/>
    <w:rsid w:val="005A66F2"/>
    <w:rsid w:val="005A6AA6"/>
    <w:rsid w:val="005A6BF7"/>
    <w:rsid w:val="005B045A"/>
    <w:rsid w:val="005B04E3"/>
    <w:rsid w:val="005B107B"/>
    <w:rsid w:val="005B11AD"/>
    <w:rsid w:val="005B15AE"/>
    <w:rsid w:val="005B1A95"/>
    <w:rsid w:val="005B20D9"/>
    <w:rsid w:val="005B34D8"/>
    <w:rsid w:val="005B3E4A"/>
    <w:rsid w:val="005B3F44"/>
    <w:rsid w:val="005B44C4"/>
    <w:rsid w:val="005B5279"/>
    <w:rsid w:val="005B629E"/>
    <w:rsid w:val="005B66B1"/>
    <w:rsid w:val="005B74FF"/>
    <w:rsid w:val="005B75ED"/>
    <w:rsid w:val="005B790F"/>
    <w:rsid w:val="005B7ECB"/>
    <w:rsid w:val="005C0AA4"/>
    <w:rsid w:val="005C3DEC"/>
    <w:rsid w:val="005C3EC3"/>
    <w:rsid w:val="005C43B5"/>
    <w:rsid w:val="005C44A9"/>
    <w:rsid w:val="005C4C86"/>
    <w:rsid w:val="005C4CEA"/>
    <w:rsid w:val="005C5199"/>
    <w:rsid w:val="005C5487"/>
    <w:rsid w:val="005C6276"/>
    <w:rsid w:val="005C63CD"/>
    <w:rsid w:val="005C6DFF"/>
    <w:rsid w:val="005C7F0F"/>
    <w:rsid w:val="005D11D6"/>
    <w:rsid w:val="005D15E8"/>
    <w:rsid w:val="005D1D02"/>
    <w:rsid w:val="005D241B"/>
    <w:rsid w:val="005D24D0"/>
    <w:rsid w:val="005D4A4E"/>
    <w:rsid w:val="005D7719"/>
    <w:rsid w:val="005D775F"/>
    <w:rsid w:val="005D7BA4"/>
    <w:rsid w:val="005D7DC2"/>
    <w:rsid w:val="005D7F19"/>
    <w:rsid w:val="005E0FD8"/>
    <w:rsid w:val="005E101D"/>
    <w:rsid w:val="005E237D"/>
    <w:rsid w:val="005E2F05"/>
    <w:rsid w:val="005E3375"/>
    <w:rsid w:val="005E34DE"/>
    <w:rsid w:val="005E3711"/>
    <w:rsid w:val="005E3A99"/>
    <w:rsid w:val="005E566D"/>
    <w:rsid w:val="005E5E2D"/>
    <w:rsid w:val="005E62BE"/>
    <w:rsid w:val="005E6E01"/>
    <w:rsid w:val="005E6E87"/>
    <w:rsid w:val="005F00E3"/>
    <w:rsid w:val="005F05DB"/>
    <w:rsid w:val="005F145C"/>
    <w:rsid w:val="005F1958"/>
    <w:rsid w:val="005F29D6"/>
    <w:rsid w:val="005F2A96"/>
    <w:rsid w:val="005F3601"/>
    <w:rsid w:val="005F388D"/>
    <w:rsid w:val="005F389B"/>
    <w:rsid w:val="005F4671"/>
    <w:rsid w:val="005F572A"/>
    <w:rsid w:val="005F5D9D"/>
    <w:rsid w:val="005F5EA9"/>
    <w:rsid w:val="005F68A8"/>
    <w:rsid w:val="005F77E2"/>
    <w:rsid w:val="00601334"/>
    <w:rsid w:val="0060209B"/>
    <w:rsid w:val="00602242"/>
    <w:rsid w:val="00602FF4"/>
    <w:rsid w:val="006046C6"/>
    <w:rsid w:val="00604AB7"/>
    <w:rsid w:val="00604F8F"/>
    <w:rsid w:val="006062BA"/>
    <w:rsid w:val="00606E96"/>
    <w:rsid w:val="00607111"/>
    <w:rsid w:val="0060730B"/>
    <w:rsid w:val="00607A65"/>
    <w:rsid w:val="006115B5"/>
    <w:rsid w:val="00611E3C"/>
    <w:rsid w:val="00612172"/>
    <w:rsid w:val="006150F0"/>
    <w:rsid w:val="00615B92"/>
    <w:rsid w:val="006166A1"/>
    <w:rsid w:val="00616ACD"/>
    <w:rsid w:val="006204A0"/>
    <w:rsid w:val="00620640"/>
    <w:rsid w:val="0062076A"/>
    <w:rsid w:val="00621117"/>
    <w:rsid w:val="006215E4"/>
    <w:rsid w:val="00621EEE"/>
    <w:rsid w:val="0062232B"/>
    <w:rsid w:val="0062294B"/>
    <w:rsid w:val="00622AA8"/>
    <w:rsid w:val="00622C2D"/>
    <w:rsid w:val="006230D0"/>
    <w:rsid w:val="006231F5"/>
    <w:rsid w:val="006236D1"/>
    <w:rsid w:val="006236ED"/>
    <w:rsid w:val="00623F0B"/>
    <w:rsid w:val="0062470A"/>
    <w:rsid w:val="00624D6A"/>
    <w:rsid w:val="0062568F"/>
    <w:rsid w:val="006267E3"/>
    <w:rsid w:val="006267F3"/>
    <w:rsid w:val="00626810"/>
    <w:rsid w:val="00627FBA"/>
    <w:rsid w:val="006315A7"/>
    <w:rsid w:val="0063216E"/>
    <w:rsid w:val="0063287F"/>
    <w:rsid w:val="0063315B"/>
    <w:rsid w:val="006335A0"/>
    <w:rsid w:val="006338C3"/>
    <w:rsid w:val="00633913"/>
    <w:rsid w:val="00635297"/>
    <w:rsid w:val="00636285"/>
    <w:rsid w:val="0063688C"/>
    <w:rsid w:val="00636BBC"/>
    <w:rsid w:val="0063700E"/>
    <w:rsid w:val="00637436"/>
    <w:rsid w:val="00637820"/>
    <w:rsid w:val="0064183F"/>
    <w:rsid w:val="00641B83"/>
    <w:rsid w:val="00642881"/>
    <w:rsid w:val="00642CED"/>
    <w:rsid w:val="00642D5D"/>
    <w:rsid w:val="0064411F"/>
    <w:rsid w:val="00644E65"/>
    <w:rsid w:val="00645C24"/>
    <w:rsid w:val="00645DC6"/>
    <w:rsid w:val="00646FCB"/>
    <w:rsid w:val="0064753C"/>
    <w:rsid w:val="006476B8"/>
    <w:rsid w:val="00647995"/>
    <w:rsid w:val="00650F78"/>
    <w:rsid w:val="00652850"/>
    <w:rsid w:val="00653981"/>
    <w:rsid w:val="00653AB1"/>
    <w:rsid w:val="00653BF5"/>
    <w:rsid w:val="00653F1D"/>
    <w:rsid w:val="0065472A"/>
    <w:rsid w:val="00654859"/>
    <w:rsid w:val="00657BD7"/>
    <w:rsid w:val="00657C97"/>
    <w:rsid w:val="0066039F"/>
    <w:rsid w:val="0066113E"/>
    <w:rsid w:val="0066241D"/>
    <w:rsid w:val="00662A8A"/>
    <w:rsid w:val="0066316C"/>
    <w:rsid w:val="00664EF5"/>
    <w:rsid w:val="00665306"/>
    <w:rsid w:val="006658B6"/>
    <w:rsid w:val="00665C3F"/>
    <w:rsid w:val="00665E0A"/>
    <w:rsid w:val="00667020"/>
    <w:rsid w:val="00667A5D"/>
    <w:rsid w:val="00667D17"/>
    <w:rsid w:val="006711E8"/>
    <w:rsid w:val="006712C4"/>
    <w:rsid w:val="00671331"/>
    <w:rsid w:val="006718CD"/>
    <w:rsid w:val="00673E59"/>
    <w:rsid w:val="006751D6"/>
    <w:rsid w:val="006755EC"/>
    <w:rsid w:val="00675994"/>
    <w:rsid w:val="00676438"/>
    <w:rsid w:val="006765DB"/>
    <w:rsid w:val="00676BCA"/>
    <w:rsid w:val="0067733D"/>
    <w:rsid w:val="00677E1D"/>
    <w:rsid w:val="0068025D"/>
    <w:rsid w:val="00680513"/>
    <w:rsid w:val="006806BF"/>
    <w:rsid w:val="006807D0"/>
    <w:rsid w:val="00681442"/>
    <w:rsid w:val="0068148C"/>
    <w:rsid w:val="00681C21"/>
    <w:rsid w:val="006823DE"/>
    <w:rsid w:val="00682524"/>
    <w:rsid w:val="00682934"/>
    <w:rsid w:val="006836F5"/>
    <w:rsid w:val="006847A1"/>
    <w:rsid w:val="006847BD"/>
    <w:rsid w:val="0068563F"/>
    <w:rsid w:val="0068625D"/>
    <w:rsid w:val="006867DD"/>
    <w:rsid w:val="00686D0B"/>
    <w:rsid w:val="00687896"/>
    <w:rsid w:val="00687FFC"/>
    <w:rsid w:val="006901AC"/>
    <w:rsid w:val="006902AD"/>
    <w:rsid w:val="00690DA4"/>
    <w:rsid w:val="00691EBE"/>
    <w:rsid w:val="00692093"/>
    <w:rsid w:val="006922A8"/>
    <w:rsid w:val="006924D3"/>
    <w:rsid w:val="006925C9"/>
    <w:rsid w:val="00692A98"/>
    <w:rsid w:val="00693A60"/>
    <w:rsid w:val="00693DA8"/>
    <w:rsid w:val="006953B9"/>
    <w:rsid w:val="00695464"/>
    <w:rsid w:val="006A031B"/>
    <w:rsid w:val="006A03C3"/>
    <w:rsid w:val="006A0E39"/>
    <w:rsid w:val="006A1DCB"/>
    <w:rsid w:val="006A2B15"/>
    <w:rsid w:val="006A307C"/>
    <w:rsid w:val="006A54E2"/>
    <w:rsid w:val="006A63A3"/>
    <w:rsid w:val="006A6C58"/>
    <w:rsid w:val="006B00E3"/>
    <w:rsid w:val="006B0B07"/>
    <w:rsid w:val="006B1F2C"/>
    <w:rsid w:val="006B3B45"/>
    <w:rsid w:val="006B446D"/>
    <w:rsid w:val="006B4FED"/>
    <w:rsid w:val="006B5D17"/>
    <w:rsid w:val="006B6827"/>
    <w:rsid w:val="006B6C77"/>
    <w:rsid w:val="006B6F3C"/>
    <w:rsid w:val="006B74C0"/>
    <w:rsid w:val="006B7CAB"/>
    <w:rsid w:val="006C1366"/>
    <w:rsid w:val="006C2050"/>
    <w:rsid w:val="006C26C4"/>
    <w:rsid w:val="006C33EB"/>
    <w:rsid w:val="006C34AC"/>
    <w:rsid w:val="006C3767"/>
    <w:rsid w:val="006C3A50"/>
    <w:rsid w:val="006C3B27"/>
    <w:rsid w:val="006C4B7C"/>
    <w:rsid w:val="006C4BCB"/>
    <w:rsid w:val="006C4DE7"/>
    <w:rsid w:val="006C6B7D"/>
    <w:rsid w:val="006C7738"/>
    <w:rsid w:val="006C783D"/>
    <w:rsid w:val="006C7E10"/>
    <w:rsid w:val="006D0842"/>
    <w:rsid w:val="006D098E"/>
    <w:rsid w:val="006D1389"/>
    <w:rsid w:val="006D15DE"/>
    <w:rsid w:val="006D1C36"/>
    <w:rsid w:val="006D207F"/>
    <w:rsid w:val="006D5B37"/>
    <w:rsid w:val="006D616A"/>
    <w:rsid w:val="006D75EF"/>
    <w:rsid w:val="006E0824"/>
    <w:rsid w:val="006E1093"/>
    <w:rsid w:val="006E178D"/>
    <w:rsid w:val="006E1972"/>
    <w:rsid w:val="006E19FC"/>
    <w:rsid w:val="006E2D85"/>
    <w:rsid w:val="006E3745"/>
    <w:rsid w:val="006E383D"/>
    <w:rsid w:val="006E49CF"/>
    <w:rsid w:val="006E4E6B"/>
    <w:rsid w:val="006E5DF1"/>
    <w:rsid w:val="006E7516"/>
    <w:rsid w:val="006E7E7C"/>
    <w:rsid w:val="006F04EC"/>
    <w:rsid w:val="006F1220"/>
    <w:rsid w:val="006F1B50"/>
    <w:rsid w:val="006F27DE"/>
    <w:rsid w:val="006F3879"/>
    <w:rsid w:val="006F4260"/>
    <w:rsid w:val="006F427C"/>
    <w:rsid w:val="006F42F6"/>
    <w:rsid w:val="006F5C7D"/>
    <w:rsid w:val="006F6E0F"/>
    <w:rsid w:val="00700699"/>
    <w:rsid w:val="0070070B"/>
    <w:rsid w:val="007014E9"/>
    <w:rsid w:val="007024A2"/>
    <w:rsid w:val="00702C84"/>
    <w:rsid w:val="00703EE3"/>
    <w:rsid w:val="0070411C"/>
    <w:rsid w:val="00704A49"/>
    <w:rsid w:val="00705523"/>
    <w:rsid w:val="00705A42"/>
    <w:rsid w:val="00706967"/>
    <w:rsid w:val="00706AC4"/>
    <w:rsid w:val="0070717C"/>
    <w:rsid w:val="00712140"/>
    <w:rsid w:val="0071232D"/>
    <w:rsid w:val="00712DB0"/>
    <w:rsid w:val="00713143"/>
    <w:rsid w:val="00713381"/>
    <w:rsid w:val="00713523"/>
    <w:rsid w:val="00714D79"/>
    <w:rsid w:val="007152BE"/>
    <w:rsid w:val="00715706"/>
    <w:rsid w:val="007157A4"/>
    <w:rsid w:val="0071687A"/>
    <w:rsid w:val="00716FD5"/>
    <w:rsid w:val="0071794B"/>
    <w:rsid w:val="00717B95"/>
    <w:rsid w:val="00717CEC"/>
    <w:rsid w:val="007204C2"/>
    <w:rsid w:val="007218B4"/>
    <w:rsid w:val="00722111"/>
    <w:rsid w:val="00723489"/>
    <w:rsid w:val="007240FA"/>
    <w:rsid w:val="007260CC"/>
    <w:rsid w:val="00726CE2"/>
    <w:rsid w:val="00727436"/>
    <w:rsid w:val="00727EDD"/>
    <w:rsid w:val="00730835"/>
    <w:rsid w:val="00730E16"/>
    <w:rsid w:val="00732145"/>
    <w:rsid w:val="00732911"/>
    <w:rsid w:val="00732A1F"/>
    <w:rsid w:val="007332DC"/>
    <w:rsid w:val="007333AE"/>
    <w:rsid w:val="0073425F"/>
    <w:rsid w:val="00734DC5"/>
    <w:rsid w:val="0073533B"/>
    <w:rsid w:val="00735DD1"/>
    <w:rsid w:val="00736069"/>
    <w:rsid w:val="007364B8"/>
    <w:rsid w:val="007365FA"/>
    <w:rsid w:val="00736977"/>
    <w:rsid w:val="007374C0"/>
    <w:rsid w:val="00740923"/>
    <w:rsid w:val="00740A04"/>
    <w:rsid w:val="00742110"/>
    <w:rsid w:val="0074288D"/>
    <w:rsid w:val="007463C5"/>
    <w:rsid w:val="00746C01"/>
    <w:rsid w:val="00747976"/>
    <w:rsid w:val="00747B5E"/>
    <w:rsid w:val="0075086F"/>
    <w:rsid w:val="00750C62"/>
    <w:rsid w:val="00750F8B"/>
    <w:rsid w:val="00754188"/>
    <w:rsid w:val="00754589"/>
    <w:rsid w:val="00754649"/>
    <w:rsid w:val="00754D05"/>
    <w:rsid w:val="007554AC"/>
    <w:rsid w:val="0075553E"/>
    <w:rsid w:val="007556AF"/>
    <w:rsid w:val="00757E4D"/>
    <w:rsid w:val="0076097B"/>
    <w:rsid w:val="00760FE7"/>
    <w:rsid w:val="00761A73"/>
    <w:rsid w:val="007622FC"/>
    <w:rsid w:val="00762D82"/>
    <w:rsid w:val="0076300C"/>
    <w:rsid w:val="007633C6"/>
    <w:rsid w:val="00763664"/>
    <w:rsid w:val="007644D3"/>
    <w:rsid w:val="00764A15"/>
    <w:rsid w:val="00764AAF"/>
    <w:rsid w:val="00765BD2"/>
    <w:rsid w:val="007662CA"/>
    <w:rsid w:val="00767A5E"/>
    <w:rsid w:val="00767E98"/>
    <w:rsid w:val="00770541"/>
    <w:rsid w:val="007712AA"/>
    <w:rsid w:val="00771820"/>
    <w:rsid w:val="00771AB1"/>
    <w:rsid w:val="00772998"/>
    <w:rsid w:val="00773323"/>
    <w:rsid w:val="007737E0"/>
    <w:rsid w:val="0077398A"/>
    <w:rsid w:val="00773F91"/>
    <w:rsid w:val="0077401B"/>
    <w:rsid w:val="00774D58"/>
    <w:rsid w:val="00775094"/>
    <w:rsid w:val="00775720"/>
    <w:rsid w:val="007759D5"/>
    <w:rsid w:val="007779C6"/>
    <w:rsid w:val="007817B2"/>
    <w:rsid w:val="00781B61"/>
    <w:rsid w:val="00781E77"/>
    <w:rsid w:val="00782DB9"/>
    <w:rsid w:val="007835A7"/>
    <w:rsid w:val="00783A44"/>
    <w:rsid w:val="00783CA3"/>
    <w:rsid w:val="00784FFE"/>
    <w:rsid w:val="007854D1"/>
    <w:rsid w:val="00786258"/>
    <w:rsid w:val="00786829"/>
    <w:rsid w:val="007876FA"/>
    <w:rsid w:val="00787905"/>
    <w:rsid w:val="00787AA9"/>
    <w:rsid w:val="0079066C"/>
    <w:rsid w:val="00790E28"/>
    <w:rsid w:val="00791750"/>
    <w:rsid w:val="00791F16"/>
    <w:rsid w:val="007924BE"/>
    <w:rsid w:val="00793728"/>
    <w:rsid w:val="00794525"/>
    <w:rsid w:val="007949D5"/>
    <w:rsid w:val="007951B4"/>
    <w:rsid w:val="00795534"/>
    <w:rsid w:val="00795947"/>
    <w:rsid w:val="007961F5"/>
    <w:rsid w:val="00796496"/>
    <w:rsid w:val="007964CA"/>
    <w:rsid w:val="00796557"/>
    <w:rsid w:val="00797F4D"/>
    <w:rsid w:val="007A04FF"/>
    <w:rsid w:val="007A0D14"/>
    <w:rsid w:val="007A0EC2"/>
    <w:rsid w:val="007A115C"/>
    <w:rsid w:val="007A1A7B"/>
    <w:rsid w:val="007A2680"/>
    <w:rsid w:val="007A2E4C"/>
    <w:rsid w:val="007A3101"/>
    <w:rsid w:val="007A42DC"/>
    <w:rsid w:val="007A4481"/>
    <w:rsid w:val="007A4984"/>
    <w:rsid w:val="007A5E25"/>
    <w:rsid w:val="007A5E5A"/>
    <w:rsid w:val="007A642E"/>
    <w:rsid w:val="007A7335"/>
    <w:rsid w:val="007A78BA"/>
    <w:rsid w:val="007A7FC1"/>
    <w:rsid w:val="007B02A3"/>
    <w:rsid w:val="007B11EF"/>
    <w:rsid w:val="007B1498"/>
    <w:rsid w:val="007B1BED"/>
    <w:rsid w:val="007B2370"/>
    <w:rsid w:val="007B2D6B"/>
    <w:rsid w:val="007B4064"/>
    <w:rsid w:val="007B4219"/>
    <w:rsid w:val="007B42E3"/>
    <w:rsid w:val="007B44B1"/>
    <w:rsid w:val="007C012F"/>
    <w:rsid w:val="007C11B6"/>
    <w:rsid w:val="007C16F7"/>
    <w:rsid w:val="007C315B"/>
    <w:rsid w:val="007C395E"/>
    <w:rsid w:val="007C4F78"/>
    <w:rsid w:val="007C63BA"/>
    <w:rsid w:val="007C64E7"/>
    <w:rsid w:val="007C67AE"/>
    <w:rsid w:val="007C7184"/>
    <w:rsid w:val="007C7868"/>
    <w:rsid w:val="007C794C"/>
    <w:rsid w:val="007C7C3F"/>
    <w:rsid w:val="007D0247"/>
    <w:rsid w:val="007D0D40"/>
    <w:rsid w:val="007D1221"/>
    <w:rsid w:val="007D17C5"/>
    <w:rsid w:val="007D17EA"/>
    <w:rsid w:val="007D2456"/>
    <w:rsid w:val="007D2AE4"/>
    <w:rsid w:val="007D3224"/>
    <w:rsid w:val="007D4C6A"/>
    <w:rsid w:val="007D4E3C"/>
    <w:rsid w:val="007D71E1"/>
    <w:rsid w:val="007D71E9"/>
    <w:rsid w:val="007D73E4"/>
    <w:rsid w:val="007E04BB"/>
    <w:rsid w:val="007E0F41"/>
    <w:rsid w:val="007E1348"/>
    <w:rsid w:val="007E1E21"/>
    <w:rsid w:val="007E1FD6"/>
    <w:rsid w:val="007E2318"/>
    <w:rsid w:val="007E28D6"/>
    <w:rsid w:val="007E350A"/>
    <w:rsid w:val="007E3B60"/>
    <w:rsid w:val="007E41FF"/>
    <w:rsid w:val="007E51EF"/>
    <w:rsid w:val="007E548B"/>
    <w:rsid w:val="007E6266"/>
    <w:rsid w:val="007E6A69"/>
    <w:rsid w:val="007F0DF8"/>
    <w:rsid w:val="007F11ED"/>
    <w:rsid w:val="007F4487"/>
    <w:rsid w:val="007F521B"/>
    <w:rsid w:val="007F5484"/>
    <w:rsid w:val="007F5D0A"/>
    <w:rsid w:val="007F5DFD"/>
    <w:rsid w:val="007F6764"/>
    <w:rsid w:val="007F6C4F"/>
    <w:rsid w:val="007F6DFD"/>
    <w:rsid w:val="008007D0"/>
    <w:rsid w:val="00802045"/>
    <w:rsid w:val="008027FE"/>
    <w:rsid w:val="00802A71"/>
    <w:rsid w:val="00804DBD"/>
    <w:rsid w:val="008058B6"/>
    <w:rsid w:val="00805D6A"/>
    <w:rsid w:val="00806CE8"/>
    <w:rsid w:val="0080727C"/>
    <w:rsid w:val="008100BE"/>
    <w:rsid w:val="008101F1"/>
    <w:rsid w:val="00810573"/>
    <w:rsid w:val="0081117D"/>
    <w:rsid w:val="008116B7"/>
    <w:rsid w:val="0081205A"/>
    <w:rsid w:val="008129A8"/>
    <w:rsid w:val="00813267"/>
    <w:rsid w:val="00813629"/>
    <w:rsid w:val="0081366C"/>
    <w:rsid w:val="0081524D"/>
    <w:rsid w:val="00815B09"/>
    <w:rsid w:val="0081601E"/>
    <w:rsid w:val="0081643F"/>
    <w:rsid w:val="0081748F"/>
    <w:rsid w:val="00817D27"/>
    <w:rsid w:val="00820D88"/>
    <w:rsid w:val="00820D91"/>
    <w:rsid w:val="0082142C"/>
    <w:rsid w:val="00821FF3"/>
    <w:rsid w:val="0082453D"/>
    <w:rsid w:val="00824651"/>
    <w:rsid w:val="00825A6E"/>
    <w:rsid w:val="00825A7C"/>
    <w:rsid w:val="0082608B"/>
    <w:rsid w:val="00826D36"/>
    <w:rsid w:val="00827B0C"/>
    <w:rsid w:val="00827E37"/>
    <w:rsid w:val="008305EF"/>
    <w:rsid w:val="00831139"/>
    <w:rsid w:val="0083138E"/>
    <w:rsid w:val="008346DA"/>
    <w:rsid w:val="00834775"/>
    <w:rsid w:val="0083485A"/>
    <w:rsid w:val="00834CE7"/>
    <w:rsid w:val="00835D15"/>
    <w:rsid w:val="00836623"/>
    <w:rsid w:val="00836C61"/>
    <w:rsid w:val="008407C7"/>
    <w:rsid w:val="00840B22"/>
    <w:rsid w:val="00840D0B"/>
    <w:rsid w:val="008425F9"/>
    <w:rsid w:val="00844D23"/>
    <w:rsid w:val="0084523F"/>
    <w:rsid w:val="00846AC8"/>
    <w:rsid w:val="00846DC4"/>
    <w:rsid w:val="0085013B"/>
    <w:rsid w:val="0085018C"/>
    <w:rsid w:val="008503D4"/>
    <w:rsid w:val="0085075A"/>
    <w:rsid w:val="00850906"/>
    <w:rsid w:val="008517BD"/>
    <w:rsid w:val="00851C0A"/>
    <w:rsid w:val="00851EE2"/>
    <w:rsid w:val="00852390"/>
    <w:rsid w:val="00853A15"/>
    <w:rsid w:val="00853EA1"/>
    <w:rsid w:val="008540C4"/>
    <w:rsid w:val="008542CE"/>
    <w:rsid w:val="00855BA9"/>
    <w:rsid w:val="0085615F"/>
    <w:rsid w:val="00856748"/>
    <w:rsid w:val="00856C8B"/>
    <w:rsid w:val="008570B2"/>
    <w:rsid w:val="00857860"/>
    <w:rsid w:val="008578E8"/>
    <w:rsid w:val="00857C36"/>
    <w:rsid w:val="00860941"/>
    <w:rsid w:val="00860CA6"/>
    <w:rsid w:val="00860D76"/>
    <w:rsid w:val="00861242"/>
    <w:rsid w:val="00861409"/>
    <w:rsid w:val="0086212A"/>
    <w:rsid w:val="0086261A"/>
    <w:rsid w:val="00862668"/>
    <w:rsid w:val="00862918"/>
    <w:rsid w:val="00862E1E"/>
    <w:rsid w:val="00863242"/>
    <w:rsid w:val="0086444C"/>
    <w:rsid w:val="00864BE2"/>
    <w:rsid w:val="00864E39"/>
    <w:rsid w:val="00867317"/>
    <w:rsid w:val="00867641"/>
    <w:rsid w:val="00867686"/>
    <w:rsid w:val="00867815"/>
    <w:rsid w:val="00867AEE"/>
    <w:rsid w:val="00870286"/>
    <w:rsid w:val="0087040C"/>
    <w:rsid w:val="00870561"/>
    <w:rsid w:val="00871852"/>
    <w:rsid w:val="0087281E"/>
    <w:rsid w:val="00872E73"/>
    <w:rsid w:val="00874424"/>
    <w:rsid w:val="008753A6"/>
    <w:rsid w:val="0087559A"/>
    <w:rsid w:val="008756D3"/>
    <w:rsid w:val="008760D2"/>
    <w:rsid w:val="00877014"/>
    <w:rsid w:val="00877476"/>
    <w:rsid w:val="00877B91"/>
    <w:rsid w:val="00877D8F"/>
    <w:rsid w:val="00880B4C"/>
    <w:rsid w:val="00880E89"/>
    <w:rsid w:val="00880EA1"/>
    <w:rsid w:val="008818AF"/>
    <w:rsid w:val="008819E3"/>
    <w:rsid w:val="0088522A"/>
    <w:rsid w:val="0088566A"/>
    <w:rsid w:val="0088624B"/>
    <w:rsid w:val="00886A72"/>
    <w:rsid w:val="00886D79"/>
    <w:rsid w:val="00886F31"/>
    <w:rsid w:val="0088712C"/>
    <w:rsid w:val="0088794B"/>
    <w:rsid w:val="0089059B"/>
    <w:rsid w:val="008910A5"/>
    <w:rsid w:val="00891D1F"/>
    <w:rsid w:val="0089223B"/>
    <w:rsid w:val="00893C04"/>
    <w:rsid w:val="0089445E"/>
    <w:rsid w:val="0089449F"/>
    <w:rsid w:val="0089494B"/>
    <w:rsid w:val="00894A1D"/>
    <w:rsid w:val="008954E7"/>
    <w:rsid w:val="008956D9"/>
    <w:rsid w:val="00895AB4"/>
    <w:rsid w:val="00896599"/>
    <w:rsid w:val="0089700E"/>
    <w:rsid w:val="00897298"/>
    <w:rsid w:val="00897BB8"/>
    <w:rsid w:val="008A0314"/>
    <w:rsid w:val="008A0993"/>
    <w:rsid w:val="008A149A"/>
    <w:rsid w:val="008A2EEA"/>
    <w:rsid w:val="008A3BAD"/>
    <w:rsid w:val="008A48A5"/>
    <w:rsid w:val="008A4BBD"/>
    <w:rsid w:val="008A52D3"/>
    <w:rsid w:val="008A7A2D"/>
    <w:rsid w:val="008A7B81"/>
    <w:rsid w:val="008A7FF1"/>
    <w:rsid w:val="008B0C98"/>
    <w:rsid w:val="008B0E4B"/>
    <w:rsid w:val="008B2D0E"/>
    <w:rsid w:val="008B4085"/>
    <w:rsid w:val="008B43A0"/>
    <w:rsid w:val="008B51D0"/>
    <w:rsid w:val="008B51D3"/>
    <w:rsid w:val="008B5588"/>
    <w:rsid w:val="008B5CB2"/>
    <w:rsid w:val="008B5FB0"/>
    <w:rsid w:val="008B66DC"/>
    <w:rsid w:val="008B69B5"/>
    <w:rsid w:val="008B73BA"/>
    <w:rsid w:val="008B73D3"/>
    <w:rsid w:val="008B7D02"/>
    <w:rsid w:val="008C0682"/>
    <w:rsid w:val="008C0832"/>
    <w:rsid w:val="008C0AED"/>
    <w:rsid w:val="008C0DEB"/>
    <w:rsid w:val="008C127F"/>
    <w:rsid w:val="008C13C4"/>
    <w:rsid w:val="008C2AE7"/>
    <w:rsid w:val="008C2BCC"/>
    <w:rsid w:val="008C327C"/>
    <w:rsid w:val="008C35A1"/>
    <w:rsid w:val="008C418F"/>
    <w:rsid w:val="008C467A"/>
    <w:rsid w:val="008C48CC"/>
    <w:rsid w:val="008C4B16"/>
    <w:rsid w:val="008C4D32"/>
    <w:rsid w:val="008C549B"/>
    <w:rsid w:val="008C5A5E"/>
    <w:rsid w:val="008C76FA"/>
    <w:rsid w:val="008C7911"/>
    <w:rsid w:val="008D0C96"/>
    <w:rsid w:val="008D0DA0"/>
    <w:rsid w:val="008D1232"/>
    <w:rsid w:val="008D17CF"/>
    <w:rsid w:val="008D1F50"/>
    <w:rsid w:val="008D23FE"/>
    <w:rsid w:val="008D308D"/>
    <w:rsid w:val="008D45FD"/>
    <w:rsid w:val="008D620D"/>
    <w:rsid w:val="008D637D"/>
    <w:rsid w:val="008D64EA"/>
    <w:rsid w:val="008D6BCD"/>
    <w:rsid w:val="008D779D"/>
    <w:rsid w:val="008D78F8"/>
    <w:rsid w:val="008E0A00"/>
    <w:rsid w:val="008E1A17"/>
    <w:rsid w:val="008E1AC0"/>
    <w:rsid w:val="008E1EE8"/>
    <w:rsid w:val="008E2A90"/>
    <w:rsid w:val="008E2FE4"/>
    <w:rsid w:val="008E42F6"/>
    <w:rsid w:val="008E50CA"/>
    <w:rsid w:val="008E5A8F"/>
    <w:rsid w:val="008E61AF"/>
    <w:rsid w:val="008E6439"/>
    <w:rsid w:val="008E673D"/>
    <w:rsid w:val="008E7CC7"/>
    <w:rsid w:val="008F087C"/>
    <w:rsid w:val="008F0AD1"/>
    <w:rsid w:val="008F0D15"/>
    <w:rsid w:val="008F0ECB"/>
    <w:rsid w:val="008F1BE2"/>
    <w:rsid w:val="008F22EE"/>
    <w:rsid w:val="008F3288"/>
    <w:rsid w:val="008F33E7"/>
    <w:rsid w:val="008F3587"/>
    <w:rsid w:val="008F3F86"/>
    <w:rsid w:val="008F3FFA"/>
    <w:rsid w:val="008F4BEA"/>
    <w:rsid w:val="008F4F3B"/>
    <w:rsid w:val="008F4F8B"/>
    <w:rsid w:val="008F5373"/>
    <w:rsid w:val="008F53BA"/>
    <w:rsid w:val="008F56CB"/>
    <w:rsid w:val="008F5760"/>
    <w:rsid w:val="008F5C0B"/>
    <w:rsid w:val="008F5D63"/>
    <w:rsid w:val="008F663B"/>
    <w:rsid w:val="008F737A"/>
    <w:rsid w:val="008F77DF"/>
    <w:rsid w:val="008F7A4B"/>
    <w:rsid w:val="00900644"/>
    <w:rsid w:val="0090104D"/>
    <w:rsid w:val="00901931"/>
    <w:rsid w:val="00901C7D"/>
    <w:rsid w:val="00902766"/>
    <w:rsid w:val="00903F3C"/>
    <w:rsid w:val="00904E31"/>
    <w:rsid w:val="009054CB"/>
    <w:rsid w:val="0090671E"/>
    <w:rsid w:val="009068E8"/>
    <w:rsid w:val="00907901"/>
    <w:rsid w:val="00907A88"/>
    <w:rsid w:val="00911193"/>
    <w:rsid w:val="0091242C"/>
    <w:rsid w:val="00912D91"/>
    <w:rsid w:val="009136C2"/>
    <w:rsid w:val="00913BB9"/>
    <w:rsid w:val="00914569"/>
    <w:rsid w:val="00914BB9"/>
    <w:rsid w:val="009150F7"/>
    <w:rsid w:val="00915A49"/>
    <w:rsid w:val="00916532"/>
    <w:rsid w:val="00917310"/>
    <w:rsid w:val="00917417"/>
    <w:rsid w:val="00917E6F"/>
    <w:rsid w:val="009203D2"/>
    <w:rsid w:val="009205FB"/>
    <w:rsid w:val="00920E9C"/>
    <w:rsid w:val="0092140D"/>
    <w:rsid w:val="00921573"/>
    <w:rsid w:val="00921A8B"/>
    <w:rsid w:val="0092347D"/>
    <w:rsid w:val="0092370C"/>
    <w:rsid w:val="00924732"/>
    <w:rsid w:val="00924973"/>
    <w:rsid w:val="00925AAB"/>
    <w:rsid w:val="009266DA"/>
    <w:rsid w:val="00930286"/>
    <w:rsid w:val="00931413"/>
    <w:rsid w:val="009314B6"/>
    <w:rsid w:val="0093152C"/>
    <w:rsid w:val="00932DFA"/>
    <w:rsid w:val="0093333C"/>
    <w:rsid w:val="009335DC"/>
    <w:rsid w:val="009339B0"/>
    <w:rsid w:val="00933FFC"/>
    <w:rsid w:val="00935B7B"/>
    <w:rsid w:val="00935BB0"/>
    <w:rsid w:val="00935F2B"/>
    <w:rsid w:val="00936240"/>
    <w:rsid w:val="0093689B"/>
    <w:rsid w:val="00936F3B"/>
    <w:rsid w:val="00937F88"/>
    <w:rsid w:val="00940BA5"/>
    <w:rsid w:val="0094351E"/>
    <w:rsid w:val="00943694"/>
    <w:rsid w:val="00944810"/>
    <w:rsid w:val="00945159"/>
    <w:rsid w:val="0094644F"/>
    <w:rsid w:val="00946E81"/>
    <w:rsid w:val="009504B3"/>
    <w:rsid w:val="009505C1"/>
    <w:rsid w:val="00953199"/>
    <w:rsid w:val="00953F4B"/>
    <w:rsid w:val="009568A9"/>
    <w:rsid w:val="00956979"/>
    <w:rsid w:val="0095758C"/>
    <w:rsid w:val="0096059F"/>
    <w:rsid w:val="009618D5"/>
    <w:rsid w:val="00961B08"/>
    <w:rsid w:val="0096254D"/>
    <w:rsid w:val="00962B4B"/>
    <w:rsid w:val="0096359A"/>
    <w:rsid w:val="00963B8E"/>
    <w:rsid w:val="009648EB"/>
    <w:rsid w:val="00964900"/>
    <w:rsid w:val="009651F5"/>
    <w:rsid w:val="009655F9"/>
    <w:rsid w:val="00966221"/>
    <w:rsid w:val="009670A8"/>
    <w:rsid w:val="00971E14"/>
    <w:rsid w:val="009720FA"/>
    <w:rsid w:val="009757AE"/>
    <w:rsid w:val="00976052"/>
    <w:rsid w:val="00976680"/>
    <w:rsid w:val="00976874"/>
    <w:rsid w:val="00977416"/>
    <w:rsid w:val="00977449"/>
    <w:rsid w:val="00980848"/>
    <w:rsid w:val="009825E1"/>
    <w:rsid w:val="00982AD0"/>
    <w:rsid w:val="00983420"/>
    <w:rsid w:val="00983EF4"/>
    <w:rsid w:val="009845F5"/>
    <w:rsid w:val="00984AC1"/>
    <w:rsid w:val="00985C30"/>
    <w:rsid w:val="00985EFD"/>
    <w:rsid w:val="0098634D"/>
    <w:rsid w:val="00986680"/>
    <w:rsid w:val="00986D9F"/>
    <w:rsid w:val="00987AB8"/>
    <w:rsid w:val="009914D4"/>
    <w:rsid w:val="009933AC"/>
    <w:rsid w:val="009946AD"/>
    <w:rsid w:val="00994D74"/>
    <w:rsid w:val="009950AA"/>
    <w:rsid w:val="00996FB7"/>
    <w:rsid w:val="009A0764"/>
    <w:rsid w:val="009A0A6A"/>
    <w:rsid w:val="009A0E65"/>
    <w:rsid w:val="009A1067"/>
    <w:rsid w:val="009A1381"/>
    <w:rsid w:val="009A1528"/>
    <w:rsid w:val="009A15AA"/>
    <w:rsid w:val="009A1939"/>
    <w:rsid w:val="009A24E8"/>
    <w:rsid w:val="009A28FC"/>
    <w:rsid w:val="009A292E"/>
    <w:rsid w:val="009A2B74"/>
    <w:rsid w:val="009A2D9D"/>
    <w:rsid w:val="009A3199"/>
    <w:rsid w:val="009A48FD"/>
    <w:rsid w:val="009A4D0E"/>
    <w:rsid w:val="009A4E8C"/>
    <w:rsid w:val="009A5613"/>
    <w:rsid w:val="009A5AC9"/>
    <w:rsid w:val="009A6A71"/>
    <w:rsid w:val="009A6E2D"/>
    <w:rsid w:val="009B0ACF"/>
    <w:rsid w:val="009B2849"/>
    <w:rsid w:val="009B3014"/>
    <w:rsid w:val="009B3EA5"/>
    <w:rsid w:val="009B411A"/>
    <w:rsid w:val="009B41BF"/>
    <w:rsid w:val="009B4515"/>
    <w:rsid w:val="009B4920"/>
    <w:rsid w:val="009B49F9"/>
    <w:rsid w:val="009B4C41"/>
    <w:rsid w:val="009B5C4F"/>
    <w:rsid w:val="009B5FFC"/>
    <w:rsid w:val="009B6368"/>
    <w:rsid w:val="009B6CF3"/>
    <w:rsid w:val="009B6D65"/>
    <w:rsid w:val="009B774B"/>
    <w:rsid w:val="009B7DA6"/>
    <w:rsid w:val="009C009F"/>
    <w:rsid w:val="009C0A76"/>
    <w:rsid w:val="009C15FA"/>
    <w:rsid w:val="009C2B72"/>
    <w:rsid w:val="009C32C1"/>
    <w:rsid w:val="009C335A"/>
    <w:rsid w:val="009C346F"/>
    <w:rsid w:val="009C376F"/>
    <w:rsid w:val="009C417C"/>
    <w:rsid w:val="009C609C"/>
    <w:rsid w:val="009C61CA"/>
    <w:rsid w:val="009C66FE"/>
    <w:rsid w:val="009C7315"/>
    <w:rsid w:val="009C731B"/>
    <w:rsid w:val="009C763C"/>
    <w:rsid w:val="009C7F16"/>
    <w:rsid w:val="009C7F28"/>
    <w:rsid w:val="009D03C2"/>
    <w:rsid w:val="009D1E2B"/>
    <w:rsid w:val="009D3B0E"/>
    <w:rsid w:val="009D4BD2"/>
    <w:rsid w:val="009D5BB5"/>
    <w:rsid w:val="009D622E"/>
    <w:rsid w:val="009D6779"/>
    <w:rsid w:val="009D7824"/>
    <w:rsid w:val="009D78B5"/>
    <w:rsid w:val="009E1293"/>
    <w:rsid w:val="009E1792"/>
    <w:rsid w:val="009E17B6"/>
    <w:rsid w:val="009E1938"/>
    <w:rsid w:val="009E1CE3"/>
    <w:rsid w:val="009E220A"/>
    <w:rsid w:val="009E356B"/>
    <w:rsid w:val="009E3771"/>
    <w:rsid w:val="009E4DEB"/>
    <w:rsid w:val="009E541D"/>
    <w:rsid w:val="009E5613"/>
    <w:rsid w:val="009E5D4D"/>
    <w:rsid w:val="009E6828"/>
    <w:rsid w:val="009E6857"/>
    <w:rsid w:val="009F0C5C"/>
    <w:rsid w:val="009F1A62"/>
    <w:rsid w:val="009F1B96"/>
    <w:rsid w:val="009F219E"/>
    <w:rsid w:val="009F233D"/>
    <w:rsid w:val="009F38CB"/>
    <w:rsid w:val="009F4CAA"/>
    <w:rsid w:val="009F4D37"/>
    <w:rsid w:val="009F5CFF"/>
    <w:rsid w:val="00A0058D"/>
    <w:rsid w:val="00A0233C"/>
    <w:rsid w:val="00A03ACC"/>
    <w:rsid w:val="00A04317"/>
    <w:rsid w:val="00A047BC"/>
    <w:rsid w:val="00A054BA"/>
    <w:rsid w:val="00A058A7"/>
    <w:rsid w:val="00A06E47"/>
    <w:rsid w:val="00A10BC6"/>
    <w:rsid w:val="00A114FA"/>
    <w:rsid w:val="00A12223"/>
    <w:rsid w:val="00A12B76"/>
    <w:rsid w:val="00A13963"/>
    <w:rsid w:val="00A15105"/>
    <w:rsid w:val="00A15BBB"/>
    <w:rsid w:val="00A16603"/>
    <w:rsid w:val="00A16F1D"/>
    <w:rsid w:val="00A17671"/>
    <w:rsid w:val="00A2142D"/>
    <w:rsid w:val="00A216E2"/>
    <w:rsid w:val="00A21D00"/>
    <w:rsid w:val="00A220EB"/>
    <w:rsid w:val="00A2269F"/>
    <w:rsid w:val="00A22DAA"/>
    <w:rsid w:val="00A237DD"/>
    <w:rsid w:val="00A23BE2"/>
    <w:rsid w:val="00A23F70"/>
    <w:rsid w:val="00A258C1"/>
    <w:rsid w:val="00A25BC8"/>
    <w:rsid w:val="00A2623F"/>
    <w:rsid w:val="00A262BB"/>
    <w:rsid w:val="00A262F2"/>
    <w:rsid w:val="00A2647B"/>
    <w:rsid w:val="00A27465"/>
    <w:rsid w:val="00A27DFC"/>
    <w:rsid w:val="00A30A62"/>
    <w:rsid w:val="00A30C42"/>
    <w:rsid w:val="00A30D49"/>
    <w:rsid w:val="00A31711"/>
    <w:rsid w:val="00A31F23"/>
    <w:rsid w:val="00A33B0F"/>
    <w:rsid w:val="00A33B4A"/>
    <w:rsid w:val="00A35BC5"/>
    <w:rsid w:val="00A35D63"/>
    <w:rsid w:val="00A415D9"/>
    <w:rsid w:val="00A42485"/>
    <w:rsid w:val="00A4340E"/>
    <w:rsid w:val="00A44414"/>
    <w:rsid w:val="00A459C8"/>
    <w:rsid w:val="00A467D8"/>
    <w:rsid w:val="00A47172"/>
    <w:rsid w:val="00A47FC8"/>
    <w:rsid w:val="00A505E4"/>
    <w:rsid w:val="00A51BF8"/>
    <w:rsid w:val="00A5343F"/>
    <w:rsid w:val="00A534A7"/>
    <w:rsid w:val="00A5357F"/>
    <w:rsid w:val="00A53CE8"/>
    <w:rsid w:val="00A53D61"/>
    <w:rsid w:val="00A54124"/>
    <w:rsid w:val="00A542CB"/>
    <w:rsid w:val="00A549EC"/>
    <w:rsid w:val="00A55329"/>
    <w:rsid w:val="00A5573B"/>
    <w:rsid w:val="00A56679"/>
    <w:rsid w:val="00A5745B"/>
    <w:rsid w:val="00A57DBE"/>
    <w:rsid w:val="00A57E00"/>
    <w:rsid w:val="00A57F43"/>
    <w:rsid w:val="00A60C23"/>
    <w:rsid w:val="00A60E8C"/>
    <w:rsid w:val="00A6127B"/>
    <w:rsid w:val="00A61A67"/>
    <w:rsid w:val="00A62F6D"/>
    <w:rsid w:val="00A63E10"/>
    <w:rsid w:val="00A64B30"/>
    <w:rsid w:val="00A6519F"/>
    <w:rsid w:val="00A653AE"/>
    <w:rsid w:val="00A65CF8"/>
    <w:rsid w:val="00A669A9"/>
    <w:rsid w:val="00A67521"/>
    <w:rsid w:val="00A6781A"/>
    <w:rsid w:val="00A67904"/>
    <w:rsid w:val="00A67AFC"/>
    <w:rsid w:val="00A67BF6"/>
    <w:rsid w:val="00A7047B"/>
    <w:rsid w:val="00A70712"/>
    <w:rsid w:val="00A71D9E"/>
    <w:rsid w:val="00A71E8F"/>
    <w:rsid w:val="00A7220A"/>
    <w:rsid w:val="00A73067"/>
    <w:rsid w:val="00A7409C"/>
    <w:rsid w:val="00A74E61"/>
    <w:rsid w:val="00A76292"/>
    <w:rsid w:val="00A7692F"/>
    <w:rsid w:val="00A76E69"/>
    <w:rsid w:val="00A77EA2"/>
    <w:rsid w:val="00A817C7"/>
    <w:rsid w:val="00A83E92"/>
    <w:rsid w:val="00A84262"/>
    <w:rsid w:val="00A842F2"/>
    <w:rsid w:val="00A865A0"/>
    <w:rsid w:val="00A867AB"/>
    <w:rsid w:val="00A868C1"/>
    <w:rsid w:val="00A869B3"/>
    <w:rsid w:val="00A86C80"/>
    <w:rsid w:val="00A86FC2"/>
    <w:rsid w:val="00A8796A"/>
    <w:rsid w:val="00A87BB3"/>
    <w:rsid w:val="00A90495"/>
    <w:rsid w:val="00A906B9"/>
    <w:rsid w:val="00A906E8"/>
    <w:rsid w:val="00A90921"/>
    <w:rsid w:val="00A90D80"/>
    <w:rsid w:val="00A913B0"/>
    <w:rsid w:val="00A92503"/>
    <w:rsid w:val="00A925D1"/>
    <w:rsid w:val="00A92843"/>
    <w:rsid w:val="00A92D8B"/>
    <w:rsid w:val="00A9342B"/>
    <w:rsid w:val="00A936C8"/>
    <w:rsid w:val="00A944D5"/>
    <w:rsid w:val="00A9452C"/>
    <w:rsid w:val="00A94C98"/>
    <w:rsid w:val="00A94FD7"/>
    <w:rsid w:val="00A9562A"/>
    <w:rsid w:val="00A95F6D"/>
    <w:rsid w:val="00A96094"/>
    <w:rsid w:val="00A9650F"/>
    <w:rsid w:val="00A96708"/>
    <w:rsid w:val="00A97F46"/>
    <w:rsid w:val="00AA016F"/>
    <w:rsid w:val="00AA0D8A"/>
    <w:rsid w:val="00AA1948"/>
    <w:rsid w:val="00AA1962"/>
    <w:rsid w:val="00AA2022"/>
    <w:rsid w:val="00AA24F4"/>
    <w:rsid w:val="00AA2937"/>
    <w:rsid w:val="00AA4DCE"/>
    <w:rsid w:val="00AA4E97"/>
    <w:rsid w:val="00AA54CA"/>
    <w:rsid w:val="00AA6E36"/>
    <w:rsid w:val="00AA70AE"/>
    <w:rsid w:val="00AA7902"/>
    <w:rsid w:val="00AB0CD9"/>
    <w:rsid w:val="00AB1DA7"/>
    <w:rsid w:val="00AB2C84"/>
    <w:rsid w:val="00AB3CF2"/>
    <w:rsid w:val="00AB53E0"/>
    <w:rsid w:val="00AB57D4"/>
    <w:rsid w:val="00AB693B"/>
    <w:rsid w:val="00AC1B82"/>
    <w:rsid w:val="00AC1FB4"/>
    <w:rsid w:val="00AC2D84"/>
    <w:rsid w:val="00AC2EE8"/>
    <w:rsid w:val="00AC3913"/>
    <w:rsid w:val="00AC3C60"/>
    <w:rsid w:val="00AC3C8C"/>
    <w:rsid w:val="00AC5082"/>
    <w:rsid w:val="00AC6468"/>
    <w:rsid w:val="00AC678C"/>
    <w:rsid w:val="00AC6BEB"/>
    <w:rsid w:val="00AC6D2C"/>
    <w:rsid w:val="00AC743C"/>
    <w:rsid w:val="00AD0637"/>
    <w:rsid w:val="00AD0CB6"/>
    <w:rsid w:val="00AD1534"/>
    <w:rsid w:val="00AD1F48"/>
    <w:rsid w:val="00AD3306"/>
    <w:rsid w:val="00AD34CE"/>
    <w:rsid w:val="00AD3959"/>
    <w:rsid w:val="00AD4150"/>
    <w:rsid w:val="00AD433A"/>
    <w:rsid w:val="00AD4863"/>
    <w:rsid w:val="00AD5A21"/>
    <w:rsid w:val="00AD701F"/>
    <w:rsid w:val="00AD7642"/>
    <w:rsid w:val="00AD7EA3"/>
    <w:rsid w:val="00AE0018"/>
    <w:rsid w:val="00AE1173"/>
    <w:rsid w:val="00AE2992"/>
    <w:rsid w:val="00AE33F9"/>
    <w:rsid w:val="00AE3DA6"/>
    <w:rsid w:val="00AE3ECE"/>
    <w:rsid w:val="00AE471F"/>
    <w:rsid w:val="00AE49A0"/>
    <w:rsid w:val="00AE4D17"/>
    <w:rsid w:val="00AE4EE8"/>
    <w:rsid w:val="00AE5A8F"/>
    <w:rsid w:val="00AE5BDB"/>
    <w:rsid w:val="00AE62EA"/>
    <w:rsid w:val="00AE63F6"/>
    <w:rsid w:val="00AE6548"/>
    <w:rsid w:val="00AE6B35"/>
    <w:rsid w:val="00AE6D69"/>
    <w:rsid w:val="00AE7136"/>
    <w:rsid w:val="00AE7F11"/>
    <w:rsid w:val="00AF0671"/>
    <w:rsid w:val="00AF1FA0"/>
    <w:rsid w:val="00AF35DF"/>
    <w:rsid w:val="00AF3BF9"/>
    <w:rsid w:val="00AF4E35"/>
    <w:rsid w:val="00AF52FD"/>
    <w:rsid w:val="00AF652C"/>
    <w:rsid w:val="00AF7A5E"/>
    <w:rsid w:val="00B02AD7"/>
    <w:rsid w:val="00B02CC7"/>
    <w:rsid w:val="00B02FFC"/>
    <w:rsid w:val="00B035D3"/>
    <w:rsid w:val="00B05722"/>
    <w:rsid w:val="00B06701"/>
    <w:rsid w:val="00B073CD"/>
    <w:rsid w:val="00B07811"/>
    <w:rsid w:val="00B105A0"/>
    <w:rsid w:val="00B105D8"/>
    <w:rsid w:val="00B10C52"/>
    <w:rsid w:val="00B10CE6"/>
    <w:rsid w:val="00B12C91"/>
    <w:rsid w:val="00B1362F"/>
    <w:rsid w:val="00B1563A"/>
    <w:rsid w:val="00B15ED1"/>
    <w:rsid w:val="00B165EC"/>
    <w:rsid w:val="00B168F8"/>
    <w:rsid w:val="00B17FB2"/>
    <w:rsid w:val="00B20498"/>
    <w:rsid w:val="00B214BA"/>
    <w:rsid w:val="00B219A5"/>
    <w:rsid w:val="00B222D6"/>
    <w:rsid w:val="00B2312D"/>
    <w:rsid w:val="00B23248"/>
    <w:rsid w:val="00B23630"/>
    <w:rsid w:val="00B238FD"/>
    <w:rsid w:val="00B24D42"/>
    <w:rsid w:val="00B24E9C"/>
    <w:rsid w:val="00B24EAD"/>
    <w:rsid w:val="00B253BC"/>
    <w:rsid w:val="00B27C49"/>
    <w:rsid w:val="00B308F3"/>
    <w:rsid w:val="00B31339"/>
    <w:rsid w:val="00B31449"/>
    <w:rsid w:val="00B316E2"/>
    <w:rsid w:val="00B33175"/>
    <w:rsid w:val="00B33541"/>
    <w:rsid w:val="00B3479D"/>
    <w:rsid w:val="00B34A0F"/>
    <w:rsid w:val="00B35181"/>
    <w:rsid w:val="00B35B8B"/>
    <w:rsid w:val="00B35BF3"/>
    <w:rsid w:val="00B36B0E"/>
    <w:rsid w:val="00B37C9D"/>
    <w:rsid w:val="00B37D3B"/>
    <w:rsid w:val="00B37DD2"/>
    <w:rsid w:val="00B4008C"/>
    <w:rsid w:val="00B40120"/>
    <w:rsid w:val="00B40A7F"/>
    <w:rsid w:val="00B447FC"/>
    <w:rsid w:val="00B4552C"/>
    <w:rsid w:val="00B46A87"/>
    <w:rsid w:val="00B47E2A"/>
    <w:rsid w:val="00B50857"/>
    <w:rsid w:val="00B51964"/>
    <w:rsid w:val="00B53BC2"/>
    <w:rsid w:val="00B548DF"/>
    <w:rsid w:val="00B549FC"/>
    <w:rsid w:val="00B56877"/>
    <w:rsid w:val="00B56C4E"/>
    <w:rsid w:val="00B56D63"/>
    <w:rsid w:val="00B56ECB"/>
    <w:rsid w:val="00B57C23"/>
    <w:rsid w:val="00B60E17"/>
    <w:rsid w:val="00B64289"/>
    <w:rsid w:val="00B64398"/>
    <w:rsid w:val="00B6488D"/>
    <w:rsid w:val="00B65280"/>
    <w:rsid w:val="00B660B0"/>
    <w:rsid w:val="00B6687A"/>
    <w:rsid w:val="00B66A3E"/>
    <w:rsid w:val="00B678BF"/>
    <w:rsid w:val="00B71772"/>
    <w:rsid w:val="00B71DC7"/>
    <w:rsid w:val="00B73B48"/>
    <w:rsid w:val="00B73D14"/>
    <w:rsid w:val="00B746DB"/>
    <w:rsid w:val="00B750CF"/>
    <w:rsid w:val="00B750D4"/>
    <w:rsid w:val="00B759E9"/>
    <w:rsid w:val="00B76DC9"/>
    <w:rsid w:val="00B76E87"/>
    <w:rsid w:val="00B810AC"/>
    <w:rsid w:val="00B8132A"/>
    <w:rsid w:val="00B81933"/>
    <w:rsid w:val="00B81D37"/>
    <w:rsid w:val="00B82845"/>
    <w:rsid w:val="00B83726"/>
    <w:rsid w:val="00B84AE2"/>
    <w:rsid w:val="00B85863"/>
    <w:rsid w:val="00B864AD"/>
    <w:rsid w:val="00B876CE"/>
    <w:rsid w:val="00B87BD1"/>
    <w:rsid w:val="00B90239"/>
    <w:rsid w:val="00B90521"/>
    <w:rsid w:val="00B90A15"/>
    <w:rsid w:val="00B90C0D"/>
    <w:rsid w:val="00B92233"/>
    <w:rsid w:val="00B92568"/>
    <w:rsid w:val="00B93333"/>
    <w:rsid w:val="00B9383D"/>
    <w:rsid w:val="00B93FE1"/>
    <w:rsid w:val="00B94699"/>
    <w:rsid w:val="00B946B9"/>
    <w:rsid w:val="00B94C5E"/>
    <w:rsid w:val="00B94D15"/>
    <w:rsid w:val="00B95C43"/>
    <w:rsid w:val="00B97431"/>
    <w:rsid w:val="00B97488"/>
    <w:rsid w:val="00BA38A9"/>
    <w:rsid w:val="00BA38D9"/>
    <w:rsid w:val="00BA4069"/>
    <w:rsid w:val="00BA44BA"/>
    <w:rsid w:val="00BA4D54"/>
    <w:rsid w:val="00BA5077"/>
    <w:rsid w:val="00BA525E"/>
    <w:rsid w:val="00BA62B9"/>
    <w:rsid w:val="00BB15B9"/>
    <w:rsid w:val="00BB2278"/>
    <w:rsid w:val="00BB24F7"/>
    <w:rsid w:val="00BB256C"/>
    <w:rsid w:val="00BB3531"/>
    <w:rsid w:val="00BB5D78"/>
    <w:rsid w:val="00BC0081"/>
    <w:rsid w:val="00BC0722"/>
    <w:rsid w:val="00BC20BC"/>
    <w:rsid w:val="00BC27E4"/>
    <w:rsid w:val="00BC2EAF"/>
    <w:rsid w:val="00BC3076"/>
    <w:rsid w:val="00BC3194"/>
    <w:rsid w:val="00BC3B46"/>
    <w:rsid w:val="00BC3CEB"/>
    <w:rsid w:val="00BC4179"/>
    <w:rsid w:val="00BC46F0"/>
    <w:rsid w:val="00BC5D6D"/>
    <w:rsid w:val="00BC5DFB"/>
    <w:rsid w:val="00BC609F"/>
    <w:rsid w:val="00BC6358"/>
    <w:rsid w:val="00BC70CC"/>
    <w:rsid w:val="00BC721D"/>
    <w:rsid w:val="00BC74FB"/>
    <w:rsid w:val="00BD0437"/>
    <w:rsid w:val="00BD069D"/>
    <w:rsid w:val="00BD0AEF"/>
    <w:rsid w:val="00BD1201"/>
    <w:rsid w:val="00BD1367"/>
    <w:rsid w:val="00BD24A3"/>
    <w:rsid w:val="00BD27DC"/>
    <w:rsid w:val="00BD482A"/>
    <w:rsid w:val="00BD4C42"/>
    <w:rsid w:val="00BD5279"/>
    <w:rsid w:val="00BD540E"/>
    <w:rsid w:val="00BD5AB3"/>
    <w:rsid w:val="00BD5F38"/>
    <w:rsid w:val="00BD6050"/>
    <w:rsid w:val="00BD6DBA"/>
    <w:rsid w:val="00BD7159"/>
    <w:rsid w:val="00BD72B1"/>
    <w:rsid w:val="00BD72FB"/>
    <w:rsid w:val="00BD73CD"/>
    <w:rsid w:val="00BE06D1"/>
    <w:rsid w:val="00BE0918"/>
    <w:rsid w:val="00BE0AD5"/>
    <w:rsid w:val="00BE0E4D"/>
    <w:rsid w:val="00BE1A1E"/>
    <w:rsid w:val="00BE21D9"/>
    <w:rsid w:val="00BE3CCE"/>
    <w:rsid w:val="00BE4AFB"/>
    <w:rsid w:val="00BE5070"/>
    <w:rsid w:val="00BE6118"/>
    <w:rsid w:val="00BE71F4"/>
    <w:rsid w:val="00BE7317"/>
    <w:rsid w:val="00BF0082"/>
    <w:rsid w:val="00BF015C"/>
    <w:rsid w:val="00BF0491"/>
    <w:rsid w:val="00BF1920"/>
    <w:rsid w:val="00BF2978"/>
    <w:rsid w:val="00BF2D7E"/>
    <w:rsid w:val="00BF3309"/>
    <w:rsid w:val="00BF3811"/>
    <w:rsid w:val="00BF3B69"/>
    <w:rsid w:val="00BF49EF"/>
    <w:rsid w:val="00BF51FA"/>
    <w:rsid w:val="00BF537C"/>
    <w:rsid w:val="00BF5EEA"/>
    <w:rsid w:val="00BF5FBC"/>
    <w:rsid w:val="00BF7AC7"/>
    <w:rsid w:val="00C01581"/>
    <w:rsid w:val="00C016D7"/>
    <w:rsid w:val="00C02959"/>
    <w:rsid w:val="00C03911"/>
    <w:rsid w:val="00C04169"/>
    <w:rsid w:val="00C069DE"/>
    <w:rsid w:val="00C06F74"/>
    <w:rsid w:val="00C07431"/>
    <w:rsid w:val="00C102A8"/>
    <w:rsid w:val="00C10428"/>
    <w:rsid w:val="00C108F0"/>
    <w:rsid w:val="00C121A8"/>
    <w:rsid w:val="00C12602"/>
    <w:rsid w:val="00C12CC1"/>
    <w:rsid w:val="00C12E24"/>
    <w:rsid w:val="00C12FEB"/>
    <w:rsid w:val="00C1366A"/>
    <w:rsid w:val="00C13A99"/>
    <w:rsid w:val="00C13B77"/>
    <w:rsid w:val="00C13D9A"/>
    <w:rsid w:val="00C13E63"/>
    <w:rsid w:val="00C140CB"/>
    <w:rsid w:val="00C14E6D"/>
    <w:rsid w:val="00C14FDB"/>
    <w:rsid w:val="00C16E26"/>
    <w:rsid w:val="00C175DF"/>
    <w:rsid w:val="00C17A50"/>
    <w:rsid w:val="00C21059"/>
    <w:rsid w:val="00C210D5"/>
    <w:rsid w:val="00C228EF"/>
    <w:rsid w:val="00C23169"/>
    <w:rsid w:val="00C23E18"/>
    <w:rsid w:val="00C260F5"/>
    <w:rsid w:val="00C26103"/>
    <w:rsid w:val="00C2629E"/>
    <w:rsid w:val="00C262D2"/>
    <w:rsid w:val="00C27058"/>
    <w:rsid w:val="00C27A75"/>
    <w:rsid w:val="00C27A9E"/>
    <w:rsid w:val="00C27F21"/>
    <w:rsid w:val="00C3109B"/>
    <w:rsid w:val="00C31425"/>
    <w:rsid w:val="00C31831"/>
    <w:rsid w:val="00C31F49"/>
    <w:rsid w:val="00C321D8"/>
    <w:rsid w:val="00C331C7"/>
    <w:rsid w:val="00C33496"/>
    <w:rsid w:val="00C339D2"/>
    <w:rsid w:val="00C340A3"/>
    <w:rsid w:val="00C344A3"/>
    <w:rsid w:val="00C345C1"/>
    <w:rsid w:val="00C35AF9"/>
    <w:rsid w:val="00C35BBA"/>
    <w:rsid w:val="00C35BFD"/>
    <w:rsid w:val="00C36682"/>
    <w:rsid w:val="00C3684B"/>
    <w:rsid w:val="00C37665"/>
    <w:rsid w:val="00C3787A"/>
    <w:rsid w:val="00C379A3"/>
    <w:rsid w:val="00C37D88"/>
    <w:rsid w:val="00C37F9B"/>
    <w:rsid w:val="00C4032C"/>
    <w:rsid w:val="00C40890"/>
    <w:rsid w:val="00C41833"/>
    <w:rsid w:val="00C41E78"/>
    <w:rsid w:val="00C421B9"/>
    <w:rsid w:val="00C42622"/>
    <w:rsid w:val="00C428AB"/>
    <w:rsid w:val="00C42970"/>
    <w:rsid w:val="00C42A29"/>
    <w:rsid w:val="00C43FB7"/>
    <w:rsid w:val="00C45514"/>
    <w:rsid w:val="00C45A45"/>
    <w:rsid w:val="00C47347"/>
    <w:rsid w:val="00C50F41"/>
    <w:rsid w:val="00C50F71"/>
    <w:rsid w:val="00C51384"/>
    <w:rsid w:val="00C51CDF"/>
    <w:rsid w:val="00C53D80"/>
    <w:rsid w:val="00C5677C"/>
    <w:rsid w:val="00C57053"/>
    <w:rsid w:val="00C57C7A"/>
    <w:rsid w:val="00C61325"/>
    <w:rsid w:val="00C6160A"/>
    <w:rsid w:val="00C617AE"/>
    <w:rsid w:val="00C61967"/>
    <w:rsid w:val="00C61C5C"/>
    <w:rsid w:val="00C62801"/>
    <w:rsid w:val="00C62D6A"/>
    <w:rsid w:val="00C63763"/>
    <w:rsid w:val="00C64C6B"/>
    <w:rsid w:val="00C65976"/>
    <w:rsid w:val="00C65DE1"/>
    <w:rsid w:val="00C66AE9"/>
    <w:rsid w:val="00C70B0E"/>
    <w:rsid w:val="00C70C54"/>
    <w:rsid w:val="00C71C1F"/>
    <w:rsid w:val="00C71E6F"/>
    <w:rsid w:val="00C722AB"/>
    <w:rsid w:val="00C72C3E"/>
    <w:rsid w:val="00C733F2"/>
    <w:rsid w:val="00C74ED7"/>
    <w:rsid w:val="00C75233"/>
    <w:rsid w:val="00C758CD"/>
    <w:rsid w:val="00C75EF2"/>
    <w:rsid w:val="00C76160"/>
    <w:rsid w:val="00C76A5A"/>
    <w:rsid w:val="00C774EA"/>
    <w:rsid w:val="00C8003E"/>
    <w:rsid w:val="00C8017B"/>
    <w:rsid w:val="00C80BD1"/>
    <w:rsid w:val="00C81462"/>
    <w:rsid w:val="00C82088"/>
    <w:rsid w:val="00C8217C"/>
    <w:rsid w:val="00C8254F"/>
    <w:rsid w:val="00C82E4F"/>
    <w:rsid w:val="00C8374A"/>
    <w:rsid w:val="00C848A7"/>
    <w:rsid w:val="00C84B4B"/>
    <w:rsid w:val="00C8664F"/>
    <w:rsid w:val="00C87098"/>
    <w:rsid w:val="00C8783B"/>
    <w:rsid w:val="00C87EC6"/>
    <w:rsid w:val="00C903D7"/>
    <w:rsid w:val="00C905B6"/>
    <w:rsid w:val="00C906B6"/>
    <w:rsid w:val="00C9165C"/>
    <w:rsid w:val="00C9168B"/>
    <w:rsid w:val="00C91C0F"/>
    <w:rsid w:val="00C93A17"/>
    <w:rsid w:val="00C93CCB"/>
    <w:rsid w:val="00C94319"/>
    <w:rsid w:val="00C946A0"/>
    <w:rsid w:val="00C952E2"/>
    <w:rsid w:val="00C95866"/>
    <w:rsid w:val="00C95E9F"/>
    <w:rsid w:val="00C96CA5"/>
    <w:rsid w:val="00CA0F8A"/>
    <w:rsid w:val="00CA1947"/>
    <w:rsid w:val="00CA24A5"/>
    <w:rsid w:val="00CA3BC2"/>
    <w:rsid w:val="00CA4476"/>
    <w:rsid w:val="00CA56B8"/>
    <w:rsid w:val="00CA5D26"/>
    <w:rsid w:val="00CA6020"/>
    <w:rsid w:val="00CA6FD0"/>
    <w:rsid w:val="00CA79AE"/>
    <w:rsid w:val="00CA7BA5"/>
    <w:rsid w:val="00CB0BA0"/>
    <w:rsid w:val="00CB2A99"/>
    <w:rsid w:val="00CB2CD1"/>
    <w:rsid w:val="00CB56BB"/>
    <w:rsid w:val="00CB5C3E"/>
    <w:rsid w:val="00CB6B2F"/>
    <w:rsid w:val="00CB6E44"/>
    <w:rsid w:val="00CB707F"/>
    <w:rsid w:val="00CB739B"/>
    <w:rsid w:val="00CC0196"/>
    <w:rsid w:val="00CC20DB"/>
    <w:rsid w:val="00CC4DD3"/>
    <w:rsid w:val="00CC4F6E"/>
    <w:rsid w:val="00CC5139"/>
    <w:rsid w:val="00CC5514"/>
    <w:rsid w:val="00CC6D60"/>
    <w:rsid w:val="00CC77AB"/>
    <w:rsid w:val="00CD059A"/>
    <w:rsid w:val="00CD05CF"/>
    <w:rsid w:val="00CD0EB0"/>
    <w:rsid w:val="00CD0FD8"/>
    <w:rsid w:val="00CD0FF1"/>
    <w:rsid w:val="00CD194C"/>
    <w:rsid w:val="00CD2706"/>
    <w:rsid w:val="00CD2DEA"/>
    <w:rsid w:val="00CD5059"/>
    <w:rsid w:val="00CD50A9"/>
    <w:rsid w:val="00CD51FD"/>
    <w:rsid w:val="00CD6166"/>
    <w:rsid w:val="00CD77D6"/>
    <w:rsid w:val="00CD7EE3"/>
    <w:rsid w:val="00CE0C82"/>
    <w:rsid w:val="00CE17C6"/>
    <w:rsid w:val="00CE272B"/>
    <w:rsid w:val="00CE282C"/>
    <w:rsid w:val="00CE35D7"/>
    <w:rsid w:val="00CE36F5"/>
    <w:rsid w:val="00CE406B"/>
    <w:rsid w:val="00CE4882"/>
    <w:rsid w:val="00CE51D1"/>
    <w:rsid w:val="00CE53C4"/>
    <w:rsid w:val="00CE5C7B"/>
    <w:rsid w:val="00CE6426"/>
    <w:rsid w:val="00CE6632"/>
    <w:rsid w:val="00CE6752"/>
    <w:rsid w:val="00CE6870"/>
    <w:rsid w:val="00CE6D6D"/>
    <w:rsid w:val="00CE6F7D"/>
    <w:rsid w:val="00CE7382"/>
    <w:rsid w:val="00CE7BD7"/>
    <w:rsid w:val="00CE7C0C"/>
    <w:rsid w:val="00CF0568"/>
    <w:rsid w:val="00CF1FF9"/>
    <w:rsid w:val="00CF2318"/>
    <w:rsid w:val="00CF31E2"/>
    <w:rsid w:val="00CF342D"/>
    <w:rsid w:val="00CF49D5"/>
    <w:rsid w:val="00CF4ECD"/>
    <w:rsid w:val="00CF63B3"/>
    <w:rsid w:val="00CF6566"/>
    <w:rsid w:val="00CF6E71"/>
    <w:rsid w:val="00CF7BD9"/>
    <w:rsid w:val="00D00154"/>
    <w:rsid w:val="00D01006"/>
    <w:rsid w:val="00D01EA1"/>
    <w:rsid w:val="00D020C2"/>
    <w:rsid w:val="00D0237E"/>
    <w:rsid w:val="00D03071"/>
    <w:rsid w:val="00D03755"/>
    <w:rsid w:val="00D03B83"/>
    <w:rsid w:val="00D043AA"/>
    <w:rsid w:val="00D05703"/>
    <w:rsid w:val="00D05825"/>
    <w:rsid w:val="00D06269"/>
    <w:rsid w:val="00D068A5"/>
    <w:rsid w:val="00D06C14"/>
    <w:rsid w:val="00D07761"/>
    <w:rsid w:val="00D11404"/>
    <w:rsid w:val="00D1183C"/>
    <w:rsid w:val="00D11DB4"/>
    <w:rsid w:val="00D1431F"/>
    <w:rsid w:val="00D159E3"/>
    <w:rsid w:val="00D15F44"/>
    <w:rsid w:val="00D16012"/>
    <w:rsid w:val="00D16BB2"/>
    <w:rsid w:val="00D1706A"/>
    <w:rsid w:val="00D2078F"/>
    <w:rsid w:val="00D20AC9"/>
    <w:rsid w:val="00D21790"/>
    <w:rsid w:val="00D23228"/>
    <w:rsid w:val="00D23A6F"/>
    <w:rsid w:val="00D246FB"/>
    <w:rsid w:val="00D24D56"/>
    <w:rsid w:val="00D25C0C"/>
    <w:rsid w:val="00D263B9"/>
    <w:rsid w:val="00D263FB"/>
    <w:rsid w:val="00D26933"/>
    <w:rsid w:val="00D26F7D"/>
    <w:rsid w:val="00D27091"/>
    <w:rsid w:val="00D3179D"/>
    <w:rsid w:val="00D31C35"/>
    <w:rsid w:val="00D321D7"/>
    <w:rsid w:val="00D3291C"/>
    <w:rsid w:val="00D33516"/>
    <w:rsid w:val="00D33A23"/>
    <w:rsid w:val="00D33F91"/>
    <w:rsid w:val="00D3496D"/>
    <w:rsid w:val="00D35845"/>
    <w:rsid w:val="00D35BDF"/>
    <w:rsid w:val="00D361EF"/>
    <w:rsid w:val="00D364F2"/>
    <w:rsid w:val="00D369B9"/>
    <w:rsid w:val="00D41285"/>
    <w:rsid w:val="00D41A35"/>
    <w:rsid w:val="00D42259"/>
    <w:rsid w:val="00D425E3"/>
    <w:rsid w:val="00D4406D"/>
    <w:rsid w:val="00D4424C"/>
    <w:rsid w:val="00D4427D"/>
    <w:rsid w:val="00D44869"/>
    <w:rsid w:val="00D4505D"/>
    <w:rsid w:val="00D4520D"/>
    <w:rsid w:val="00D4589A"/>
    <w:rsid w:val="00D45D98"/>
    <w:rsid w:val="00D46633"/>
    <w:rsid w:val="00D47058"/>
    <w:rsid w:val="00D47879"/>
    <w:rsid w:val="00D501C7"/>
    <w:rsid w:val="00D5057A"/>
    <w:rsid w:val="00D50B82"/>
    <w:rsid w:val="00D55042"/>
    <w:rsid w:val="00D55479"/>
    <w:rsid w:val="00D555D6"/>
    <w:rsid w:val="00D556D5"/>
    <w:rsid w:val="00D5664F"/>
    <w:rsid w:val="00D57286"/>
    <w:rsid w:val="00D574E9"/>
    <w:rsid w:val="00D57AFD"/>
    <w:rsid w:val="00D60763"/>
    <w:rsid w:val="00D6137B"/>
    <w:rsid w:val="00D614D1"/>
    <w:rsid w:val="00D616B3"/>
    <w:rsid w:val="00D61B6C"/>
    <w:rsid w:val="00D61BB1"/>
    <w:rsid w:val="00D622DF"/>
    <w:rsid w:val="00D62A24"/>
    <w:rsid w:val="00D63526"/>
    <w:rsid w:val="00D637AA"/>
    <w:rsid w:val="00D63876"/>
    <w:rsid w:val="00D6420B"/>
    <w:rsid w:val="00D6526F"/>
    <w:rsid w:val="00D6584F"/>
    <w:rsid w:val="00D65D07"/>
    <w:rsid w:val="00D6690A"/>
    <w:rsid w:val="00D66A0A"/>
    <w:rsid w:val="00D67805"/>
    <w:rsid w:val="00D67E41"/>
    <w:rsid w:val="00D70377"/>
    <w:rsid w:val="00D703D4"/>
    <w:rsid w:val="00D704C3"/>
    <w:rsid w:val="00D706EF"/>
    <w:rsid w:val="00D70B92"/>
    <w:rsid w:val="00D71190"/>
    <w:rsid w:val="00D7198A"/>
    <w:rsid w:val="00D71B25"/>
    <w:rsid w:val="00D7208B"/>
    <w:rsid w:val="00D73CF3"/>
    <w:rsid w:val="00D73ED2"/>
    <w:rsid w:val="00D744FD"/>
    <w:rsid w:val="00D745FC"/>
    <w:rsid w:val="00D7547F"/>
    <w:rsid w:val="00D755E3"/>
    <w:rsid w:val="00D7646E"/>
    <w:rsid w:val="00D76A74"/>
    <w:rsid w:val="00D76C31"/>
    <w:rsid w:val="00D770F5"/>
    <w:rsid w:val="00D779D8"/>
    <w:rsid w:val="00D8078E"/>
    <w:rsid w:val="00D80F98"/>
    <w:rsid w:val="00D81371"/>
    <w:rsid w:val="00D82A0F"/>
    <w:rsid w:val="00D840A8"/>
    <w:rsid w:val="00D84B8C"/>
    <w:rsid w:val="00D851D0"/>
    <w:rsid w:val="00D853DC"/>
    <w:rsid w:val="00D854A0"/>
    <w:rsid w:val="00D85CD9"/>
    <w:rsid w:val="00D86023"/>
    <w:rsid w:val="00D878C8"/>
    <w:rsid w:val="00D87A64"/>
    <w:rsid w:val="00D90502"/>
    <w:rsid w:val="00D906A7"/>
    <w:rsid w:val="00D90CCB"/>
    <w:rsid w:val="00D9129E"/>
    <w:rsid w:val="00D921B5"/>
    <w:rsid w:val="00D9243E"/>
    <w:rsid w:val="00D92546"/>
    <w:rsid w:val="00D94EFB"/>
    <w:rsid w:val="00D95E92"/>
    <w:rsid w:val="00D96207"/>
    <w:rsid w:val="00D96B78"/>
    <w:rsid w:val="00D96F5D"/>
    <w:rsid w:val="00D96F72"/>
    <w:rsid w:val="00D97205"/>
    <w:rsid w:val="00D97206"/>
    <w:rsid w:val="00D97788"/>
    <w:rsid w:val="00DA1195"/>
    <w:rsid w:val="00DA19DA"/>
    <w:rsid w:val="00DA226E"/>
    <w:rsid w:val="00DA6382"/>
    <w:rsid w:val="00DA773A"/>
    <w:rsid w:val="00DB23B1"/>
    <w:rsid w:val="00DB305D"/>
    <w:rsid w:val="00DB4056"/>
    <w:rsid w:val="00DB5EF8"/>
    <w:rsid w:val="00DB6ABD"/>
    <w:rsid w:val="00DB6DBA"/>
    <w:rsid w:val="00DB7090"/>
    <w:rsid w:val="00DB73AD"/>
    <w:rsid w:val="00DB7793"/>
    <w:rsid w:val="00DB7983"/>
    <w:rsid w:val="00DB7DFF"/>
    <w:rsid w:val="00DC136A"/>
    <w:rsid w:val="00DC1FDC"/>
    <w:rsid w:val="00DC2362"/>
    <w:rsid w:val="00DC2469"/>
    <w:rsid w:val="00DC29F4"/>
    <w:rsid w:val="00DC2E3E"/>
    <w:rsid w:val="00DC405C"/>
    <w:rsid w:val="00DC6AF7"/>
    <w:rsid w:val="00DC7396"/>
    <w:rsid w:val="00DC7CCD"/>
    <w:rsid w:val="00DD09C6"/>
    <w:rsid w:val="00DD0D66"/>
    <w:rsid w:val="00DD0EE2"/>
    <w:rsid w:val="00DD0F8E"/>
    <w:rsid w:val="00DD1872"/>
    <w:rsid w:val="00DD194C"/>
    <w:rsid w:val="00DD1F27"/>
    <w:rsid w:val="00DD2141"/>
    <w:rsid w:val="00DD2183"/>
    <w:rsid w:val="00DD3720"/>
    <w:rsid w:val="00DD3F54"/>
    <w:rsid w:val="00DD4260"/>
    <w:rsid w:val="00DD4600"/>
    <w:rsid w:val="00DD4F41"/>
    <w:rsid w:val="00DD59D4"/>
    <w:rsid w:val="00DD5ACF"/>
    <w:rsid w:val="00DD6A91"/>
    <w:rsid w:val="00DD6BE8"/>
    <w:rsid w:val="00DD72FF"/>
    <w:rsid w:val="00DD7811"/>
    <w:rsid w:val="00DD7CF2"/>
    <w:rsid w:val="00DD7D5B"/>
    <w:rsid w:val="00DD7D6B"/>
    <w:rsid w:val="00DE0A1A"/>
    <w:rsid w:val="00DE1605"/>
    <w:rsid w:val="00DE30CB"/>
    <w:rsid w:val="00DE35AB"/>
    <w:rsid w:val="00DE3F27"/>
    <w:rsid w:val="00DE471E"/>
    <w:rsid w:val="00DE5241"/>
    <w:rsid w:val="00DE67B2"/>
    <w:rsid w:val="00DE72FB"/>
    <w:rsid w:val="00DE7DD0"/>
    <w:rsid w:val="00DF127D"/>
    <w:rsid w:val="00DF1285"/>
    <w:rsid w:val="00DF134A"/>
    <w:rsid w:val="00DF15E6"/>
    <w:rsid w:val="00DF1D61"/>
    <w:rsid w:val="00DF20E2"/>
    <w:rsid w:val="00DF28F3"/>
    <w:rsid w:val="00DF3238"/>
    <w:rsid w:val="00DF3EA4"/>
    <w:rsid w:val="00DF492E"/>
    <w:rsid w:val="00DF4BF8"/>
    <w:rsid w:val="00DF5DB1"/>
    <w:rsid w:val="00DF6802"/>
    <w:rsid w:val="00E000D6"/>
    <w:rsid w:val="00E00701"/>
    <w:rsid w:val="00E01397"/>
    <w:rsid w:val="00E02040"/>
    <w:rsid w:val="00E02087"/>
    <w:rsid w:val="00E02F06"/>
    <w:rsid w:val="00E03154"/>
    <w:rsid w:val="00E03C90"/>
    <w:rsid w:val="00E04726"/>
    <w:rsid w:val="00E0513E"/>
    <w:rsid w:val="00E05B33"/>
    <w:rsid w:val="00E05CE4"/>
    <w:rsid w:val="00E06BB0"/>
    <w:rsid w:val="00E079F9"/>
    <w:rsid w:val="00E07CE9"/>
    <w:rsid w:val="00E07EA4"/>
    <w:rsid w:val="00E100AE"/>
    <w:rsid w:val="00E1149E"/>
    <w:rsid w:val="00E12DD5"/>
    <w:rsid w:val="00E13819"/>
    <w:rsid w:val="00E13C47"/>
    <w:rsid w:val="00E14610"/>
    <w:rsid w:val="00E14C03"/>
    <w:rsid w:val="00E16AEB"/>
    <w:rsid w:val="00E20475"/>
    <w:rsid w:val="00E21FC9"/>
    <w:rsid w:val="00E22621"/>
    <w:rsid w:val="00E2404B"/>
    <w:rsid w:val="00E25A13"/>
    <w:rsid w:val="00E25CDF"/>
    <w:rsid w:val="00E270F6"/>
    <w:rsid w:val="00E27B58"/>
    <w:rsid w:val="00E30122"/>
    <w:rsid w:val="00E32B5E"/>
    <w:rsid w:val="00E32B7A"/>
    <w:rsid w:val="00E32C18"/>
    <w:rsid w:val="00E33210"/>
    <w:rsid w:val="00E337A4"/>
    <w:rsid w:val="00E34559"/>
    <w:rsid w:val="00E4000D"/>
    <w:rsid w:val="00E40B94"/>
    <w:rsid w:val="00E416D6"/>
    <w:rsid w:val="00E43069"/>
    <w:rsid w:val="00E43169"/>
    <w:rsid w:val="00E45739"/>
    <w:rsid w:val="00E47FB6"/>
    <w:rsid w:val="00E52D16"/>
    <w:rsid w:val="00E53E57"/>
    <w:rsid w:val="00E54FEF"/>
    <w:rsid w:val="00E55A48"/>
    <w:rsid w:val="00E560F8"/>
    <w:rsid w:val="00E5643B"/>
    <w:rsid w:val="00E566A2"/>
    <w:rsid w:val="00E570B1"/>
    <w:rsid w:val="00E57DD0"/>
    <w:rsid w:val="00E60680"/>
    <w:rsid w:val="00E6113E"/>
    <w:rsid w:val="00E620C2"/>
    <w:rsid w:val="00E62391"/>
    <w:rsid w:val="00E62C37"/>
    <w:rsid w:val="00E62C5B"/>
    <w:rsid w:val="00E63A6E"/>
    <w:rsid w:val="00E63E7D"/>
    <w:rsid w:val="00E64F2A"/>
    <w:rsid w:val="00E66F91"/>
    <w:rsid w:val="00E66FD4"/>
    <w:rsid w:val="00E70014"/>
    <w:rsid w:val="00E70F0F"/>
    <w:rsid w:val="00E7117B"/>
    <w:rsid w:val="00E7172C"/>
    <w:rsid w:val="00E719C3"/>
    <w:rsid w:val="00E72B6A"/>
    <w:rsid w:val="00E740B8"/>
    <w:rsid w:val="00E746AC"/>
    <w:rsid w:val="00E755A9"/>
    <w:rsid w:val="00E75BA7"/>
    <w:rsid w:val="00E75E9B"/>
    <w:rsid w:val="00E7602E"/>
    <w:rsid w:val="00E771D2"/>
    <w:rsid w:val="00E7735A"/>
    <w:rsid w:val="00E77BAE"/>
    <w:rsid w:val="00E77EEC"/>
    <w:rsid w:val="00E80899"/>
    <w:rsid w:val="00E80A39"/>
    <w:rsid w:val="00E813BE"/>
    <w:rsid w:val="00E81E23"/>
    <w:rsid w:val="00E826EC"/>
    <w:rsid w:val="00E82773"/>
    <w:rsid w:val="00E8376C"/>
    <w:rsid w:val="00E84172"/>
    <w:rsid w:val="00E84C5D"/>
    <w:rsid w:val="00E8570B"/>
    <w:rsid w:val="00E85893"/>
    <w:rsid w:val="00E85A9D"/>
    <w:rsid w:val="00E85C27"/>
    <w:rsid w:val="00E865F9"/>
    <w:rsid w:val="00E86907"/>
    <w:rsid w:val="00E86CF5"/>
    <w:rsid w:val="00E86DF7"/>
    <w:rsid w:val="00E87913"/>
    <w:rsid w:val="00E91838"/>
    <w:rsid w:val="00E91B47"/>
    <w:rsid w:val="00E92204"/>
    <w:rsid w:val="00E9264A"/>
    <w:rsid w:val="00E92F30"/>
    <w:rsid w:val="00E9305F"/>
    <w:rsid w:val="00E9328D"/>
    <w:rsid w:val="00E93557"/>
    <w:rsid w:val="00E93D63"/>
    <w:rsid w:val="00E9453A"/>
    <w:rsid w:val="00E954DA"/>
    <w:rsid w:val="00E961D8"/>
    <w:rsid w:val="00E96E57"/>
    <w:rsid w:val="00E972E8"/>
    <w:rsid w:val="00E97A48"/>
    <w:rsid w:val="00EA020C"/>
    <w:rsid w:val="00EA0275"/>
    <w:rsid w:val="00EA0B4D"/>
    <w:rsid w:val="00EA0C92"/>
    <w:rsid w:val="00EA0D50"/>
    <w:rsid w:val="00EA1F71"/>
    <w:rsid w:val="00EA2EA2"/>
    <w:rsid w:val="00EA529A"/>
    <w:rsid w:val="00EA63E1"/>
    <w:rsid w:val="00EA6806"/>
    <w:rsid w:val="00EA7110"/>
    <w:rsid w:val="00EA7E8E"/>
    <w:rsid w:val="00EB069C"/>
    <w:rsid w:val="00EB0F11"/>
    <w:rsid w:val="00EB123C"/>
    <w:rsid w:val="00EB1689"/>
    <w:rsid w:val="00EB2538"/>
    <w:rsid w:val="00EB274C"/>
    <w:rsid w:val="00EB27D7"/>
    <w:rsid w:val="00EB287E"/>
    <w:rsid w:val="00EB296F"/>
    <w:rsid w:val="00EB2F01"/>
    <w:rsid w:val="00EB3A53"/>
    <w:rsid w:val="00EB424F"/>
    <w:rsid w:val="00EC01DA"/>
    <w:rsid w:val="00EC04EF"/>
    <w:rsid w:val="00EC07FC"/>
    <w:rsid w:val="00EC0AA9"/>
    <w:rsid w:val="00EC2326"/>
    <w:rsid w:val="00EC3776"/>
    <w:rsid w:val="00EC436F"/>
    <w:rsid w:val="00EC55AF"/>
    <w:rsid w:val="00EC5C3F"/>
    <w:rsid w:val="00EC6146"/>
    <w:rsid w:val="00EC6D40"/>
    <w:rsid w:val="00ED1A19"/>
    <w:rsid w:val="00ED2F2A"/>
    <w:rsid w:val="00ED3A3B"/>
    <w:rsid w:val="00ED3C47"/>
    <w:rsid w:val="00ED3CDB"/>
    <w:rsid w:val="00ED4EFE"/>
    <w:rsid w:val="00ED5222"/>
    <w:rsid w:val="00ED747E"/>
    <w:rsid w:val="00ED7CF1"/>
    <w:rsid w:val="00ED7E90"/>
    <w:rsid w:val="00EE03E4"/>
    <w:rsid w:val="00EE0B4C"/>
    <w:rsid w:val="00EE162E"/>
    <w:rsid w:val="00EE1993"/>
    <w:rsid w:val="00EE1A25"/>
    <w:rsid w:val="00EE2D0B"/>
    <w:rsid w:val="00EE2F90"/>
    <w:rsid w:val="00EE3EFE"/>
    <w:rsid w:val="00EE444D"/>
    <w:rsid w:val="00EE4BA2"/>
    <w:rsid w:val="00EE5BC6"/>
    <w:rsid w:val="00EE6120"/>
    <w:rsid w:val="00EE6191"/>
    <w:rsid w:val="00EE703D"/>
    <w:rsid w:val="00EF08A7"/>
    <w:rsid w:val="00EF1416"/>
    <w:rsid w:val="00EF16B0"/>
    <w:rsid w:val="00EF1E8F"/>
    <w:rsid w:val="00EF226B"/>
    <w:rsid w:val="00EF25AB"/>
    <w:rsid w:val="00EF2A7C"/>
    <w:rsid w:val="00EF2B07"/>
    <w:rsid w:val="00EF3760"/>
    <w:rsid w:val="00EF4B80"/>
    <w:rsid w:val="00EF4C3E"/>
    <w:rsid w:val="00EF5B50"/>
    <w:rsid w:val="00EF5E1F"/>
    <w:rsid w:val="00EF74F9"/>
    <w:rsid w:val="00EF7FAF"/>
    <w:rsid w:val="00F0012B"/>
    <w:rsid w:val="00F00823"/>
    <w:rsid w:val="00F00AFF"/>
    <w:rsid w:val="00F01019"/>
    <w:rsid w:val="00F0118A"/>
    <w:rsid w:val="00F015C8"/>
    <w:rsid w:val="00F02747"/>
    <w:rsid w:val="00F02AD0"/>
    <w:rsid w:val="00F032DB"/>
    <w:rsid w:val="00F0333B"/>
    <w:rsid w:val="00F04B62"/>
    <w:rsid w:val="00F051F0"/>
    <w:rsid w:val="00F06B8C"/>
    <w:rsid w:val="00F07093"/>
    <w:rsid w:val="00F072C9"/>
    <w:rsid w:val="00F07DA5"/>
    <w:rsid w:val="00F1043E"/>
    <w:rsid w:val="00F10648"/>
    <w:rsid w:val="00F109F1"/>
    <w:rsid w:val="00F10DB4"/>
    <w:rsid w:val="00F11243"/>
    <w:rsid w:val="00F1145A"/>
    <w:rsid w:val="00F12464"/>
    <w:rsid w:val="00F12CAE"/>
    <w:rsid w:val="00F1389D"/>
    <w:rsid w:val="00F14B71"/>
    <w:rsid w:val="00F15889"/>
    <w:rsid w:val="00F15C1B"/>
    <w:rsid w:val="00F16D1E"/>
    <w:rsid w:val="00F16ECC"/>
    <w:rsid w:val="00F17E5B"/>
    <w:rsid w:val="00F231EC"/>
    <w:rsid w:val="00F2358F"/>
    <w:rsid w:val="00F23AC7"/>
    <w:rsid w:val="00F2496C"/>
    <w:rsid w:val="00F249B4"/>
    <w:rsid w:val="00F2508A"/>
    <w:rsid w:val="00F2607C"/>
    <w:rsid w:val="00F27450"/>
    <w:rsid w:val="00F27D70"/>
    <w:rsid w:val="00F30315"/>
    <w:rsid w:val="00F30776"/>
    <w:rsid w:val="00F30DFA"/>
    <w:rsid w:val="00F3106C"/>
    <w:rsid w:val="00F3132C"/>
    <w:rsid w:val="00F31C1A"/>
    <w:rsid w:val="00F325FB"/>
    <w:rsid w:val="00F339B2"/>
    <w:rsid w:val="00F34531"/>
    <w:rsid w:val="00F34C41"/>
    <w:rsid w:val="00F35AA8"/>
    <w:rsid w:val="00F35C91"/>
    <w:rsid w:val="00F35D5B"/>
    <w:rsid w:val="00F3704E"/>
    <w:rsid w:val="00F3761F"/>
    <w:rsid w:val="00F377DC"/>
    <w:rsid w:val="00F37A7F"/>
    <w:rsid w:val="00F40491"/>
    <w:rsid w:val="00F416C1"/>
    <w:rsid w:val="00F43CB0"/>
    <w:rsid w:val="00F44B0F"/>
    <w:rsid w:val="00F45263"/>
    <w:rsid w:val="00F45562"/>
    <w:rsid w:val="00F45703"/>
    <w:rsid w:val="00F45711"/>
    <w:rsid w:val="00F45957"/>
    <w:rsid w:val="00F45981"/>
    <w:rsid w:val="00F469F5"/>
    <w:rsid w:val="00F47606"/>
    <w:rsid w:val="00F47841"/>
    <w:rsid w:val="00F50387"/>
    <w:rsid w:val="00F50B7B"/>
    <w:rsid w:val="00F51344"/>
    <w:rsid w:val="00F53DE2"/>
    <w:rsid w:val="00F5473A"/>
    <w:rsid w:val="00F54B07"/>
    <w:rsid w:val="00F5545B"/>
    <w:rsid w:val="00F557D3"/>
    <w:rsid w:val="00F55FA1"/>
    <w:rsid w:val="00F569BC"/>
    <w:rsid w:val="00F57360"/>
    <w:rsid w:val="00F57570"/>
    <w:rsid w:val="00F60065"/>
    <w:rsid w:val="00F603AE"/>
    <w:rsid w:val="00F62A32"/>
    <w:rsid w:val="00F62C15"/>
    <w:rsid w:val="00F64729"/>
    <w:rsid w:val="00F647DB"/>
    <w:rsid w:val="00F65578"/>
    <w:rsid w:val="00F67D31"/>
    <w:rsid w:val="00F70180"/>
    <w:rsid w:val="00F70270"/>
    <w:rsid w:val="00F70665"/>
    <w:rsid w:val="00F716CA"/>
    <w:rsid w:val="00F71CBF"/>
    <w:rsid w:val="00F72C77"/>
    <w:rsid w:val="00F72D6B"/>
    <w:rsid w:val="00F7386F"/>
    <w:rsid w:val="00F73996"/>
    <w:rsid w:val="00F73F67"/>
    <w:rsid w:val="00F747DE"/>
    <w:rsid w:val="00F74EE8"/>
    <w:rsid w:val="00F7591A"/>
    <w:rsid w:val="00F759AA"/>
    <w:rsid w:val="00F75AA8"/>
    <w:rsid w:val="00F779CA"/>
    <w:rsid w:val="00F8045E"/>
    <w:rsid w:val="00F80F5A"/>
    <w:rsid w:val="00F82861"/>
    <w:rsid w:val="00F829C3"/>
    <w:rsid w:val="00F82CBB"/>
    <w:rsid w:val="00F8308E"/>
    <w:rsid w:val="00F835A6"/>
    <w:rsid w:val="00F83AFA"/>
    <w:rsid w:val="00F83E85"/>
    <w:rsid w:val="00F84117"/>
    <w:rsid w:val="00F851D2"/>
    <w:rsid w:val="00F85DAB"/>
    <w:rsid w:val="00F871F8"/>
    <w:rsid w:val="00F87E3A"/>
    <w:rsid w:val="00F90C28"/>
    <w:rsid w:val="00F91044"/>
    <w:rsid w:val="00F919B6"/>
    <w:rsid w:val="00F9214A"/>
    <w:rsid w:val="00F922D0"/>
    <w:rsid w:val="00F92983"/>
    <w:rsid w:val="00F92C11"/>
    <w:rsid w:val="00F93B3C"/>
    <w:rsid w:val="00F94AB4"/>
    <w:rsid w:val="00F94B61"/>
    <w:rsid w:val="00F95B1E"/>
    <w:rsid w:val="00F95C48"/>
    <w:rsid w:val="00F96BD0"/>
    <w:rsid w:val="00F96F60"/>
    <w:rsid w:val="00F97106"/>
    <w:rsid w:val="00FA0228"/>
    <w:rsid w:val="00FA30E4"/>
    <w:rsid w:val="00FA3455"/>
    <w:rsid w:val="00FA3C91"/>
    <w:rsid w:val="00FA42C8"/>
    <w:rsid w:val="00FA42F2"/>
    <w:rsid w:val="00FA4AD9"/>
    <w:rsid w:val="00FA52C6"/>
    <w:rsid w:val="00FA62CF"/>
    <w:rsid w:val="00FA64D6"/>
    <w:rsid w:val="00FB0D04"/>
    <w:rsid w:val="00FB10B0"/>
    <w:rsid w:val="00FB1E94"/>
    <w:rsid w:val="00FB248A"/>
    <w:rsid w:val="00FB37D8"/>
    <w:rsid w:val="00FB3E42"/>
    <w:rsid w:val="00FB4338"/>
    <w:rsid w:val="00FB5D72"/>
    <w:rsid w:val="00FB769F"/>
    <w:rsid w:val="00FC0E17"/>
    <w:rsid w:val="00FC145A"/>
    <w:rsid w:val="00FC19EA"/>
    <w:rsid w:val="00FC26AD"/>
    <w:rsid w:val="00FC3289"/>
    <w:rsid w:val="00FC3B3D"/>
    <w:rsid w:val="00FC42AA"/>
    <w:rsid w:val="00FC43B4"/>
    <w:rsid w:val="00FC58B0"/>
    <w:rsid w:val="00FC72E6"/>
    <w:rsid w:val="00FC74D6"/>
    <w:rsid w:val="00FC7D9C"/>
    <w:rsid w:val="00FD038F"/>
    <w:rsid w:val="00FD06FD"/>
    <w:rsid w:val="00FD074D"/>
    <w:rsid w:val="00FD13A8"/>
    <w:rsid w:val="00FD1AFF"/>
    <w:rsid w:val="00FD2186"/>
    <w:rsid w:val="00FD28BD"/>
    <w:rsid w:val="00FD2A4E"/>
    <w:rsid w:val="00FD2C9B"/>
    <w:rsid w:val="00FD3C07"/>
    <w:rsid w:val="00FD3CF0"/>
    <w:rsid w:val="00FD3D1C"/>
    <w:rsid w:val="00FD41C2"/>
    <w:rsid w:val="00FD4F6E"/>
    <w:rsid w:val="00FD5B5A"/>
    <w:rsid w:val="00FD7CCA"/>
    <w:rsid w:val="00FE03B8"/>
    <w:rsid w:val="00FE0776"/>
    <w:rsid w:val="00FE0C1B"/>
    <w:rsid w:val="00FE19BC"/>
    <w:rsid w:val="00FE26E8"/>
    <w:rsid w:val="00FE27D9"/>
    <w:rsid w:val="00FE27E8"/>
    <w:rsid w:val="00FE359C"/>
    <w:rsid w:val="00FE35FD"/>
    <w:rsid w:val="00FE3C0A"/>
    <w:rsid w:val="00FE4054"/>
    <w:rsid w:val="00FE4935"/>
    <w:rsid w:val="00FE4B8C"/>
    <w:rsid w:val="00FE5069"/>
    <w:rsid w:val="00FE60C0"/>
    <w:rsid w:val="00FE663B"/>
    <w:rsid w:val="00FE6752"/>
    <w:rsid w:val="00FE6E35"/>
    <w:rsid w:val="00FE753B"/>
    <w:rsid w:val="00FE7AF5"/>
    <w:rsid w:val="00FF0AD1"/>
    <w:rsid w:val="00FF1095"/>
    <w:rsid w:val="00FF1318"/>
    <w:rsid w:val="00FF28F7"/>
    <w:rsid w:val="00FF2E65"/>
    <w:rsid w:val="00FF36C9"/>
    <w:rsid w:val="00FF3F65"/>
    <w:rsid w:val="00FF4836"/>
    <w:rsid w:val="00FF5509"/>
    <w:rsid w:val="00FF55A6"/>
    <w:rsid w:val="00FF7023"/>
    <w:rsid w:val="00FF77F3"/>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6" fillcolor="none [3201]" strokecolor="none [1940]">
      <v:fill color="none [3201]" color2="none [1300]" focusposition="1" focussize="" focus="100%" type="gradient"/>
      <v:stroke color="none [1940]" weight="1pt"/>
      <v:shadow on="t" type="perspective" color="none [1604]" opacity=".5" offset="1pt" offset2="-3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14FDB"/>
  </w:style>
  <w:style w:type="paragraph" w:styleId="Heading1">
    <w:name w:val="heading 1"/>
    <w:basedOn w:val="Normal"/>
    <w:next w:val="Normal"/>
    <w:link w:val="Heading1Char"/>
    <w:uiPriority w:val="9"/>
    <w:qFormat/>
    <w:rsid w:val="001B7226"/>
    <w:pPr>
      <w:keepNext/>
      <w:keepLines/>
      <w:spacing w:before="480" w:after="0"/>
      <w:outlineLvl w:val="0"/>
    </w:pPr>
    <w:rPr>
      <w:rFonts w:asciiTheme="majorHAnsi" w:eastAsiaTheme="majorEastAsia" w:hAnsiTheme="majorHAnsi" w:cstheme="majorBidi"/>
      <w:b/>
      <w:bCs/>
      <w:color w:val="21798E" w:themeColor="accent1" w:themeShade="BF"/>
      <w:sz w:val="28"/>
      <w:szCs w:val="28"/>
    </w:rPr>
  </w:style>
  <w:style w:type="paragraph" w:styleId="Heading2">
    <w:name w:val="heading 2"/>
    <w:basedOn w:val="Normal"/>
    <w:next w:val="Normal"/>
    <w:link w:val="Heading2Char"/>
    <w:uiPriority w:val="9"/>
    <w:unhideWhenUsed/>
    <w:qFormat/>
    <w:rsid w:val="00953199"/>
    <w:pPr>
      <w:keepNext/>
      <w:keepLines/>
      <w:spacing w:before="200" w:after="0"/>
      <w:outlineLvl w:val="1"/>
    </w:pPr>
    <w:rPr>
      <w:rFonts w:asciiTheme="majorHAnsi" w:eastAsiaTheme="majorEastAsia" w:hAnsiTheme="majorHAnsi" w:cstheme="majorBidi"/>
      <w:b/>
      <w:bCs/>
      <w:color w:val="2DA2BF" w:themeColor="accent1"/>
      <w:sz w:val="26"/>
      <w:szCs w:val="26"/>
    </w:rPr>
  </w:style>
  <w:style w:type="paragraph" w:styleId="Heading3">
    <w:name w:val="heading 3"/>
    <w:aliases w:val="IPR Heading 2"/>
    <w:basedOn w:val="Normal"/>
    <w:next w:val="Normal"/>
    <w:link w:val="Heading3Char"/>
    <w:uiPriority w:val="9"/>
    <w:unhideWhenUsed/>
    <w:qFormat/>
    <w:rsid w:val="00953199"/>
    <w:pPr>
      <w:keepNext/>
      <w:keepLines/>
      <w:spacing w:before="200" w:after="0"/>
      <w:outlineLvl w:val="2"/>
    </w:pPr>
    <w:rPr>
      <w:rFonts w:asciiTheme="majorHAnsi" w:eastAsiaTheme="majorEastAsia" w:hAnsiTheme="majorHAnsi" w:cstheme="majorBidi"/>
      <w:b/>
      <w:bCs/>
      <w:color w:val="2DA2BF" w:themeColor="accent1"/>
    </w:rPr>
  </w:style>
  <w:style w:type="paragraph" w:styleId="Heading4">
    <w:name w:val="heading 4"/>
    <w:aliases w:val="IPR Heading 3"/>
    <w:basedOn w:val="Normal"/>
    <w:next w:val="Normal"/>
    <w:link w:val="Heading4Char"/>
    <w:uiPriority w:val="9"/>
    <w:unhideWhenUsed/>
    <w:qFormat/>
    <w:rsid w:val="0046763E"/>
    <w:pPr>
      <w:keepNext/>
      <w:keepLines/>
      <w:widowControl w:val="0"/>
      <w:autoSpaceDE w:val="0"/>
      <w:autoSpaceDN w:val="0"/>
      <w:adjustRightInd w:val="0"/>
      <w:spacing w:before="200" w:after="0" w:line="240" w:lineRule="auto"/>
      <w:outlineLvl w:val="3"/>
    </w:pPr>
    <w:rPr>
      <w:rFonts w:asciiTheme="majorHAnsi" w:eastAsiaTheme="majorEastAsia" w:hAnsiTheme="majorHAnsi" w:cstheme="majorBidi"/>
      <w:b/>
      <w:bCs/>
      <w:i/>
      <w:iCs/>
      <w:color w:val="2DA2BF" w:themeColor="accent1"/>
      <w:sz w:val="24"/>
      <w:szCs w:val="24"/>
    </w:rPr>
  </w:style>
  <w:style w:type="paragraph" w:styleId="Heading5">
    <w:name w:val="heading 5"/>
    <w:basedOn w:val="Normal"/>
    <w:next w:val="Normal"/>
    <w:link w:val="Heading5Char"/>
    <w:uiPriority w:val="9"/>
    <w:unhideWhenUsed/>
    <w:qFormat/>
    <w:rsid w:val="00E16AEB"/>
    <w:pPr>
      <w:keepNext/>
      <w:keepLines/>
      <w:spacing w:before="200" w:after="0"/>
      <w:outlineLvl w:val="4"/>
    </w:pPr>
    <w:rPr>
      <w:rFonts w:asciiTheme="majorHAnsi" w:eastAsiaTheme="majorEastAsia" w:hAnsiTheme="majorHAnsi" w:cstheme="majorBidi"/>
      <w:color w:val="16505E"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F28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28F3"/>
    <w:rPr>
      <w:rFonts w:ascii="Tahoma" w:hAnsi="Tahoma" w:cs="Tahoma"/>
      <w:sz w:val="16"/>
      <w:szCs w:val="16"/>
    </w:rPr>
  </w:style>
  <w:style w:type="character" w:customStyle="1" w:styleId="Heading1Char">
    <w:name w:val="Heading 1 Char"/>
    <w:basedOn w:val="DefaultParagraphFont"/>
    <w:link w:val="Heading1"/>
    <w:uiPriority w:val="9"/>
    <w:rsid w:val="001B7226"/>
    <w:rPr>
      <w:rFonts w:asciiTheme="majorHAnsi" w:eastAsiaTheme="majorEastAsia" w:hAnsiTheme="majorHAnsi" w:cstheme="majorBidi"/>
      <w:b/>
      <w:bCs/>
      <w:color w:val="21798E" w:themeColor="accent1" w:themeShade="BF"/>
      <w:sz w:val="28"/>
      <w:szCs w:val="28"/>
    </w:rPr>
  </w:style>
  <w:style w:type="paragraph" w:styleId="TOC1">
    <w:name w:val="toc 1"/>
    <w:basedOn w:val="Normal"/>
    <w:next w:val="Normal"/>
    <w:autoRedefine/>
    <w:uiPriority w:val="39"/>
    <w:unhideWhenUsed/>
    <w:rsid w:val="001B7226"/>
    <w:pPr>
      <w:spacing w:after="100"/>
    </w:pPr>
  </w:style>
  <w:style w:type="character" w:styleId="Hyperlink">
    <w:name w:val="Hyperlink"/>
    <w:basedOn w:val="DefaultParagraphFont"/>
    <w:uiPriority w:val="99"/>
    <w:unhideWhenUsed/>
    <w:rsid w:val="001B7226"/>
    <w:rPr>
      <w:color w:val="FF8119" w:themeColor="hyperlink"/>
      <w:u w:val="single"/>
    </w:rPr>
  </w:style>
  <w:style w:type="paragraph" w:styleId="TOCHeading">
    <w:name w:val="TOC Heading"/>
    <w:basedOn w:val="Heading1"/>
    <w:next w:val="Normal"/>
    <w:uiPriority w:val="39"/>
    <w:semiHidden/>
    <w:unhideWhenUsed/>
    <w:qFormat/>
    <w:rsid w:val="001B7226"/>
    <w:pPr>
      <w:outlineLvl w:val="9"/>
    </w:pPr>
    <w:rPr>
      <w:lang w:val="en-US"/>
    </w:rPr>
  </w:style>
  <w:style w:type="paragraph" w:styleId="ListParagraph">
    <w:name w:val="List Paragraph"/>
    <w:basedOn w:val="Normal"/>
    <w:uiPriority w:val="34"/>
    <w:qFormat/>
    <w:rsid w:val="00A77EA2"/>
    <w:pPr>
      <w:ind w:left="720"/>
      <w:contextualSpacing/>
    </w:pPr>
  </w:style>
  <w:style w:type="paragraph" w:styleId="Header">
    <w:name w:val="header"/>
    <w:basedOn w:val="Normal"/>
    <w:link w:val="HeaderChar"/>
    <w:uiPriority w:val="99"/>
    <w:semiHidden/>
    <w:unhideWhenUsed/>
    <w:rsid w:val="00A77EA2"/>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77EA2"/>
  </w:style>
  <w:style w:type="paragraph" w:styleId="Footer">
    <w:name w:val="footer"/>
    <w:basedOn w:val="Normal"/>
    <w:link w:val="FooterChar"/>
    <w:uiPriority w:val="99"/>
    <w:unhideWhenUsed/>
    <w:rsid w:val="00A77E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77EA2"/>
  </w:style>
  <w:style w:type="character" w:customStyle="1" w:styleId="Heading2Char">
    <w:name w:val="Heading 2 Char"/>
    <w:basedOn w:val="DefaultParagraphFont"/>
    <w:link w:val="Heading2"/>
    <w:uiPriority w:val="9"/>
    <w:rsid w:val="00953199"/>
    <w:rPr>
      <w:rFonts w:asciiTheme="majorHAnsi" w:eastAsiaTheme="majorEastAsia" w:hAnsiTheme="majorHAnsi" w:cstheme="majorBidi"/>
      <w:b/>
      <w:bCs/>
      <w:color w:val="2DA2BF" w:themeColor="accent1"/>
      <w:sz w:val="26"/>
      <w:szCs w:val="26"/>
    </w:rPr>
  </w:style>
  <w:style w:type="character" w:customStyle="1" w:styleId="Heading3Char">
    <w:name w:val="Heading 3 Char"/>
    <w:aliases w:val="IPR Heading 2 Char"/>
    <w:basedOn w:val="DefaultParagraphFont"/>
    <w:link w:val="Heading3"/>
    <w:uiPriority w:val="9"/>
    <w:rsid w:val="00953199"/>
    <w:rPr>
      <w:rFonts w:asciiTheme="majorHAnsi" w:eastAsiaTheme="majorEastAsia" w:hAnsiTheme="majorHAnsi" w:cstheme="majorBidi"/>
      <w:b/>
      <w:bCs/>
      <w:color w:val="2DA2BF" w:themeColor="accent1"/>
    </w:rPr>
  </w:style>
  <w:style w:type="paragraph" w:styleId="TOC2">
    <w:name w:val="toc 2"/>
    <w:basedOn w:val="Normal"/>
    <w:next w:val="Normal"/>
    <w:autoRedefine/>
    <w:uiPriority w:val="39"/>
    <w:unhideWhenUsed/>
    <w:rsid w:val="00C12E24"/>
    <w:pPr>
      <w:spacing w:after="100"/>
      <w:ind w:left="220"/>
    </w:pPr>
  </w:style>
  <w:style w:type="paragraph" w:styleId="TOC3">
    <w:name w:val="toc 3"/>
    <w:basedOn w:val="Normal"/>
    <w:next w:val="Normal"/>
    <w:autoRedefine/>
    <w:uiPriority w:val="39"/>
    <w:unhideWhenUsed/>
    <w:rsid w:val="00C12E24"/>
    <w:pPr>
      <w:spacing w:after="100"/>
      <w:ind w:left="440"/>
    </w:pPr>
  </w:style>
  <w:style w:type="paragraph" w:customStyle="1" w:styleId="Default">
    <w:name w:val="Default"/>
    <w:rsid w:val="00D61BB1"/>
    <w:pPr>
      <w:widowControl w:val="0"/>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customStyle="1" w:styleId="MediumShading1-Accent11">
    <w:name w:val="Medium Shading 1 - Accent 11"/>
    <w:basedOn w:val="TableNormal"/>
    <w:uiPriority w:val="63"/>
    <w:rsid w:val="00D61BB1"/>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styleId="TableGrid">
    <w:name w:val="Table Grid"/>
    <w:basedOn w:val="TableNormal"/>
    <w:uiPriority w:val="59"/>
    <w:rsid w:val="001C386B"/>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1C386B"/>
    <w:pPr>
      <w:spacing w:after="0" w:line="240" w:lineRule="auto"/>
    </w:pPr>
    <w:rPr>
      <w:rFonts w:ascii="Century Gothic" w:hAnsi="Century Gothic"/>
      <w:color w:val="0319BD"/>
      <w:sz w:val="24"/>
      <w:szCs w:val="21"/>
    </w:rPr>
  </w:style>
  <w:style w:type="character" w:customStyle="1" w:styleId="PlainTextChar">
    <w:name w:val="Plain Text Char"/>
    <w:basedOn w:val="DefaultParagraphFont"/>
    <w:link w:val="PlainText"/>
    <w:uiPriority w:val="99"/>
    <w:rsid w:val="001C386B"/>
    <w:rPr>
      <w:rFonts w:ascii="Century Gothic" w:hAnsi="Century Gothic"/>
      <w:color w:val="0319BD"/>
      <w:sz w:val="24"/>
      <w:szCs w:val="21"/>
    </w:rPr>
  </w:style>
  <w:style w:type="paragraph" w:customStyle="1" w:styleId="intro">
    <w:name w:val="intro"/>
    <w:basedOn w:val="Normal"/>
    <w:rsid w:val="00A30D49"/>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4C57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4Char">
    <w:name w:val="Heading 4 Char"/>
    <w:aliases w:val="IPR Heading 3 Char"/>
    <w:basedOn w:val="DefaultParagraphFont"/>
    <w:link w:val="Heading4"/>
    <w:uiPriority w:val="9"/>
    <w:rsid w:val="0046763E"/>
    <w:rPr>
      <w:rFonts w:asciiTheme="majorHAnsi" w:eastAsiaTheme="majorEastAsia" w:hAnsiTheme="majorHAnsi" w:cstheme="majorBidi"/>
      <w:b/>
      <w:bCs/>
      <w:i/>
      <w:iCs/>
      <w:color w:val="2DA2BF" w:themeColor="accent1"/>
      <w:sz w:val="24"/>
      <w:szCs w:val="24"/>
      <w:lang w:eastAsia="en-GB"/>
    </w:rPr>
  </w:style>
  <w:style w:type="table" w:customStyle="1" w:styleId="LightGrid-Accent11">
    <w:name w:val="Light Grid - Accent 11"/>
    <w:basedOn w:val="TableNormal"/>
    <w:uiPriority w:val="62"/>
    <w:rsid w:val="002B437E"/>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paragraph" w:styleId="NoSpacing">
    <w:name w:val="No Spacing"/>
    <w:basedOn w:val="Default"/>
    <w:link w:val="NoSpacingChar"/>
    <w:uiPriority w:val="1"/>
    <w:qFormat/>
    <w:rsid w:val="00C108F0"/>
    <w:pPr>
      <w:spacing w:line="276" w:lineRule="auto"/>
    </w:pPr>
    <w:rPr>
      <w:rFonts w:asciiTheme="minorHAnsi" w:hAnsiTheme="minorHAnsi"/>
    </w:rPr>
  </w:style>
  <w:style w:type="character" w:customStyle="1" w:styleId="NoSpacingChar">
    <w:name w:val="No Spacing Char"/>
    <w:basedOn w:val="DefaultParagraphFont"/>
    <w:link w:val="NoSpacing"/>
    <w:uiPriority w:val="1"/>
    <w:rsid w:val="00C108F0"/>
    <w:rPr>
      <w:rFonts w:eastAsia="Times New Roman" w:cs="Times New Roman"/>
      <w:color w:val="000000"/>
      <w:sz w:val="24"/>
      <w:szCs w:val="24"/>
      <w:lang w:eastAsia="en-GB"/>
    </w:rPr>
  </w:style>
  <w:style w:type="character" w:styleId="CommentReference">
    <w:name w:val="annotation reference"/>
    <w:basedOn w:val="DefaultParagraphFont"/>
    <w:uiPriority w:val="99"/>
    <w:semiHidden/>
    <w:unhideWhenUsed/>
    <w:rsid w:val="00DB7793"/>
    <w:rPr>
      <w:sz w:val="16"/>
      <w:szCs w:val="16"/>
    </w:rPr>
  </w:style>
  <w:style w:type="paragraph" w:styleId="CommentText">
    <w:name w:val="annotation text"/>
    <w:basedOn w:val="Normal"/>
    <w:link w:val="CommentTextChar"/>
    <w:uiPriority w:val="99"/>
    <w:unhideWhenUsed/>
    <w:rsid w:val="00DB7793"/>
    <w:pPr>
      <w:spacing w:line="240" w:lineRule="auto"/>
    </w:pPr>
    <w:rPr>
      <w:sz w:val="20"/>
      <w:szCs w:val="20"/>
    </w:rPr>
  </w:style>
  <w:style w:type="character" w:customStyle="1" w:styleId="CommentTextChar">
    <w:name w:val="Comment Text Char"/>
    <w:basedOn w:val="DefaultParagraphFont"/>
    <w:link w:val="CommentText"/>
    <w:uiPriority w:val="99"/>
    <w:rsid w:val="00DB7793"/>
    <w:rPr>
      <w:sz w:val="20"/>
      <w:szCs w:val="20"/>
    </w:rPr>
  </w:style>
  <w:style w:type="paragraph" w:styleId="CommentSubject">
    <w:name w:val="annotation subject"/>
    <w:basedOn w:val="CommentText"/>
    <w:next w:val="CommentText"/>
    <w:link w:val="CommentSubjectChar"/>
    <w:uiPriority w:val="99"/>
    <w:semiHidden/>
    <w:unhideWhenUsed/>
    <w:rsid w:val="00DB7793"/>
    <w:rPr>
      <w:b/>
      <w:bCs/>
    </w:rPr>
  </w:style>
  <w:style w:type="character" w:customStyle="1" w:styleId="CommentSubjectChar">
    <w:name w:val="Comment Subject Char"/>
    <w:basedOn w:val="CommentTextChar"/>
    <w:link w:val="CommentSubject"/>
    <w:uiPriority w:val="99"/>
    <w:semiHidden/>
    <w:rsid w:val="00DB7793"/>
    <w:rPr>
      <w:b/>
      <w:bCs/>
      <w:sz w:val="20"/>
      <w:szCs w:val="20"/>
    </w:rPr>
  </w:style>
  <w:style w:type="table" w:styleId="MediumGrid3-Accent1">
    <w:name w:val="Medium Grid 3 Accent 1"/>
    <w:basedOn w:val="TableNormal"/>
    <w:uiPriority w:val="69"/>
    <w:rsid w:val="00DD1F27"/>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7E9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DA2B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DA2B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DA2B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0D4E5"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0D4E5" w:themeFill="accent1" w:themeFillTint="7F"/>
      </w:tcPr>
    </w:tblStylePr>
  </w:style>
  <w:style w:type="paragraph" w:styleId="BodyTextIndent">
    <w:name w:val="Body Text Indent"/>
    <w:basedOn w:val="Default"/>
    <w:next w:val="Default"/>
    <w:link w:val="BodyTextIndentChar"/>
    <w:uiPriority w:val="99"/>
    <w:rsid w:val="00C91C0F"/>
    <w:rPr>
      <w:color w:val="auto"/>
    </w:rPr>
  </w:style>
  <w:style w:type="character" w:customStyle="1" w:styleId="BodyTextIndentChar">
    <w:name w:val="Body Text Indent Char"/>
    <w:basedOn w:val="DefaultParagraphFont"/>
    <w:link w:val="BodyTextIndent"/>
    <w:uiPriority w:val="99"/>
    <w:rsid w:val="00C91C0F"/>
    <w:rPr>
      <w:rFonts w:ascii="Times New Roman" w:eastAsia="Times New Roman" w:hAnsi="Times New Roman" w:cs="Times New Roman"/>
      <w:sz w:val="24"/>
      <w:szCs w:val="24"/>
      <w:lang w:eastAsia="en-GB"/>
    </w:rPr>
  </w:style>
  <w:style w:type="character" w:styleId="IntenseEmphasis">
    <w:name w:val="Intense Emphasis"/>
    <w:basedOn w:val="DefaultParagraphFont"/>
    <w:uiPriority w:val="21"/>
    <w:qFormat/>
    <w:rsid w:val="00142518"/>
    <w:rPr>
      <w:b/>
      <w:bCs/>
      <w:i/>
      <w:iCs/>
      <w:color w:val="2DA2BF" w:themeColor="accent1"/>
    </w:rPr>
  </w:style>
  <w:style w:type="paragraph" w:customStyle="1" w:styleId="Style8Bullet2After18pt">
    <w:name w:val="Style 8 Bullet 2 + After:  18 pt"/>
    <w:basedOn w:val="Normal"/>
    <w:uiPriority w:val="99"/>
    <w:rsid w:val="00A7692F"/>
    <w:pPr>
      <w:numPr>
        <w:ilvl w:val="1"/>
        <w:numId w:val="4"/>
      </w:numPr>
      <w:spacing w:after="0" w:line="240" w:lineRule="auto"/>
    </w:pPr>
    <w:rPr>
      <w:rFonts w:ascii="Arial" w:eastAsia="Times New Roman" w:hAnsi="Arial" w:cs="Times New Roman"/>
      <w:sz w:val="24"/>
      <w:szCs w:val="20"/>
    </w:rPr>
  </w:style>
  <w:style w:type="paragraph" w:styleId="TOC4">
    <w:name w:val="toc 4"/>
    <w:basedOn w:val="Normal"/>
    <w:next w:val="Normal"/>
    <w:autoRedefine/>
    <w:uiPriority w:val="39"/>
    <w:unhideWhenUsed/>
    <w:rsid w:val="00646FCB"/>
    <w:pPr>
      <w:spacing w:after="100"/>
      <w:ind w:left="660"/>
    </w:pPr>
  </w:style>
  <w:style w:type="paragraph" w:styleId="TOC5">
    <w:name w:val="toc 5"/>
    <w:basedOn w:val="Normal"/>
    <w:next w:val="Normal"/>
    <w:autoRedefine/>
    <w:uiPriority w:val="39"/>
    <w:unhideWhenUsed/>
    <w:rsid w:val="00646FCB"/>
    <w:pPr>
      <w:spacing w:after="100"/>
      <w:ind w:left="880"/>
    </w:pPr>
  </w:style>
  <w:style w:type="paragraph" w:styleId="TOC6">
    <w:name w:val="toc 6"/>
    <w:basedOn w:val="Normal"/>
    <w:next w:val="Normal"/>
    <w:autoRedefine/>
    <w:uiPriority w:val="39"/>
    <w:unhideWhenUsed/>
    <w:rsid w:val="00646FCB"/>
    <w:pPr>
      <w:spacing w:after="100"/>
      <w:ind w:left="1100"/>
    </w:pPr>
  </w:style>
  <w:style w:type="paragraph" w:styleId="TOC7">
    <w:name w:val="toc 7"/>
    <w:basedOn w:val="Normal"/>
    <w:next w:val="Normal"/>
    <w:autoRedefine/>
    <w:uiPriority w:val="39"/>
    <w:unhideWhenUsed/>
    <w:rsid w:val="00646FCB"/>
    <w:pPr>
      <w:spacing w:after="100"/>
      <w:ind w:left="1320"/>
    </w:pPr>
  </w:style>
  <w:style w:type="paragraph" w:styleId="TOC8">
    <w:name w:val="toc 8"/>
    <w:basedOn w:val="Normal"/>
    <w:next w:val="Normal"/>
    <w:autoRedefine/>
    <w:uiPriority w:val="39"/>
    <w:unhideWhenUsed/>
    <w:rsid w:val="00646FCB"/>
    <w:pPr>
      <w:spacing w:after="100"/>
      <w:ind w:left="1540"/>
    </w:pPr>
  </w:style>
  <w:style w:type="paragraph" w:styleId="TOC9">
    <w:name w:val="toc 9"/>
    <w:basedOn w:val="Normal"/>
    <w:next w:val="Normal"/>
    <w:autoRedefine/>
    <w:uiPriority w:val="39"/>
    <w:unhideWhenUsed/>
    <w:rsid w:val="00646FCB"/>
    <w:pPr>
      <w:spacing w:after="100"/>
      <w:ind w:left="1760"/>
    </w:pPr>
  </w:style>
  <w:style w:type="character" w:customStyle="1" w:styleId="Heading5Char">
    <w:name w:val="Heading 5 Char"/>
    <w:basedOn w:val="DefaultParagraphFont"/>
    <w:link w:val="Heading5"/>
    <w:uiPriority w:val="9"/>
    <w:rsid w:val="00E16AEB"/>
    <w:rPr>
      <w:rFonts w:asciiTheme="majorHAnsi" w:eastAsiaTheme="majorEastAsia" w:hAnsiTheme="majorHAnsi" w:cstheme="majorBidi"/>
      <w:color w:val="16505E" w:themeColor="accent1" w:themeShade="7F"/>
    </w:rPr>
  </w:style>
  <w:style w:type="character" w:styleId="Strong">
    <w:name w:val="Strong"/>
    <w:basedOn w:val="DefaultParagraphFont"/>
    <w:uiPriority w:val="22"/>
    <w:qFormat/>
    <w:rsid w:val="00D906A7"/>
    <w:rPr>
      <w:b/>
      <w:bCs/>
    </w:rPr>
  </w:style>
  <w:style w:type="table" w:styleId="MediumGrid2-Accent1">
    <w:name w:val="Medium Grid 2 Accent 1"/>
    <w:basedOn w:val="TableNormal"/>
    <w:uiPriority w:val="68"/>
    <w:rsid w:val="0053767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cPr>
      <w:shd w:val="clear" w:color="auto" w:fill="C7E9F2" w:themeFill="accent1" w:themeFillTint="3F"/>
    </w:tcPr>
    <w:tblStylePr w:type="firstRow">
      <w:rPr>
        <w:b/>
        <w:bCs/>
        <w:color w:val="000000" w:themeColor="text1"/>
      </w:rPr>
      <w:tblPr/>
      <w:tcPr>
        <w:shd w:val="clear" w:color="auto" w:fill="E9F6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2EDF4" w:themeFill="accent1" w:themeFillTint="33"/>
      </w:tcPr>
    </w:tblStylePr>
    <w:tblStylePr w:type="band1Vert">
      <w:tblPr/>
      <w:tcPr>
        <w:shd w:val="clear" w:color="auto" w:fill="90D4E5" w:themeFill="accent1" w:themeFillTint="7F"/>
      </w:tcPr>
    </w:tblStylePr>
    <w:tblStylePr w:type="band1Horz">
      <w:tblPr/>
      <w:tcPr>
        <w:tcBorders>
          <w:insideH w:val="single" w:sz="6" w:space="0" w:color="2DA2BF" w:themeColor="accent1"/>
          <w:insideV w:val="single" w:sz="6" w:space="0" w:color="2DA2BF" w:themeColor="accent1"/>
        </w:tcBorders>
        <w:shd w:val="clear" w:color="auto" w:fill="90D4E5" w:themeFill="accent1" w:themeFillTint="7F"/>
      </w:tcPr>
    </w:tblStylePr>
    <w:tblStylePr w:type="nwCell">
      <w:tblPr/>
      <w:tcPr>
        <w:shd w:val="clear" w:color="auto" w:fill="FFFFFF" w:themeFill="background1"/>
      </w:tcPr>
    </w:tblStylePr>
  </w:style>
  <w:style w:type="table" w:customStyle="1" w:styleId="LightGrid-Accent12">
    <w:name w:val="Light Grid - Accent 12"/>
    <w:basedOn w:val="TableNormal"/>
    <w:uiPriority w:val="62"/>
    <w:rsid w:val="00F8308E"/>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MediumShading1-Accent12">
    <w:name w:val="Medium Shading 1 - Accent 12"/>
    <w:basedOn w:val="TableNormal"/>
    <w:uiPriority w:val="63"/>
    <w:rsid w:val="00003930"/>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character" w:styleId="Emphasis">
    <w:name w:val="Emphasis"/>
    <w:basedOn w:val="DefaultParagraphFont"/>
    <w:uiPriority w:val="20"/>
    <w:qFormat/>
    <w:rsid w:val="00287913"/>
    <w:rPr>
      <w:i/>
      <w:iCs/>
    </w:rPr>
  </w:style>
  <w:style w:type="table" w:styleId="MediumGrid1-Accent5">
    <w:name w:val="Medium Grid 1 Accent 5"/>
    <w:basedOn w:val="TableNormal"/>
    <w:uiPriority w:val="67"/>
    <w:rsid w:val="005B5279"/>
    <w:pPr>
      <w:spacing w:after="0" w:line="240" w:lineRule="auto"/>
    </w:pPr>
    <w:tblPr>
      <w:tblStyleRowBandSize w:val="1"/>
      <w:tblStyleColBandSize w:val="1"/>
      <w:tblInd w:w="0" w:type="dxa"/>
      <w:tblBorders>
        <w:top w:val="single" w:sz="8" w:space="0" w:color="686DA6" w:themeColor="accent5" w:themeTint="BF"/>
        <w:left w:val="single" w:sz="8" w:space="0" w:color="686DA6" w:themeColor="accent5" w:themeTint="BF"/>
        <w:bottom w:val="single" w:sz="8" w:space="0" w:color="686DA6" w:themeColor="accent5" w:themeTint="BF"/>
        <w:right w:val="single" w:sz="8" w:space="0" w:color="686DA6" w:themeColor="accent5" w:themeTint="BF"/>
        <w:insideH w:val="single" w:sz="8" w:space="0" w:color="686DA6" w:themeColor="accent5" w:themeTint="BF"/>
        <w:insideV w:val="single" w:sz="8" w:space="0" w:color="686DA6" w:themeColor="accent5" w:themeTint="BF"/>
      </w:tblBorders>
      <w:tblCellMar>
        <w:top w:w="0" w:type="dxa"/>
        <w:left w:w="108" w:type="dxa"/>
        <w:bottom w:w="0" w:type="dxa"/>
        <w:right w:w="108" w:type="dxa"/>
      </w:tblCellMar>
    </w:tblPr>
    <w:tcPr>
      <w:shd w:val="clear" w:color="auto" w:fill="CDCEE1" w:themeFill="accent5" w:themeFillTint="3F"/>
    </w:tcPr>
    <w:tblStylePr w:type="firstRow">
      <w:rPr>
        <w:b/>
        <w:bCs/>
      </w:rPr>
    </w:tblStylePr>
    <w:tblStylePr w:type="lastRow">
      <w:rPr>
        <w:b/>
        <w:bCs/>
      </w:rPr>
      <w:tblPr/>
      <w:tcPr>
        <w:tcBorders>
          <w:top w:val="single" w:sz="18" w:space="0" w:color="686DA6" w:themeColor="accent5" w:themeTint="BF"/>
        </w:tcBorders>
      </w:tcPr>
    </w:tblStylePr>
    <w:tblStylePr w:type="firstCol">
      <w:rPr>
        <w:b/>
        <w:bCs/>
      </w:rPr>
    </w:tblStylePr>
    <w:tblStylePr w:type="lastCol">
      <w:rPr>
        <w:b/>
        <w:bCs/>
      </w:rPr>
    </w:tblStylePr>
    <w:tblStylePr w:type="band1Vert">
      <w:tblPr/>
      <w:tcPr>
        <w:shd w:val="clear" w:color="auto" w:fill="9B9EC4" w:themeFill="accent5" w:themeFillTint="7F"/>
      </w:tcPr>
    </w:tblStylePr>
    <w:tblStylePr w:type="band1Horz">
      <w:tblPr/>
      <w:tcPr>
        <w:shd w:val="clear" w:color="auto" w:fill="9B9EC4" w:themeFill="accent5" w:themeFillTint="7F"/>
      </w:tcPr>
    </w:tblStylePr>
  </w:style>
  <w:style w:type="table" w:styleId="LightGrid-Accent5">
    <w:name w:val="Light Grid Accent 5"/>
    <w:basedOn w:val="TableNormal"/>
    <w:uiPriority w:val="62"/>
    <w:rsid w:val="0089059B"/>
    <w:pPr>
      <w:spacing w:after="0" w:line="240" w:lineRule="auto"/>
    </w:pPr>
    <w:tblPr>
      <w:tblStyleRowBandSize w:val="1"/>
      <w:tblStyleColBandSize w:val="1"/>
      <w:tblInd w:w="0" w:type="dxa"/>
      <w:tblBorders>
        <w:top w:val="single" w:sz="8" w:space="0" w:color="474B78" w:themeColor="accent5"/>
        <w:left w:val="single" w:sz="8" w:space="0" w:color="474B78" w:themeColor="accent5"/>
        <w:bottom w:val="single" w:sz="8" w:space="0" w:color="474B78" w:themeColor="accent5"/>
        <w:right w:val="single" w:sz="8" w:space="0" w:color="474B78" w:themeColor="accent5"/>
        <w:insideH w:val="single" w:sz="8" w:space="0" w:color="474B78" w:themeColor="accent5"/>
        <w:insideV w:val="single" w:sz="8" w:space="0" w:color="474B78"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18" w:space="0" w:color="474B78" w:themeColor="accent5"/>
          <w:right w:val="single" w:sz="8" w:space="0" w:color="474B78" w:themeColor="accent5"/>
          <w:insideH w:val="nil"/>
          <w:insideV w:val="single" w:sz="8" w:space="0" w:color="474B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74B78" w:themeColor="accent5"/>
          <w:left w:val="single" w:sz="8" w:space="0" w:color="474B78" w:themeColor="accent5"/>
          <w:bottom w:val="single" w:sz="8" w:space="0" w:color="474B78" w:themeColor="accent5"/>
          <w:right w:val="single" w:sz="8" w:space="0" w:color="474B78" w:themeColor="accent5"/>
          <w:insideH w:val="nil"/>
          <w:insideV w:val="single" w:sz="8" w:space="0" w:color="474B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tcPr>
    </w:tblStylePr>
    <w:tblStylePr w:type="band1Vert">
      <w:tblPr/>
      <w:tcPr>
        <w:tcBorders>
          <w:top w:val="single" w:sz="8" w:space="0" w:color="474B78" w:themeColor="accent5"/>
          <w:left w:val="single" w:sz="8" w:space="0" w:color="474B78" w:themeColor="accent5"/>
          <w:bottom w:val="single" w:sz="8" w:space="0" w:color="474B78" w:themeColor="accent5"/>
          <w:right w:val="single" w:sz="8" w:space="0" w:color="474B78" w:themeColor="accent5"/>
        </w:tcBorders>
        <w:shd w:val="clear" w:color="auto" w:fill="CDCEE1" w:themeFill="accent5" w:themeFillTint="3F"/>
      </w:tcPr>
    </w:tblStylePr>
    <w:tblStylePr w:type="band1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shd w:val="clear" w:color="auto" w:fill="CDCEE1" w:themeFill="accent5" w:themeFillTint="3F"/>
      </w:tcPr>
    </w:tblStylePr>
    <w:tblStylePr w:type="band2Horz">
      <w:tblPr/>
      <w:tcPr>
        <w:tcBorders>
          <w:top w:val="single" w:sz="8" w:space="0" w:color="474B78" w:themeColor="accent5"/>
          <w:left w:val="single" w:sz="8" w:space="0" w:color="474B78" w:themeColor="accent5"/>
          <w:bottom w:val="single" w:sz="8" w:space="0" w:color="474B78" w:themeColor="accent5"/>
          <w:right w:val="single" w:sz="8" w:space="0" w:color="474B78" w:themeColor="accent5"/>
          <w:insideV w:val="single" w:sz="8" w:space="0" w:color="474B78" w:themeColor="accent5"/>
        </w:tcBorders>
      </w:tcPr>
    </w:tblStylePr>
  </w:style>
  <w:style w:type="table" w:customStyle="1" w:styleId="MediumShading1-Accent13">
    <w:name w:val="Medium Shading 1 - Accent 13"/>
    <w:basedOn w:val="TableNormal"/>
    <w:uiPriority w:val="63"/>
    <w:rsid w:val="00732145"/>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styleId="MediumGrid1-Accent1">
    <w:name w:val="Medium Grid 1 Accent 1"/>
    <w:basedOn w:val="TableNormal"/>
    <w:uiPriority w:val="67"/>
    <w:rsid w:val="00732145"/>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insideV w:val="single" w:sz="8" w:space="0" w:color="58BED7" w:themeColor="accent1" w:themeTint="BF"/>
      </w:tblBorders>
      <w:tblCellMar>
        <w:top w:w="0" w:type="dxa"/>
        <w:left w:w="108" w:type="dxa"/>
        <w:bottom w:w="0" w:type="dxa"/>
        <w:right w:w="108" w:type="dxa"/>
      </w:tblCellMar>
    </w:tblPr>
    <w:tcPr>
      <w:shd w:val="clear" w:color="auto" w:fill="C7E9F2" w:themeFill="accent1" w:themeFillTint="3F"/>
    </w:tcPr>
    <w:tblStylePr w:type="firstRow">
      <w:rPr>
        <w:b/>
        <w:bCs/>
      </w:rPr>
    </w:tblStylePr>
    <w:tblStylePr w:type="lastRow">
      <w:rPr>
        <w:b/>
        <w:bCs/>
      </w:rPr>
      <w:tblPr/>
      <w:tcPr>
        <w:tcBorders>
          <w:top w:val="single" w:sz="18" w:space="0" w:color="58BED7" w:themeColor="accent1" w:themeTint="BF"/>
        </w:tcBorders>
      </w:tcPr>
    </w:tblStylePr>
    <w:tblStylePr w:type="firstCol">
      <w:rPr>
        <w:b/>
        <w:bCs/>
      </w:rPr>
    </w:tblStylePr>
    <w:tblStylePr w:type="lastCol">
      <w:rPr>
        <w:b/>
        <w:bCs/>
      </w:rPr>
    </w:tblStylePr>
    <w:tblStylePr w:type="band1Vert">
      <w:tblPr/>
      <w:tcPr>
        <w:shd w:val="clear" w:color="auto" w:fill="90D4E5" w:themeFill="accent1" w:themeFillTint="7F"/>
      </w:tcPr>
    </w:tblStylePr>
    <w:tblStylePr w:type="band1Horz">
      <w:tblPr/>
      <w:tcPr>
        <w:shd w:val="clear" w:color="auto" w:fill="90D4E5" w:themeFill="accent1" w:themeFillTint="7F"/>
      </w:tcPr>
    </w:tblStylePr>
  </w:style>
  <w:style w:type="character" w:customStyle="1" w:styleId="st1">
    <w:name w:val="st1"/>
    <w:basedOn w:val="DefaultParagraphFont"/>
    <w:rsid w:val="003E22C5"/>
  </w:style>
  <w:style w:type="table" w:customStyle="1" w:styleId="LightGrid-Accent13">
    <w:name w:val="Light Grid - Accent 13"/>
    <w:basedOn w:val="TableNormal"/>
    <w:uiPriority w:val="62"/>
    <w:rsid w:val="00395AFA"/>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LightShading1">
    <w:name w:val="Light Shading1"/>
    <w:basedOn w:val="TableNormal"/>
    <w:uiPriority w:val="60"/>
    <w:rsid w:val="00FE35F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Grid-Accent14">
    <w:name w:val="Light Grid - Accent 14"/>
    <w:basedOn w:val="TableNormal"/>
    <w:uiPriority w:val="62"/>
    <w:rsid w:val="00EF16B0"/>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LightList-Accent11">
    <w:name w:val="Light List - Accent 11"/>
    <w:basedOn w:val="TableNormal"/>
    <w:uiPriority w:val="61"/>
    <w:rsid w:val="000349F5"/>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table" w:customStyle="1" w:styleId="LightGrid-Accent15">
    <w:name w:val="Light Grid - Accent 15"/>
    <w:basedOn w:val="TableNormal"/>
    <w:uiPriority w:val="62"/>
    <w:rsid w:val="000349F5"/>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insideH w:val="single" w:sz="8" w:space="0" w:color="2DA2BF" w:themeColor="accent1"/>
        <w:insideV w:val="single" w:sz="8" w:space="0" w:color="2DA2BF"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18" w:space="0" w:color="2DA2BF" w:themeColor="accent1"/>
          <w:right w:val="single" w:sz="8" w:space="0" w:color="2DA2BF" w:themeColor="accent1"/>
          <w:insideH w:val="nil"/>
          <w:insideV w:val="single" w:sz="8" w:space="0" w:color="2DA2B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insideH w:val="nil"/>
          <w:insideV w:val="single" w:sz="8" w:space="0" w:color="2DA2B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shd w:val="clear" w:color="auto" w:fill="C7E9F2" w:themeFill="accent1" w:themeFillTint="3F"/>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shd w:val="clear" w:color="auto" w:fill="C7E9F2" w:themeFill="accent1" w:themeFillTint="3F"/>
      </w:tcPr>
    </w:tblStylePr>
    <w:tblStylePr w:type="band2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insideV w:val="single" w:sz="8" w:space="0" w:color="2DA2BF" w:themeColor="accent1"/>
        </w:tcBorders>
      </w:tcPr>
    </w:tblStylePr>
  </w:style>
  <w:style w:type="table" w:customStyle="1" w:styleId="MediumShading1-Accent14">
    <w:name w:val="Medium Shading 1 - Accent 14"/>
    <w:basedOn w:val="TableNormal"/>
    <w:uiPriority w:val="63"/>
    <w:rsid w:val="000349F5"/>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0349F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DA2B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DA2BF" w:themeFill="accent1"/>
      </w:tcPr>
    </w:tblStylePr>
    <w:tblStylePr w:type="lastCol">
      <w:rPr>
        <w:b/>
        <w:bCs/>
        <w:color w:val="FFFFFF" w:themeColor="background1"/>
      </w:rPr>
      <w:tblPr/>
      <w:tcPr>
        <w:tcBorders>
          <w:left w:val="nil"/>
          <w:right w:val="nil"/>
          <w:insideH w:val="nil"/>
          <w:insideV w:val="nil"/>
        </w:tcBorders>
        <w:shd w:val="clear" w:color="auto" w:fill="2DA2B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1-Accent11">
    <w:name w:val="Medium List 1 - Accent 11"/>
    <w:basedOn w:val="TableNormal"/>
    <w:uiPriority w:val="65"/>
    <w:rsid w:val="000349F5"/>
    <w:pPr>
      <w:spacing w:after="0" w:line="240" w:lineRule="auto"/>
    </w:pPr>
    <w:rPr>
      <w:color w:val="000000" w:themeColor="text1"/>
    </w:rPr>
    <w:tblPr>
      <w:tblStyleRowBandSize w:val="1"/>
      <w:tblStyleColBandSize w:val="1"/>
      <w:tblInd w:w="0" w:type="dxa"/>
      <w:tblBorders>
        <w:top w:val="single" w:sz="8" w:space="0" w:color="2DA2BF" w:themeColor="accent1"/>
        <w:bottom w:val="single" w:sz="8" w:space="0" w:color="2DA2BF"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2DA2BF" w:themeColor="accent1"/>
        </w:tcBorders>
      </w:tcPr>
    </w:tblStylePr>
    <w:tblStylePr w:type="lastRow">
      <w:rPr>
        <w:b/>
        <w:bCs/>
        <w:color w:val="464646" w:themeColor="text2"/>
      </w:rPr>
      <w:tblPr/>
      <w:tcPr>
        <w:tcBorders>
          <w:top w:val="single" w:sz="8" w:space="0" w:color="2DA2BF" w:themeColor="accent1"/>
          <w:bottom w:val="single" w:sz="8" w:space="0" w:color="2DA2BF" w:themeColor="accent1"/>
        </w:tcBorders>
      </w:tcPr>
    </w:tblStylePr>
    <w:tblStylePr w:type="firstCol">
      <w:rPr>
        <w:b/>
        <w:bCs/>
      </w:rPr>
    </w:tblStylePr>
    <w:tblStylePr w:type="lastCol">
      <w:rPr>
        <w:b/>
        <w:bCs/>
      </w:rPr>
      <w:tblPr/>
      <w:tcPr>
        <w:tcBorders>
          <w:top w:val="single" w:sz="8" w:space="0" w:color="2DA2BF" w:themeColor="accent1"/>
          <w:bottom w:val="single" w:sz="8" w:space="0" w:color="2DA2BF" w:themeColor="accent1"/>
        </w:tcBorders>
      </w:tcPr>
    </w:tblStylePr>
    <w:tblStylePr w:type="band1Vert">
      <w:tblPr/>
      <w:tcPr>
        <w:shd w:val="clear" w:color="auto" w:fill="C7E9F2" w:themeFill="accent1" w:themeFillTint="3F"/>
      </w:tcPr>
    </w:tblStylePr>
    <w:tblStylePr w:type="band1Horz">
      <w:tblPr/>
      <w:tcPr>
        <w:shd w:val="clear" w:color="auto" w:fill="C7E9F2" w:themeFill="accent1" w:themeFillTint="3F"/>
      </w:tcPr>
    </w:tblStylePr>
  </w:style>
  <w:style w:type="table" w:customStyle="1" w:styleId="LightShading2">
    <w:name w:val="Light Shading2"/>
    <w:basedOn w:val="TableNormal"/>
    <w:uiPriority w:val="60"/>
    <w:rsid w:val="00781B61"/>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itle">
    <w:name w:val="Title"/>
    <w:aliases w:val="IPR Title"/>
    <w:basedOn w:val="Normal"/>
    <w:next w:val="Normal"/>
    <w:link w:val="TitleChar"/>
    <w:uiPriority w:val="10"/>
    <w:qFormat/>
    <w:rsid w:val="00002B46"/>
    <w:pPr>
      <w:widowControl w:val="0"/>
      <w:pBdr>
        <w:bottom w:val="single" w:sz="8" w:space="4" w:color="2DA2BF" w:themeColor="accent1"/>
      </w:pBdr>
      <w:autoSpaceDE w:val="0"/>
      <w:autoSpaceDN w:val="0"/>
      <w:adjustRightInd w:val="0"/>
      <w:spacing w:after="300" w:line="240" w:lineRule="auto"/>
      <w:contextualSpacing/>
    </w:pPr>
    <w:rPr>
      <w:rFonts w:asciiTheme="majorHAnsi" w:eastAsiaTheme="majorEastAsia" w:hAnsiTheme="majorHAnsi" w:cstheme="majorBidi"/>
      <w:color w:val="343434" w:themeColor="text2" w:themeShade="BF"/>
      <w:spacing w:val="5"/>
      <w:kern w:val="28"/>
      <w:sz w:val="52"/>
      <w:szCs w:val="52"/>
    </w:rPr>
  </w:style>
  <w:style w:type="character" w:customStyle="1" w:styleId="TitleChar">
    <w:name w:val="Title Char"/>
    <w:aliases w:val="IPR Title Char"/>
    <w:basedOn w:val="DefaultParagraphFont"/>
    <w:link w:val="Title"/>
    <w:uiPriority w:val="10"/>
    <w:rsid w:val="00002B46"/>
    <w:rPr>
      <w:rFonts w:asciiTheme="majorHAnsi" w:eastAsiaTheme="majorEastAsia" w:hAnsiTheme="majorHAnsi" w:cstheme="majorBidi"/>
      <w:color w:val="343434" w:themeColor="text2" w:themeShade="BF"/>
      <w:spacing w:val="5"/>
      <w:kern w:val="28"/>
      <w:sz w:val="52"/>
      <w:szCs w:val="52"/>
      <w:lang w:eastAsia="en-GB"/>
    </w:rPr>
  </w:style>
  <w:style w:type="paragraph" w:styleId="Subtitle">
    <w:name w:val="Subtitle"/>
    <w:basedOn w:val="Normal"/>
    <w:next w:val="Normal"/>
    <w:link w:val="SubtitleChar"/>
    <w:uiPriority w:val="11"/>
    <w:qFormat/>
    <w:rsid w:val="00E33210"/>
    <w:pPr>
      <w:widowControl w:val="0"/>
      <w:numPr>
        <w:ilvl w:val="1"/>
      </w:numPr>
      <w:autoSpaceDE w:val="0"/>
      <w:autoSpaceDN w:val="0"/>
      <w:adjustRightInd w:val="0"/>
      <w:spacing w:before="60" w:after="60" w:line="240" w:lineRule="auto"/>
    </w:pPr>
    <w:rPr>
      <w:rFonts w:asciiTheme="majorHAnsi" w:eastAsiaTheme="majorEastAsia" w:hAnsiTheme="majorHAnsi" w:cstheme="majorBidi"/>
      <w:i/>
      <w:iCs/>
      <w:color w:val="2DA2BF" w:themeColor="accent1"/>
      <w:spacing w:val="15"/>
      <w:sz w:val="24"/>
      <w:szCs w:val="24"/>
    </w:rPr>
  </w:style>
  <w:style w:type="character" w:customStyle="1" w:styleId="SubtitleChar">
    <w:name w:val="Subtitle Char"/>
    <w:basedOn w:val="DefaultParagraphFont"/>
    <w:link w:val="Subtitle"/>
    <w:uiPriority w:val="11"/>
    <w:rsid w:val="00E33210"/>
    <w:rPr>
      <w:rFonts w:asciiTheme="majorHAnsi" w:eastAsiaTheme="majorEastAsia" w:hAnsiTheme="majorHAnsi" w:cstheme="majorBidi"/>
      <w:i/>
      <w:iCs/>
      <w:color w:val="2DA2BF" w:themeColor="accent1"/>
      <w:spacing w:val="15"/>
      <w:sz w:val="24"/>
      <w:szCs w:val="24"/>
      <w:lang w:eastAsia="en-GB"/>
    </w:rPr>
  </w:style>
  <w:style w:type="table" w:customStyle="1" w:styleId="LightList-Accent12">
    <w:name w:val="Light List - Accent 12"/>
    <w:basedOn w:val="TableNormal"/>
    <w:uiPriority w:val="61"/>
    <w:rsid w:val="00D614D1"/>
    <w:pPr>
      <w:spacing w:after="0" w:line="240" w:lineRule="auto"/>
    </w:pPr>
    <w:tblPr>
      <w:tblStyleRowBandSize w:val="1"/>
      <w:tblStyleColBandSize w:val="1"/>
      <w:tblInd w:w="0" w:type="dxa"/>
      <w:tblBorders>
        <w:top w:val="single" w:sz="8" w:space="0" w:color="2DA2BF" w:themeColor="accent1"/>
        <w:left w:val="single" w:sz="8" w:space="0" w:color="2DA2BF" w:themeColor="accent1"/>
        <w:bottom w:val="single" w:sz="8" w:space="0" w:color="2DA2BF" w:themeColor="accent1"/>
        <w:right w:val="single" w:sz="8" w:space="0" w:color="2DA2BF"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2DA2BF" w:themeFill="accent1"/>
      </w:tcPr>
    </w:tblStylePr>
    <w:tblStylePr w:type="lastRow">
      <w:pPr>
        <w:spacing w:before="0" w:after="0" w:line="240" w:lineRule="auto"/>
      </w:pPr>
      <w:rPr>
        <w:b/>
        <w:bCs/>
      </w:rPr>
      <w:tblPr/>
      <w:tcPr>
        <w:tcBorders>
          <w:top w:val="double" w:sz="6" w:space="0" w:color="2DA2BF" w:themeColor="accent1"/>
          <w:left w:val="single" w:sz="8" w:space="0" w:color="2DA2BF" w:themeColor="accent1"/>
          <w:bottom w:val="single" w:sz="8" w:space="0" w:color="2DA2BF" w:themeColor="accent1"/>
          <w:right w:val="single" w:sz="8" w:space="0" w:color="2DA2BF" w:themeColor="accent1"/>
        </w:tcBorders>
      </w:tcPr>
    </w:tblStylePr>
    <w:tblStylePr w:type="firstCol">
      <w:rPr>
        <w:b/>
        <w:bCs/>
      </w:rPr>
    </w:tblStylePr>
    <w:tblStylePr w:type="lastCol">
      <w:rPr>
        <w:b/>
        <w:bCs/>
      </w:rPr>
    </w:tblStylePr>
    <w:tblStylePr w:type="band1Vert">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tblStylePr w:type="band1Horz">
      <w:tblPr/>
      <w:tcPr>
        <w:tcBorders>
          <w:top w:val="single" w:sz="8" w:space="0" w:color="2DA2BF" w:themeColor="accent1"/>
          <w:left w:val="single" w:sz="8" w:space="0" w:color="2DA2BF" w:themeColor="accent1"/>
          <w:bottom w:val="single" w:sz="8" w:space="0" w:color="2DA2BF" w:themeColor="accent1"/>
          <w:right w:val="single" w:sz="8" w:space="0" w:color="2DA2BF" w:themeColor="accent1"/>
        </w:tcBorders>
      </w:tcPr>
    </w:tblStylePr>
  </w:style>
  <w:style w:type="table" w:customStyle="1" w:styleId="MediumShading1-Accent15">
    <w:name w:val="Medium Shading 1 - Accent 15"/>
    <w:basedOn w:val="TableNormal"/>
    <w:uiPriority w:val="63"/>
    <w:rsid w:val="00976874"/>
    <w:pPr>
      <w:spacing w:after="0" w:line="240" w:lineRule="auto"/>
    </w:pPr>
    <w:tblPr>
      <w:tblStyleRowBandSize w:val="1"/>
      <w:tblStyleColBandSize w:val="1"/>
      <w:tblInd w:w="0" w:type="dxa"/>
      <w:tbl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single" w:sz="8" w:space="0" w:color="58BED7"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shd w:val="clear" w:color="auto" w:fill="2DA2BF" w:themeFill="accent1"/>
      </w:tcPr>
    </w:tblStylePr>
    <w:tblStylePr w:type="lastRow">
      <w:pPr>
        <w:spacing w:before="0" w:after="0" w:line="240" w:lineRule="auto"/>
      </w:pPr>
      <w:rPr>
        <w:b/>
        <w:bCs/>
      </w:rPr>
      <w:tblPr/>
      <w:tcPr>
        <w:tcBorders>
          <w:top w:val="double" w:sz="6" w:space="0" w:color="58BED7" w:themeColor="accent1" w:themeTint="BF"/>
          <w:left w:val="single" w:sz="8" w:space="0" w:color="58BED7" w:themeColor="accent1" w:themeTint="BF"/>
          <w:bottom w:val="single" w:sz="8" w:space="0" w:color="58BED7" w:themeColor="accent1" w:themeTint="BF"/>
          <w:right w:val="single" w:sz="8" w:space="0" w:color="58BED7"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E9F2" w:themeFill="accent1" w:themeFillTint="3F"/>
      </w:tcPr>
    </w:tblStylePr>
    <w:tblStylePr w:type="band1Horz">
      <w:tblPr/>
      <w:tcPr>
        <w:tcBorders>
          <w:insideH w:val="nil"/>
          <w:insideV w:val="nil"/>
        </w:tcBorders>
        <w:shd w:val="clear" w:color="auto" w:fill="C7E9F2" w:themeFill="accent1"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4983334">
      <w:bodyDiv w:val="1"/>
      <w:marLeft w:val="0"/>
      <w:marRight w:val="0"/>
      <w:marTop w:val="0"/>
      <w:marBottom w:val="0"/>
      <w:divBdr>
        <w:top w:val="none" w:sz="0" w:space="0" w:color="auto"/>
        <w:left w:val="none" w:sz="0" w:space="0" w:color="auto"/>
        <w:bottom w:val="none" w:sz="0" w:space="0" w:color="auto"/>
        <w:right w:val="none" w:sz="0" w:space="0" w:color="auto"/>
      </w:divBdr>
    </w:div>
    <w:div w:id="14701030">
      <w:bodyDiv w:val="1"/>
      <w:marLeft w:val="0"/>
      <w:marRight w:val="0"/>
      <w:marTop w:val="0"/>
      <w:marBottom w:val="0"/>
      <w:divBdr>
        <w:top w:val="none" w:sz="0" w:space="0" w:color="auto"/>
        <w:left w:val="none" w:sz="0" w:space="0" w:color="auto"/>
        <w:bottom w:val="none" w:sz="0" w:space="0" w:color="auto"/>
        <w:right w:val="none" w:sz="0" w:space="0" w:color="auto"/>
      </w:divBdr>
    </w:div>
    <w:div w:id="30570487">
      <w:bodyDiv w:val="1"/>
      <w:marLeft w:val="0"/>
      <w:marRight w:val="0"/>
      <w:marTop w:val="0"/>
      <w:marBottom w:val="0"/>
      <w:divBdr>
        <w:top w:val="none" w:sz="0" w:space="0" w:color="auto"/>
        <w:left w:val="none" w:sz="0" w:space="0" w:color="auto"/>
        <w:bottom w:val="none" w:sz="0" w:space="0" w:color="auto"/>
        <w:right w:val="none" w:sz="0" w:space="0" w:color="auto"/>
      </w:divBdr>
      <w:divsChild>
        <w:div w:id="2143377024">
          <w:marLeft w:val="0"/>
          <w:marRight w:val="0"/>
          <w:marTop w:val="0"/>
          <w:marBottom w:val="0"/>
          <w:divBdr>
            <w:top w:val="none" w:sz="0" w:space="0" w:color="auto"/>
            <w:left w:val="none" w:sz="0" w:space="0" w:color="auto"/>
            <w:bottom w:val="none" w:sz="0" w:space="0" w:color="auto"/>
            <w:right w:val="none" w:sz="0" w:space="0" w:color="auto"/>
          </w:divBdr>
          <w:divsChild>
            <w:div w:id="1148283548">
              <w:marLeft w:val="0"/>
              <w:marRight w:val="0"/>
              <w:marTop w:val="0"/>
              <w:marBottom w:val="0"/>
              <w:divBdr>
                <w:top w:val="none" w:sz="0" w:space="0" w:color="auto"/>
                <w:left w:val="none" w:sz="0" w:space="0" w:color="auto"/>
                <w:bottom w:val="none" w:sz="0" w:space="0" w:color="auto"/>
                <w:right w:val="none" w:sz="0" w:space="0" w:color="auto"/>
              </w:divBdr>
              <w:divsChild>
                <w:div w:id="1850951520">
                  <w:marLeft w:val="0"/>
                  <w:marRight w:val="0"/>
                  <w:marTop w:val="0"/>
                  <w:marBottom w:val="0"/>
                  <w:divBdr>
                    <w:top w:val="none" w:sz="0" w:space="0" w:color="auto"/>
                    <w:left w:val="none" w:sz="0" w:space="0" w:color="auto"/>
                    <w:bottom w:val="none" w:sz="0" w:space="0" w:color="auto"/>
                    <w:right w:val="none" w:sz="0" w:space="0" w:color="auto"/>
                  </w:divBdr>
                  <w:divsChild>
                    <w:div w:id="1964723348">
                      <w:marLeft w:val="0"/>
                      <w:marRight w:val="0"/>
                      <w:marTop w:val="0"/>
                      <w:marBottom w:val="0"/>
                      <w:divBdr>
                        <w:top w:val="none" w:sz="0" w:space="0" w:color="auto"/>
                        <w:left w:val="none" w:sz="0" w:space="0" w:color="auto"/>
                        <w:bottom w:val="none" w:sz="0" w:space="0" w:color="auto"/>
                        <w:right w:val="none" w:sz="0" w:space="0" w:color="auto"/>
                      </w:divBdr>
                      <w:divsChild>
                        <w:div w:id="1330786724">
                          <w:marLeft w:val="0"/>
                          <w:marRight w:val="0"/>
                          <w:marTop w:val="0"/>
                          <w:marBottom w:val="0"/>
                          <w:divBdr>
                            <w:top w:val="none" w:sz="0" w:space="0" w:color="auto"/>
                            <w:left w:val="none" w:sz="0" w:space="0" w:color="auto"/>
                            <w:bottom w:val="none" w:sz="0" w:space="0" w:color="auto"/>
                            <w:right w:val="none" w:sz="0" w:space="0" w:color="auto"/>
                          </w:divBdr>
                          <w:divsChild>
                            <w:div w:id="67388566">
                              <w:marLeft w:val="0"/>
                              <w:marRight w:val="0"/>
                              <w:marTop w:val="0"/>
                              <w:marBottom w:val="0"/>
                              <w:divBdr>
                                <w:top w:val="none" w:sz="0" w:space="0" w:color="auto"/>
                                <w:left w:val="none" w:sz="0" w:space="0" w:color="auto"/>
                                <w:bottom w:val="none" w:sz="0" w:space="0" w:color="auto"/>
                                <w:right w:val="none" w:sz="0" w:space="0" w:color="auto"/>
                              </w:divBdr>
                              <w:divsChild>
                                <w:div w:id="853569717">
                                  <w:marLeft w:val="3630"/>
                                  <w:marRight w:val="4230"/>
                                  <w:marTop w:val="0"/>
                                  <w:marBottom w:val="0"/>
                                  <w:divBdr>
                                    <w:top w:val="none" w:sz="0" w:space="0" w:color="auto"/>
                                    <w:left w:val="none" w:sz="0" w:space="0" w:color="auto"/>
                                    <w:bottom w:val="none" w:sz="0" w:space="0" w:color="auto"/>
                                    <w:right w:val="none" w:sz="0" w:space="0" w:color="auto"/>
                                  </w:divBdr>
                                  <w:divsChild>
                                    <w:div w:id="1135293905">
                                      <w:marLeft w:val="75"/>
                                      <w:marRight w:val="75"/>
                                      <w:marTop w:val="75"/>
                                      <w:marBottom w:val="75"/>
                                      <w:divBdr>
                                        <w:top w:val="none" w:sz="0" w:space="0" w:color="auto"/>
                                        <w:left w:val="none" w:sz="0" w:space="0" w:color="auto"/>
                                        <w:bottom w:val="none" w:sz="0" w:space="0" w:color="auto"/>
                                        <w:right w:val="none" w:sz="0" w:space="0" w:color="auto"/>
                                      </w:divBdr>
                                      <w:divsChild>
                                        <w:div w:id="30312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4357962">
      <w:bodyDiv w:val="1"/>
      <w:marLeft w:val="0"/>
      <w:marRight w:val="0"/>
      <w:marTop w:val="0"/>
      <w:marBottom w:val="0"/>
      <w:divBdr>
        <w:top w:val="none" w:sz="0" w:space="0" w:color="auto"/>
        <w:left w:val="none" w:sz="0" w:space="0" w:color="auto"/>
        <w:bottom w:val="none" w:sz="0" w:space="0" w:color="auto"/>
        <w:right w:val="none" w:sz="0" w:space="0" w:color="auto"/>
      </w:divBdr>
    </w:div>
    <w:div w:id="57367489">
      <w:bodyDiv w:val="1"/>
      <w:marLeft w:val="0"/>
      <w:marRight w:val="0"/>
      <w:marTop w:val="0"/>
      <w:marBottom w:val="0"/>
      <w:divBdr>
        <w:top w:val="none" w:sz="0" w:space="0" w:color="auto"/>
        <w:left w:val="none" w:sz="0" w:space="0" w:color="auto"/>
        <w:bottom w:val="none" w:sz="0" w:space="0" w:color="auto"/>
        <w:right w:val="none" w:sz="0" w:space="0" w:color="auto"/>
      </w:divBdr>
    </w:div>
    <w:div w:id="86537992">
      <w:bodyDiv w:val="1"/>
      <w:marLeft w:val="0"/>
      <w:marRight w:val="0"/>
      <w:marTop w:val="0"/>
      <w:marBottom w:val="0"/>
      <w:divBdr>
        <w:top w:val="none" w:sz="0" w:space="0" w:color="auto"/>
        <w:left w:val="none" w:sz="0" w:space="0" w:color="auto"/>
        <w:bottom w:val="none" w:sz="0" w:space="0" w:color="auto"/>
        <w:right w:val="none" w:sz="0" w:space="0" w:color="auto"/>
      </w:divBdr>
    </w:div>
    <w:div w:id="103422363">
      <w:bodyDiv w:val="1"/>
      <w:marLeft w:val="0"/>
      <w:marRight w:val="0"/>
      <w:marTop w:val="0"/>
      <w:marBottom w:val="0"/>
      <w:divBdr>
        <w:top w:val="none" w:sz="0" w:space="0" w:color="auto"/>
        <w:left w:val="none" w:sz="0" w:space="0" w:color="auto"/>
        <w:bottom w:val="none" w:sz="0" w:space="0" w:color="auto"/>
        <w:right w:val="none" w:sz="0" w:space="0" w:color="auto"/>
      </w:divBdr>
    </w:div>
    <w:div w:id="128980680">
      <w:bodyDiv w:val="1"/>
      <w:marLeft w:val="0"/>
      <w:marRight w:val="0"/>
      <w:marTop w:val="0"/>
      <w:marBottom w:val="0"/>
      <w:divBdr>
        <w:top w:val="none" w:sz="0" w:space="0" w:color="auto"/>
        <w:left w:val="none" w:sz="0" w:space="0" w:color="auto"/>
        <w:bottom w:val="none" w:sz="0" w:space="0" w:color="auto"/>
        <w:right w:val="none" w:sz="0" w:space="0" w:color="auto"/>
      </w:divBdr>
      <w:divsChild>
        <w:div w:id="2054963275">
          <w:marLeft w:val="0"/>
          <w:marRight w:val="0"/>
          <w:marTop w:val="0"/>
          <w:marBottom w:val="0"/>
          <w:divBdr>
            <w:top w:val="none" w:sz="0" w:space="0" w:color="auto"/>
            <w:left w:val="none" w:sz="0" w:space="0" w:color="auto"/>
            <w:bottom w:val="none" w:sz="0" w:space="0" w:color="auto"/>
            <w:right w:val="none" w:sz="0" w:space="0" w:color="auto"/>
          </w:divBdr>
          <w:divsChild>
            <w:div w:id="1480993608">
              <w:marLeft w:val="0"/>
              <w:marRight w:val="0"/>
              <w:marTop w:val="0"/>
              <w:marBottom w:val="0"/>
              <w:divBdr>
                <w:top w:val="none" w:sz="0" w:space="0" w:color="auto"/>
                <w:left w:val="none" w:sz="0" w:space="0" w:color="auto"/>
                <w:bottom w:val="none" w:sz="0" w:space="0" w:color="auto"/>
                <w:right w:val="none" w:sz="0" w:space="0" w:color="auto"/>
              </w:divBdr>
              <w:divsChild>
                <w:div w:id="2027823769">
                  <w:marLeft w:val="0"/>
                  <w:marRight w:val="0"/>
                  <w:marTop w:val="0"/>
                  <w:marBottom w:val="0"/>
                  <w:divBdr>
                    <w:top w:val="none" w:sz="0" w:space="0" w:color="auto"/>
                    <w:left w:val="none" w:sz="0" w:space="0" w:color="auto"/>
                    <w:bottom w:val="none" w:sz="0" w:space="0" w:color="auto"/>
                    <w:right w:val="none" w:sz="0" w:space="0" w:color="auto"/>
                  </w:divBdr>
                  <w:divsChild>
                    <w:div w:id="1543858600">
                      <w:marLeft w:val="0"/>
                      <w:marRight w:val="0"/>
                      <w:marTop w:val="0"/>
                      <w:marBottom w:val="0"/>
                      <w:divBdr>
                        <w:top w:val="none" w:sz="0" w:space="0" w:color="auto"/>
                        <w:left w:val="none" w:sz="0" w:space="0" w:color="auto"/>
                        <w:bottom w:val="none" w:sz="0" w:space="0" w:color="auto"/>
                        <w:right w:val="none" w:sz="0" w:space="0" w:color="auto"/>
                      </w:divBdr>
                      <w:divsChild>
                        <w:div w:id="1331979267">
                          <w:marLeft w:val="0"/>
                          <w:marRight w:val="0"/>
                          <w:marTop w:val="0"/>
                          <w:marBottom w:val="0"/>
                          <w:divBdr>
                            <w:top w:val="none" w:sz="0" w:space="0" w:color="auto"/>
                            <w:left w:val="none" w:sz="0" w:space="0" w:color="auto"/>
                            <w:bottom w:val="none" w:sz="0" w:space="0" w:color="auto"/>
                            <w:right w:val="none" w:sz="0" w:space="0" w:color="auto"/>
                          </w:divBdr>
                          <w:divsChild>
                            <w:div w:id="922838632">
                              <w:marLeft w:val="0"/>
                              <w:marRight w:val="0"/>
                              <w:marTop w:val="0"/>
                              <w:marBottom w:val="0"/>
                              <w:divBdr>
                                <w:top w:val="none" w:sz="0" w:space="0" w:color="auto"/>
                                <w:left w:val="none" w:sz="0" w:space="0" w:color="auto"/>
                                <w:bottom w:val="none" w:sz="0" w:space="0" w:color="auto"/>
                                <w:right w:val="none" w:sz="0" w:space="0" w:color="auto"/>
                              </w:divBdr>
                              <w:divsChild>
                                <w:div w:id="1052463304">
                                  <w:marLeft w:val="0"/>
                                  <w:marRight w:val="0"/>
                                  <w:marTop w:val="0"/>
                                  <w:marBottom w:val="0"/>
                                  <w:divBdr>
                                    <w:top w:val="none" w:sz="0" w:space="0" w:color="auto"/>
                                    <w:left w:val="none" w:sz="0" w:space="0" w:color="auto"/>
                                    <w:bottom w:val="none" w:sz="0" w:space="0" w:color="auto"/>
                                    <w:right w:val="none" w:sz="0" w:space="0" w:color="auto"/>
                                  </w:divBdr>
                                  <w:divsChild>
                                    <w:div w:id="1285574206">
                                      <w:marLeft w:val="0"/>
                                      <w:marRight w:val="0"/>
                                      <w:marTop w:val="0"/>
                                      <w:marBottom w:val="0"/>
                                      <w:divBdr>
                                        <w:top w:val="none" w:sz="0" w:space="0" w:color="auto"/>
                                        <w:left w:val="none" w:sz="0" w:space="0" w:color="auto"/>
                                        <w:bottom w:val="none" w:sz="0" w:space="0" w:color="auto"/>
                                        <w:right w:val="none" w:sz="0" w:space="0" w:color="auto"/>
                                      </w:divBdr>
                                      <w:divsChild>
                                        <w:div w:id="71697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057981">
      <w:bodyDiv w:val="1"/>
      <w:marLeft w:val="0"/>
      <w:marRight w:val="0"/>
      <w:marTop w:val="0"/>
      <w:marBottom w:val="0"/>
      <w:divBdr>
        <w:top w:val="none" w:sz="0" w:space="0" w:color="auto"/>
        <w:left w:val="none" w:sz="0" w:space="0" w:color="auto"/>
        <w:bottom w:val="none" w:sz="0" w:space="0" w:color="auto"/>
        <w:right w:val="none" w:sz="0" w:space="0" w:color="auto"/>
      </w:divBdr>
    </w:div>
    <w:div w:id="196816018">
      <w:bodyDiv w:val="1"/>
      <w:marLeft w:val="0"/>
      <w:marRight w:val="0"/>
      <w:marTop w:val="0"/>
      <w:marBottom w:val="0"/>
      <w:divBdr>
        <w:top w:val="none" w:sz="0" w:space="0" w:color="auto"/>
        <w:left w:val="none" w:sz="0" w:space="0" w:color="auto"/>
        <w:bottom w:val="none" w:sz="0" w:space="0" w:color="auto"/>
        <w:right w:val="none" w:sz="0" w:space="0" w:color="auto"/>
      </w:divBdr>
    </w:div>
    <w:div w:id="197354748">
      <w:bodyDiv w:val="1"/>
      <w:marLeft w:val="0"/>
      <w:marRight w:val="0"/>
      <w:marTop w:val="0"/>
      <w:marBottom w:val="0"/>
      <w:divBdr>
        <w:top w:val="none" w:sz="0" w:space="0" w:color="auto"/>
        <w:left w:val="none" w:sz="0" w:space="0" w:color="auto"/>
        <w:bottom w:val="none" w:sz="0" w:space="0" w:color="auto"/>
        <w:right w:val="none" w:sz="0" w:space="0" w:color="auto"/>
      </w:divBdr>
    </w:div>
    <w:div w:id="242645385">
      <w:bodyDiv w:val="1"/>
      <w:marLeft w:val="0"/>
      <w:marRight w:val="0"/>
      <w:marTop w:val="0"/>
      <w:marBottom w:val="0"/>
      <w:divBdr>
        <w:top w:val="none" w:sz="0" w:space="0" w:color="auto"/>
        <w:left w:val="none" w:sz="0" w:space="0" w:color="auto"/>
        <w:bottom w:val="none" w:sz="0" w:space="0" w:color="auto"/>
        <w:right w:val="none" w:sz="0" w:space="0" w:color="auto"/>
      </w:divBdr>
    </w:div>
    <w:div w:id="247542070">
      <w:bodyDiv w:val="1"/>
      <w:marLeft w:val="0"/>
      <w:marRight w:val="0"/>
      <w:marTop w:val="0"/>
      <w:marBottom w:val="0"/>
      <w:divBdr>
        <w:top w:val="none" w:sz="0" w:space="0" w:color="auto"/>
        <w:left w:val="none" w:sz="0" w:space="0" w:color="auto"/>
        <w:bottom w:val="none" w:sz="0" w:space="0" w:color="auto"/>
        <w:right w:val="none" w:sz="0" w:space="0" w:color="auto"/>
      </w:divBdr>
      <w:divsChild>
        <w:div w:id="1324354528">
          <w:marLeft w:val="0"/>
          <w:marRight w:val="0"/>
          <w:marTop w:val="0"/>
          <w:marBottom w:val="0"/>
          <w:divBdr>
            <w:top w:val="none" w:sz="0" w:space="0" w:color="auto"/>
            <w:left w:val="none" w:sz="0" w:space="0" w:color="auto"/>
            <w:bottom w:val="none" w:sz="0" w:space="0" w:color="auto"/>
            <w:right w:val="none" w:sz="0" w:space="0" w:color="auto"/>
          </w:divBdr>
        </w:div>
      </w:divsChild>
    </w:div>
    <w:div w:id="249195118">
      <w:bodyDiv w:val="1"/>
      <w:marLeft w:val="0"/>
      <w:marRight w:val="0"/>
      <w:marTop w:val="0"/>
      <w:marBottom w:val="0"/>
      <w:divBdr>
        <w:top w:val="none" w:sz="0" w:space="0" w:color="auto"/>
        <w:left w:val="none" w:sz="0" w:space="0" w:color="auto"/>
        <w:bottom w:val="none" w:sz="0" w:space="0" w:color="auto"/>
        <w:right w:val="none" w:sz="0" w:space="0" w:color="auto"/>
      </w:divBdr>
    </w:div>
    <w:div w:id="262348020">
      <w:bodyDiv w:val="1"/>
      <w:marLeft w:val="0"/>
      <w:marRight w:val="0"/>
      <w:marTop w:val="0"/>
      <w:marBottom w:val="0"/>
      <w:divBdr>
        <w:top w:val="none" w:sz="0" w:space="0" w:color="auto"/>
        <w:left w:val="none" w:sz="0" w:space="0" w:color="auto"/>
        <w:bottom w:val="none" w:sz="0" w:space="0" w:color="auto"/>
        <w:right w:val="none" w:sz="0" w:space="0" w:color="auto"/>
      </w:divBdr>
      <w:divsChild>
        <w:div w:id="1149833347">
          <w:marLeft w:val="0"/>
          <w:marRight w:val="0"/>
          <w:marTop w:val="0"/>
          <w:marBottom w:val="0"/>
          <w:divBdr>
            <w:top w:val="none" w:sz="0" w:space="0" w:color="auto"/>
            <w:left w:val="none" w:sz="0" w:space="0" w:color="auto"/>
            <w:bottom w:val="none" w:sz="0" w:space="0" w:color="auto"/>
            <w:right w:val="none" w:sz="0" w:space="0" w:color="auto"/>
          </w:divBdr>
          <w:divsChild>
            <w:div w:id="2072732274">
              <w:marLeft w:val="0"/>
              <w:marRight w:val="0"/>
              <w:marTop w:val="0"/>
              <w:marBottom w:val="0"/>
              <w:divBdr>
                <w:top w:val="none" w:sz="0" w:space="0" w:color="auto"/>
                <w:left w:val="none" w:sz="0" w:space="0" w:color="auto"/>
                <w:bottom w:val="none" w:sz="0" w:space="0" w:color="auto"/>
                <w:right w:val="none" w:sz="0" w:space="0" w:color="auto"/>
              </w:divBdr>
              <w:divsChild>
                <w:div w:id="1648434508">
                  <w:marLeft w:val="0"/>
                  <w:marRight w:val="0"/>
                  <w:marTop w:val="0"/>
                  <w:marBottom w:val="0"/>
                  <w:divBdr>
                    <w:top w:val="none" w:sz="0" w:space="0" w:color="auto"/>
                    <w:left w:val="none" w:sz="0" w:space="0" w:color="auto"/>
                    <w:bottom w:val="none" w:sz="0" w:space="0" w:color="auto"/>
                    <w:right w:val="none" w:sz="0" w:space="0" w:color="auto"/>
                  </w:divBdr>
                  <w:divsChild>
                    <w:div w:id="1336763592">
                      <w:marLeft w:val="0"/>
                      <w:marRight w:val="0"/>
                      <w:marTop w:val="0"/>
                      <w:marBottom w:val="0"/>
                      <w:divBdr>
                        <w:top w:val="none" w:sz="0" w:space="0" w:color="auto"/>
                        <w:left w:val="none" w:sz="0" w:space="0" w:color="auto"/>
                        <w:bottom w:val="none" w:sz="0" w:space="0" w:color="auto"/>
                        <w:right w:val="none" w:sz="0" w:space="0" w:color="auto"/>
                      </w:divBdr>
                      <w:divsChild>
                        <w:div w:id="1407337532">
                          <w:marLeft w:val="0"/>
                          <w:marRight w:val="0"/>
                          <w:marTop w:val="0"/>
                          <w:marBottom w:val="0"/>
                          <w:divBdr>
                            <w:top w:val="none" w:sz="0" w:space="0" w:color="auto"/>
                            <w:left w:val="none" w:sz="0" w:space="0" w:color="auto"/>
                            <w:bottom w:val="none" w:sz="0" w:space="0" w:color="auto"/>
                            <w:right w:val="none" w:sz="0" w:space="0" w:color="auto"/>
                          </w:divBdr>
                          <w:divsChild>
                            <w:div w:id="2011566400">
                              <w:marLeft w:val="0"/>
                              <w:marRight w:val="0"/>
                              <w:marTop w:val="0"/>
                              <w:marBottom w:val="0"/>
                              <w:divBdr>
                                <w:top w:val="none" w:sz="0" w:space="0" w:color="auto"/>
                                <w:left w:val="none" w:sz="0" w:space="0" w:color="auto"/>
                                <w:bottom w:val="none" w:sz="0" w:space="0" w:color="auto"/>
                                <w:right w:val="none" w:sz="0" w:space="0" w:color="auto"/>
                              </w:divBdr>
                              <w:divsChild>
                                <w:div w:id="899680126">
                                  <w:marLeft w:val="0"/>
                                  <w:marRight w:val="0"/>
                                  <w:marTop w:val="0"/>
                                  <w:marBottom w:val="0"/>
                                  <w:divBdr>
                                    <w:top w:val="none" w:sz="0" w:space="0" w:color="auto"/>
                                    <w:left w:val="none" w:sz="0" w:space="0" w:color="auto"/>
                                    <w:bottom w:val="none" w:sz="0" w:space="0" w:color="auto"/>
                                    <w:right w:val="none" w:sz="0" w:space="0" w:color="auto"/>
                                  </w:divBdr>
                                  <w:divsChild>
                                    <w:div w:id="46570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64776608">
      <w:bodyDiv w:val="1"/>
      <w:marLeft w:val="0"/>
      <w:marRight w:val="0"/>
      <w:marTop w:val="0"/>
      <w:marBottom w:val="0"/>
      <w:divBdr>
        <w:top w:val="none" w:sz="0" w:space="0" w:color="auto"/>
        <w:left w:val="none" w:sz="0" w:space="0" w:color="auto"/>
        <w:bottom w:val="none" w:sz="0" w:space="0" w:color="auto"/>
        <w:right w:val="none" w:sz="0" w:space="0" w:color="auto"/>
      </w:divBdr>
    </w:div>
    <w:div w:id="332801037">
      <w:bodyDiv w:val="1"/>
      <w:marLeft w:val="0"/>
      <w:marRight w:val="0"/>
      <w:marTop w:val="0"/>
      <w:marBottom w:val="0"/>
      <w:divBdr>
        <w:top w:val="none" w:sz="0" w:space="0" w:color="auto"/>
        <w:left w:val="none" w:sz="0" w:space="0" w:color="auto"/>
        <w:bottom w:val="none" w:sz="0" w:space="0" w:color="auto"/>
        <w:right w:val="none" w:sz="0" w:space="0" w:color="auto"/>
      </w:divBdr>
    </w:div>
    <w:div w:id="341396903">
      <w:bodyDiv w:val="1"/>
      <w:marLeft w:val="0"/>
      <w:marRight w:val="0"/>
      <w:marTop w:val="0"/>
      <w:marBottom w:val="0"/>
      <w:divBdr>
        <w:top w:val="none" w:sz="0" w:space="0" w:color="auto"/>
        <w:left w:val="none" w:sz="0" w:space="0" w:color="auto"/>
        <w:bottom w:val="none" w:sz="0" w:space="0" w:color="auto"/>
        <w:right w:val="none" w:sz="0" w:space="0" w:color="auto"/>
      </w:divBdr>
    </w:div>
    <w:div w:id="344719587">
      <w:bodyDiv w:val="1"/>
      <w:marLeft w:val="0"/>
      <w:marRight w:val="0"/>
      <w:marTop w:val="0"/>
      <w:marBottom w:val="0"/>
      <w:divBdr>
        <w:top w:val="none" w:sz="0" w:space="0" w:color="auto"/>
        <w:left w:val="none" w:sz="0" w:space="0" w:color="auto"/>
        <w:bottom w:val="none" w:sz="0" w:space="0" w:color="auto"/>
        <w:right w:val="none" w:sz="0" w:space="0" w:color="auto"/>
      </w:divBdr>
    </w:div>
    <w:div w:id="419646588">
      <w:bodyDiv w:val="1"/>
      <w:marLeft w:val="0"/>
      <w:marRight w:val="0"/>
      <w:marTop w:val="0"/>
      <w:marBottom w:val="0"/>
      <w:divBdr>
        <w:top w:val="none" w:sz="0" w:space="0" w:color="auto"/>
        <w:left w:val="none" w:sz="0" w:space="0" w:color="auto"/>
        <w:bottom w:val="none" w:sz="0" w:space="0" w:color="auto"/>
        <w:right w:val="none" w:sz="0" w:space="0" w:color="auto"/>
      </w:divBdr>
    </w:div>
    <w:div w:id="419955467">
      <w:bodyDiv w:val="1"/>
      <w:marLeft w:val="0"/>
      <w:marRight w:val="0"/>
      <w:marTop w:val="0"/>
      <w:marBottom w:val="0"/>
      <w:divBdr>
        <w:top w:val="none" w:sz="0" w:space="0" w:color="auto"/>
        <w:left w:val="none" w:sz="0" w:space="0" w:color="auto"/>
        <w:bottom w:val="none" w:sz="0" w:space="0" w:color="auto"/>
        <w:right w:val="none" w:sz="0" w:space="0" w:color="auto"/>
      </w:divBdr>
    </w:div>
    <w:div w:id="430515684">
      <w:bodyDiv w:val="1"/>
      <w:marLeft w:val="0"/>
      <w:marRight w:val="0"/>
      <w:marTop w:val="0"/>
      <w:marBottom w:val="0"/>
      <w:divBdr>
        <w:top w:val="none" w:sz="0" w:space="0" w:color="auto"/>
        <w:left w:val="none" w:sz="0" w:space="0" w:color="auto"/>
        <w:bottom w:val="none" w:sz="0" w:space="0" w:color="auto"/>
        <w:right w:val="none" w:sz="0" w:space="0" w:color="auto"/>
      </w:divBdr>
    </w:div>
    <w:div w:id="459421141">
      <w:bodyDiv w:val="1"/>
      <w:marLeft w:val="0"/>
      <w:marRight w:val="0"/>
      <w:marTop w:val="0"/>
      <w:marBottom w:val="0"/>
      <w:divBdr>
        <w:top w:val="none" w:sz="0" w:space="0" w:color="auto"/>
        <w:left w:val="none" w:sz="0" w:space="0" w:color="auto"/>
        <w:bottom w:val="none" w:sz="0" w:space="0" w:color="auto"/>
        <w:right w:val="none" w:sz="0" w:space="0" w:color="auto"/>
      </w:divBdr>
    </w:div>
    <w:div w:id="492723169">
      <w:bodyDiv w:val="1"/>
      <w:marLeft w:val="0"/>
      <w:marRight w:val="0"/>
      <w:marTop w:val="0"/>
      <w:marBottom w:val="0"/>
      <w:divBdr>
        <w:top w:val="none" w:sz="0" w:space="0" w:color="auto"/>
        <w:left w:val="none" w:sz="0" w:space="0" w:color="auto"/>
        <w:bottom w:val="none" w:sz="0" w:space="0" w:color="auto"/>
        <w:right w:val="none" w:sz="0" w:space="0" w:color="auto"/>
      </w:divBdr>
    </w:div>
    <w:div w:id="507600734">
      <w:bodyDiv w:val="1"/>
      <w:marLeft w:val="0"/>
      <w:marRight w:val="0"/>
      <w:marTop w:val="0"/>
      <w:marBottom w:val="0"/>
      <w:divBdr>
        <w:top w:val="none" w:sz="0" w:space="0" w:color="auto"/>
        <w:left w:val="none" w:sz="0" w:space="0" w:color="auto"/>
        <w:bottom w:val="none" w:sz="0" w:space="0" w:color="auto"/>
        <w:right w:val="none" w:sz="0" w:space="0" w:color="auto"/>
      </w:divBdr>
    </w:div>
    <w:div w:id="521867954">
      <w:bodyDiv w:val="1"/>
      <w:marLeft w:val="0"/>
      <w:marRight w:val="0"/>
      <w:marTop w:val="0"/>
      <w:marBottom w:val="0"/>
      <w:divBdr>
        <w:top w:val="none" w:sz="0" w:space="0" w:color="auto"/>
        <w:left w:val="none" w:sz="0" w:space="0" w:color="auto"/>
        <w:bottom w:val="none" w:sz="0" w:space="0" w:color="auto"/>
        <w:right w:val="none" w:sz="0" w:space="0" w:color="auto"/>
      </w:divBdr>
    </w:div>
    <w:div w:id="537201920">
      <w:bodyDiv w:val="1"/>
      <w:marLeft w:val="0"/>
      <w:marRight w:val="0"/>
      <w:marTop w:val="0"/>
      <w:marBottom w:val="0"/>
      <w:divBdr>
        <w:top w:val="none" w:sz="0" w:space="0" w:color="auto"/>
        <w:left w:val="none" w:sz="0" w:space="0" w:color="auto"/>
        <w:bottom w:val="none" w:sz="0" w:space="0" w:color="auto"/>
        <w:right w:val="none" w:sz="0" w:space="0" w:color="auto"/>
      </w:divBdr>
    </w:div>
    <w:div w:id="546602898">
      <w:bodyDiv w:val="1"/>
      <w:marLeft w:val="0"/>
      <w:marRight w:val="0"/>
      <w:marTop w:val="0"/>
      <w:marBottom w:val="0"/>
      <w:divBdr>
        <w:top w:val="none" w:sz="0" w:space="0" w:color="auto"/>
        <w:left w:val="none" w:sz="0" w:space="0" w:color="auto"/>
        <w:bottom w:val="none" w:sz="0" w:space="0" w:color="auto"/>
        <w:right w:val="none" w:sz="0" w:space="0" w:color="auto"/>
      </w:divBdr>
    </w:div>
    <w:div w:id="569268874">
      <w:bodyDiv w:val="1"/>
      <w:marLeft w:val="0"/>
      <w:marRight w:val="0"/>
      <w:marTop w:val="0"/>
      <w:marBottom w:val="0"/>
      <w:divBdr>
        <w:top w:val="none" w:sz="0" w:space="0" w:color="auto"/>
        <w:left w:val="none" w:sz="0" w:space="0" w:color="auto"/>
        <w:bottom w:val="none" w:sz="0" w:space="0" w:color="auto"/>
        <w:right w:val="none" w:sz="0" w:space="0" w:color="auto"/>
      </w:divBdr>
    </w:div>
    <w:div w:id="585459611">
      <w:bodyDiv w:val="1"/>
      <w:marLeft w:val="0"/>
      <w:marRight w:val="0"/>
      <w:marTop w:val="0"/>
      <w:marBottom w:val="0"/>
      <w:divBdr>
        <w:top w:val="none" w:sz="0" w:space="0" w:color="auto"/>
        <w:left w:val="none" w:sz="0" w:space="0" w:color="auto"/>
        <w:bottom w:val="none" w:sz="0" w:space="0" w:color="auto"/>
        <w:right w:val="none" w:sz="0" w:space="0" w:color="auto"/>
      </w:divBdr>
    </w:div>
    <w:div w:id="599876626">
      <w:bodyDiv w:val="1"/>
      <w:marLeft w:val="0"/>
      <w:marRight w:val="0"/>
      <w:marTop w:val="0"/>
      <w:marBottom w:val="0"/>
      <w:divBdr>
        <w:top w:val="none" w:sz="0" w:space="0" w:color="auto"/>
        <w:left w:val="none" w:sz="0" w:space="0" w:color="auto"/>
        <w:bottom w:val="none" w:sz="0" w:space="0" w:color="auto"/>
        <w:right w:val="none" w:sz="0" w:space="0" w:color="auto"/>
      </w:divBdr>
    </w:div>
    <w:div w:id="617297026">
      <w:bodyDiv w:val="1"/>
      <w:marLeft w:val="0"/>
      <w:marRight w:val="0"/>
      <w:marTop w:val="0"/>
      <w:marBottom w:val="0"/>
      <w:divBdr>
        <w:top w:val="none" w:sz="0" w:space="0" w:color="auto"/>
        <w:left w:val="none" w:sz="0" w:space="0" w:color="auto"/>
        <w:bottom w:val="none" w:sz="0" w:space="0" w:color="auto"/>
        <w:right w:val="none" w:sz="0" w:space="0" w:color="auto"/>
      </w:divBdr>
    </w:div>
    <w:div w:id="627781846">
      <w:bodyDiv w:val="1"/>
      <w:marLeft w:val="0"/>
      <w:marRight w:val="0"/>
      <w:marTop w:val="0"/>
      <w:marBottom w:val="0"/>
      <w:divBdr>
        <w:top w:val="none" w:sz="0" w:space="0" w:color="auto"/>
        <w:left w:val="none" w:sz="0" w:space="0" w:color="auto"/>
        <w:bottom w:val="none" w:sz="0" w:space="0" w:color="auto"/>
        <w:right w:val="none" w:sz="0" w:space="0" w:color="auto"/>
      </w:divBdr>
    </w:div>
    <w:div w:id="636951826">
      <w:bodyDiv w:val="1"/>
      <w:marLeft w:val="0"/>
      <w:marRight w:val="0"/>
      <w:marTop w:val="0"/>
      <w:marBottom w:val="0"/>
      <w:divBdr>
        <w:top w:val="none" w:sz="0" w:space="0" w:color="auto"/>
        <w:left w:val="none" w:sz="0" w:space="0" w:color="auto"/>
        <w:bottom w:val="none" w:sz="0" w:space="0" w:color="auto"/>
        <w:right w:val="none" w:sz="0" w:space="0" w:color="auto"/>
      </w:divBdr>
    </w:div>
    <w:div w:id="648904548">
      <w:bodyDiv w:val="1"/>
      <w:marLeft w:val="0"/>
      <w:marRight w:val="0"/>
      <w:marTop w:val="0"/>
      <w:marBottom w:val="0"/>
      <w:divBdr>
        <w:top w:val="none" w:sz="0" w:space="0" w:color="auto"/>
        <w:left w:val="none" w:sz="0" w:space="0" w:color="auto"/>
        <w:bottom w:val="none" w:sz="0" w:space="0" w:color="auto"/>
        <w:right w:val="none" w:sz="0" w:space="0" w:color="auto"/>
      </w:divBdr>
    </w:div>
    <w:div w:id="690492990">
      <w:bodyDiv w:val="1"/>
      <w:marLeft w:val="0"/>
      <w:marRight w:val="0"/>
      <w:marTop w:val="0"/>
      <w:marBottom w:val="0"/>
      <w:divBdr>
        <w:top w:val="none" w:sz="0" w:space="0" w:color="auto"/>
        <w:left w:val="none" w:sz="0" w:space="0" w:color="auto"/>
        <w:bottom w:val="none" w:sz="0" w:space="0" w:color="auto"/>
        <w:right w:val="none" w:sz="0" w:space="0" w:color="auto"/>
      </w:divBdr>
    </w:div>
    <w:div w:id="692998499">
      <w:bodyDiv w:val="1"/>
      <w:marLeft w:val="0"/>
      <w:marRight w:val="0"/>
      <w:marTop w:val="0"/>
      <w:marBottom w:val="0"/>
      <w:divBdr>
        <w:top w:val="none" w:sz="0" w:space="0" w:color="auto"/>
        <w:left w:val="none" w:sz="0" w:space="0" w:color="auto"/>
        <w:bottom w:val="none" w:sz="0" w:space="0" w:color="auto"/>
        <w:right w:val="none" w:sz="0" w:space="0" w:color="auto"/>
      </w:divBdr>
    </w:div>
    <w:div w:id="710614645">
      <w:bodyDiv w:val="1"/>
      <w:marLeft w:val="0"/>
      <w:marRight w:val="0"/>
      <w:marTop w:val="0"/>
      <w:marBottom w:val="0"/>
      <w:divBdr>
        <w:top w:val="none" w:sz="0" w:space="0" w:color="auto"/>
        <w:left w:val="none" w:sz="0" w:space="0" w:color="auto"/>
        <w:bottom w:val="none" w:sz="0" w:space="0" w:color="auto"/>
        <w:right w:val="none" w:sz="0" w:space="0" w:color="auto"/>
      </w:divBdr>
    </w:div>
    <w:div w:id="770511912">
      <w:bodyDiv w:val="1"/>
      <w:marLeft w:val="0"/>
      <w:marRight w:val="0"/>
      <w:marTop w:val="0"/>
      <w:marBottom w:val="0"/>
      <w:divBdr>
        <w:top w:val="none" w:sz="0" w:space="0" w:color="auto"/>
        <w:left w:val="none" w:sz="0" w:space="0" w:color="auto"/>
        <w:bottom w:val="none" w:sz="0" w:space="0" w:color="auto"/>
        <w:right w:val="none" w:sz="0" w:space="0" w:color="auto"/>
      </w:divBdr>
      <w:divsChild>
        <w:div w:id="412967504">
          <w:marLeft w:val="0"/>
          <w:marRight w:val="0"/>
          <w:marTop w:val="100"/>
          <w:marBottom w:val="100"/>
          <w:divBdr>
            <w:top w:val="none" w:sz="0" w:space="0" w:color="auto"/>
            <w:left w:val="none" w:sz="0" w:space="0" w:color="auto"/>
            <w:bottom w:val="none" w:sz="0" w:space="0" w:color="auto"/>
            <w:right w:val="none" w:sz="0" w:space="0" w:color="auto"/>
          </w:divBdr>
          <w:divsChild>
            <w:div w:id="1572810189">
              <w:marLeft w:val="0"/>
              <w:marRight w:val="0"/>
              <w:marTop w:val="0"/>
              <w:marBottom w:val="0"/>
              <w:divBdr>
                <w:top w:val="none" w:sz="0" w:space="0" w:color="auto"/>
                <w:left w:val="single" w:sz="18" w:space="0" w:color="EDEDED"/>
                <w:bottom w:val="single" w:sz="18" w:space="0" w:color="EDEDED"/>
                <w:right w:val="single" w:sz="18" w:space="0" w:color="EDEDED"/>
              </w:divBdr>
              <w:divsChild>
                <w:div w:id="1813332425">
                  <w:marLeft w:val="0"/>
                  <w:marRight w:val="0"/>
                  <w:marTop w:val="0"/>
                  <w:marBottom w:val="0"/>
                  <w:divBdr>
                    <w:top w:val="none" w:sz="0" w:space="0" w:color="auto"/>
                    <w:left w:val="none" w:sz="0" w:space="0" w:color="auto"/>
                    <w:bottom w:val="none" w:sz="0" w:space="0" w:color="auto"/>
                    <w:right w:val="none" w:sz="0" w:space="0" w:color="auto"/>
                  </w:divBdr>
                  <w:divsChild>
                    <w:div w:id="1913539118">
                      <w:marLeft w:val="0"/>
                      <w:marRight w:val="0"/>
                      <w:marTop w:val="0"/>
                      <w:marBottom w:val="360"/>
                      <w:divBdr>
                        <w:top w:val="none" w:sz="0" w:space="0" w:color="auto"/>
                        <w:left w:val="none" w:sz="0" w:space="0" w:color="auto"/>
                        <w:bottom w:val="none" w:sz="0" w:space="0" w:color="auto"/>
                        <w:right w:val="none" w:sz="0" w:space="0" w:color="auto"/>
                      </w:divBdr>
                      <w:divsChild>
                        <w:div w:id="6903767">
                          <w:marLeft w:val="0"/>
                          <w:marRight w:val="0"/>
                          <w:marTop w:val="0"/>
                          <w:marBottom w:val="0"/>
                          <w:divBdr>
                            <w:top w:val="none" w:sz="0" w:space="0" w:color="auto"/>
                            <w:left w:val="none" w:sz="0" w:space="0" w:color="auto"/>
                            <w:bottom w:val="none" w:sz="0" w:space="0" w:color="auto"/>
                            <w:right w:val="none" w:sz="0" w:space="0" w:color="auto"/>
                          </w:divBdr>
                          <w:divsChild>
                            <w:div w:id="1449200450">
                              <w:marLeft w:val="0"/>
                              <w:marRight w:val="0"/>
                              <w:marTop w:val="0"/>
                              <w:marBottom w:val="0"/>
                              <w:divBdr>
                                <w:top w:val="none" w:sz="0" w:space="0" w:color="auto"/>
                                <w:left w:val="none" w:sz="0" w:space="0" w:color="auto"/>
                                <w:bottom w:val="none" w:sz="0" w:space="0" w:color="auto"/>
                                <w:right w:val="none" w:sz="0" w:space="0" w:color="auto"/>
                              </w:divBdr>
                              <w:divsChild>
                                <w:div w:id="108784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067453">
      <w:bodyDiv w:val="1"/>
      <w:marLeft w:val="0"/>
      <w:marRight w:val="0"/>
      <w:marTop w:val="0"/>
      <w:marBottom w:val="0"/>
      <w:divBdr>
        <w:top w:val="none" w:sz="0" w:space="0" w:color="auto"/>
        <w:left w:val="none" w:sz="0" w:space="0" w:color="auto"/>
        <w:bottom w:val="none" w:sz="0" w:space="0" w:color="auto"/>
        <w:right w:val="none" w:sz="0" w:space="0" w:color="auto"/>
      </w:divBdr>
    </w:div>
    <w:div w:id="815413424">
      <w:bodyDiv w:val="1"/>
      <w:marLeft w:val="0"/>
      <w:marRight w:val="0"/>
      <w:marTop w:val="0"/>
      <w:marBottom w:val="0"/>
      <w:divBdr>
        <w:top w:val="none" w:sz="0" w:space="0" w:color="auto"/>
        <w:left w:val="none" w:sz="0" w:space="0" w:color="auto"/>
        <w:bottom w:val="none" w:sz="0" w:space="0" w:color="auto"/>
        <w:right w:val="none" w:sz="0" w:space="0" w:color="auto"/>
      </w:divBdr>
    </w:div>
    <w:div w:id="830022758">
      <w:bodyDiv w:val="1"/>
      <w:marLeft w:val="0"/>
      <w:marRight w:val="0"/>
      <w:marTop w:val="0"/>
      <w:marBottom w:val="0"/>
      <w:divBdr>
        <w:top w:val="none" w:sz="0" w:space="0" w:color="auto"/>
        <w:left w:val="none" w:sz="0" w:space="0" w:color="auto"/>
        <w:bottom w:val="none" w:sz="0" w:space="0" w:color="auto"/>
        <w:right w:val="none" w:sz="0" w:space="0" w:color="auto"/>
      </w:divBdr>
    </w:div>
    <w:div w:id="840121473">
      <w:bodyDiv w:val="1"/>
      <w:marLeft w:val="0"/>
      <w:marRight w:val="0"/>
      <w:marTop w:val="0"/>
      <w:marBottom w:val="0"/>
      <w:divBdr>
        <w:top w:val="none" w:sz="0" w:space="0" w:color="auto"/>
        <w:left w:val="none" w:sz="0" w:space="0" w:color="auto"/>
        <w:bottom w:val="none" w:sz="0" w:space="0" w:color="auto"/>
        <w:right w:val="none" w:sz="0" w:space="0" w:color="auto"/>
      </w:divBdr>
    </w:div>
    <w:div w:id="858735487">
      <w:bodyDiv w:val="1"/>
      <w:marLeft w:val="0"/>
      <w:marRight w:val="0"/>
      <w:marTop w:val="0"/>
      <w:marBottom w:val="0"/>
      <w:divBdr>
        <w:top w:val="none" w:sz="0" w:space="0" w:color="auto"/>
        <w:left w:val="none" w:sz="0" w:space="0" w:color="auto"/>
        <w:bottom w:val="none" w:sz="0" w:space="0" w:color="auto"/>
        <w:right w:val="none" w:sz="0" w:space="0" w:color="auto"/>
      </w:divBdr>
    </w:div>
    <w:div w:id="875653586">
      <w:bodyDiv w:val="1"/>
      <w:marLeft w:val="0"/>
      <w:marRight w:val="0"/>
      <w:marTop w:val="0"/>
      <w:marBottom w:val="0"/>
      <w:divBdr>
        <w:top w:val="none" w:sz="0" w:space="0" w:color="auto"/>
        <w:left w:val="none" w:sz="0" w:space="0" w:color="auto"/>
        <w:bottom w:val="none" w:sz="0" w:space="0" w:color="auto"/>
        <w:right w:val="none" w:sz="0" w:space="0" w:color="auto"/>
      </w:divBdr>
    </w:div>
    <w:div w:id="916675077">
      <w:bodyDiv w:val="1"/>
      <w:marLeft w:val="0"/>
      <w:marRight w:val="0"/>
      <w:marTop w:val="0"/>
      <w:marBottom w:val="0"/>
      <w:divBdr>
        <w:top w:val="none" w:sz="0" w:space="0" w:color="auto"/>
        <w:left w:val="none" w:sz="0" w:space="0" w:color="auto"/>
        <w:bottom w:val="none" w:sz="0" w:space="0" w:color="auto"/>
        <w:right w:val="none" w:sz="0" w:space="0" w:color="auto"/>
      </w:divBdr>
    </w:div>
    <w:div w:id="920456107">
      <w:bodyDiv w:val="1"/>
      <w:marLeft w:val="0"/>
      <w:marRight w:val="0"/>
      <w:marTop w:val="0"/>
      <w:marBottom w:val="0"/>
      <w:divBdr>
        <w:top w:val="none" w:sz="0" w:space="0" w:color="auto"/>
        <w:left w:val="none" w:sz="0" w:space="0" w:color="auto"/>
        <w:bottom w:val="none" w:sz="0" w:space="0" w:color="auto"/>
        <w:right w:val="none" w:sz="0" w:space="0" w:color="auto"/>
      </w:divBdr>
    </w:div>
    <w:div w:id="981546311">
      <w:bodyDiv w:val="1"/>
      <w:marLeft w:val="0"/>
      <w:marRight w:val="0"/>
      <w:marTop w:val="0"/>
      <w:marBottom w:val="0"/>
      <w:divBdr>
        <w:top w:val="none" w:sz="0" w:space="0" w:color="auto"/>
        <w:left w:val="none" w:sz="0" w:space="0" w:color="auto"/>
        <w:bottom w:val="none" w:sz="0" w:space="0" w:color="auto"/>
        <w:right w:val="none" w:sz="0" w:space="0" w:color="auto"/>
      </w:divBdr>
      <w:divsChild>
        <w:div w:id="1522085853">
          <w:marLeft w:val="0"/>
          <w:marRight w:val="0"/>
          <w:marTop w:val="0"/>
          <w:marBottom w:val="0"/>
          <w:divBdr>
            <w:top w:val="none" w:sz="0" w:space="0" w:color="auto"/>
            <w:left w:val="none" w:sz="0" w:space="0" w:color="auto"/>
            <w:bottom w:val="none" w:sz="0" w:space="0" w:color="auto"/>
            <w:right w:val="none" w:sz="0" w:space="0" w:color="auto"/>
          </w:divBdr>
          <w:divsChild>
            <w:div w:id="1519156435">
              <w:marLeft w:val="0"/>
              <w:marRight w:val="0"/>
              <w:marTop w:val="0"/>
              <w:marBottom w:val="0"/>
              <w:divBdr>
                <w:top w:val="none" w:sz="0" w:space="0" w:color="auto"/>
                <w:left w:val="none" w:sz="0" w:space="0" w:color="auto"/>
                <w:bottom w:val="none" w:sz="0" w:space="0" w:color="auto"/>
                <w:right w:val="none" w:sz="0" w:space="0" w:color="auto"/>
              </w:divBdr>
              <w:divsChild>
                <w:div w:id="580407144">
                  <w:marLeft w:val="0"/>
                  <w:marRight w:val="0"/>
                  <w:marTop w:val="0"/>
                  <w:marBottom w:val="0"/>
                  <w:divBdr>
                    <w:top w:val="none" w:sz="0" w:space="0" w:color="auto"/>
                    <w:left w:val="none" w:sz="0" w:space="0" w:color="auto"/>
                    <w:bottom w:val="none" w:sz="0" w:space="0" w:color="auto"/>
                    <w:right w:val="none" w:sz="0" w:space="0" w:color="auto"/>
                  </w:divBdr>
                </w:div>
                <w:div w:id="1257403753">
                  <w:marLeft w:val="0"/>
                  <w:marRight w:val="0"/>
                  <w:marTop w:val="0"/>
                  <w:marBottom w:val="0"/>
                  <w:divBdr>
                    <w:top w:val="none" w:sz="0" w:space="0" w:color="auto"/>
                    <w:left w:val="none" w:sz="0" w:space="0" w:color="auto"/>
                    <w:bottom w:val="none" w:sz="0" w:space="0" w:color="auto"/>
                    <w:right w:val="none" w:sz="0" w:space="0" w:color="auto"/>
                  </w:divBdr>
                </w:div>
                <w:div w:id="1539010037">
                  <w:marLeft w:val="0"/>
                  <w:marRight w:val="0"/>
                  <w:marTop w:val="0"/>
                  <w:marBottom w:val="0"/>
                  <w:divBdr>
                    <w:top w:val="none" w:sz="0" w:space="0" w:color="auto"/>
                    <w:left w:val="none" w:sz="0" w:space="0" w:color="auto"/>
                    <w:bottom w:val="none" w:sz="0" w:space="0" w:color="auto"/>
                    <w:right w:val="none" w:sz="0" w:space="0" w:color="auto"/>
                  </w:divBdr>
                </w:div>
                <w:div w:id="1751851550">
                  <w:marLeft w:val="0"/>
                  <w:marRight w:val="0"/>
                  <w:marTop w:val="0"/>
                  <w:marBottom w:val="0"/>
                  <w:divBdr>
                    <w:top w:val="none" w:sz="0" w:space="0" w:color="auto"/>
                    <w:left w:val="none" w:sz="0" w:space="0" w:color="auto"/>
                    <w:bottom w:val="none" w:sz="0" w:space="0" w:color="auto"/>
                    <w:right w:val="none" w:sz="0" w:space="0" w:color="auto"/>
                  </w:divBdr>
                </w:div>
                <w:div w:id="1757288161">
                  <w:marLeft w:val="0"/>
                  <w:marRight w:val="0"/>
                  <w:marTop w:val="0"/>
                  <w:marBottom w:val="0"/>
                  <w:divBdr>
                    <w:top w:val="none" w:sz="0" w:space="0" w:color="auto"/>
                    <w:left w:val="none" w:sz="0" w:space="0" w:color="auto"/>
                    <w:bottom w:val="none" w:sz="0" w:space="0" w:color="auto"/>
                    <w:right w:val="none" w:sz="0" w:space="0" w:color="auto"/>
                  </w:divBdr>
                </w:div>
                <w:div w:id="1988583781">
                  <w:marLeft w:val="0"/>
                  <w:marRight w:val="0"/>
                  <w:marTop w:val="0"/>
                  <w:marBottom w:val="0"/>
                  <w:divBdr>
                    <w:top w:val="none" w:sz="0" w:space="0" w:color="auto"/>
                    <w:left w:val="none" w:sz="0" w:space="0" w:color="auto"/>
                    <w:bottom w:val="none" w:sz="0" w:space="0" w:color="auto"/>
                    <w:right w:val="none" w:sz="0" w:space="0" w:color="auto"/>
                  </w:divBdr>
                </w:div>
                <w:div w:id="2028368061">
                  <w:marLeft w:val="0"/>
                  <w:marRight w:val="0"/>
                  <w:marTop w:val="0"/>
                  <w:marBottom w:val="0"/>
                  <w:divBdr>
                    <w:top w:val="none" w:sz="0" w:space="0" w:color="auto"/>
                    <w:left w:val="none" w:sz="0" w:space="0" w:color="auto"/>
                    <w:bottom w:val="none" w:sz="0" w:space="0" w:color="auto"/>
                    <w:right w:val="none" w:sz="0" w:space="0" w:color="auto"/>
                  </w:divBdr>
                </w:div>
                <w:div w:id="213301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0185">
      <w:bodyDiv w:val="1"/>
      <w:marLeft w:val="0"/>
      <w:marRight w:val="0"/>
      <w:marTop w:val="0"/>
      <w:marBottom w:val="0"/>
      <w:divBdr>
        <w:top w:val="none" w:sz="0" w:space="0" w:color="auto"/>
        <w:left w:val="none" w:sz="0" w:space="0" w:color="auto"/>
        <w:bottom w:val="none" w:sz="0" w:space="0" w:color="auto"/>
        <w:right w:val="none" w:sz="0" w:space="0" w:color="auto"/>
      </w:divBdr>
    </w:div>
    <w:div w:id="1038311411">
      <w:bodyDiv w:val="1"/>
      <w:marLeft w:val="0"/>
      <w:marRight w:val="0"/>
      <w:marTop w:val="0"/>
      <w:marBottom w:val="0"/>
      <w:divBdr>
        <w:top w:val="none" w:sz="0" w:space="0" w:color="auto"/>
        <w:left w:val="none" w:sz="0" w:space="0" w:color="auto"/>
        <w:bottom w:val="none" w:sz="0" w:space="0" w:color="auto"/>
        <w:right w:val="none" w:sz="0" w:space="0" w:color="auto"/>
      </w:divBdr>
    </w:div>
    <w:div w:id="1050812135">
      <w:bodyDiv w:val="1"/>
      <w:marLeft w:val="0"/>
      <w:marRight w:val="0"/>
      <w:marTop w:val="0"/>
      <w:marBottom w:val="0"/>
      <w:divBdr>
        <w:top w:val="none" w:sz="0" w:space="0" w:color="auto"/>
        <w:left w:val="none" w:sz="0" w:space="0" w:color="auto"/>
        <w:bottom w:val="none" w:sz="0" w:space="0" w:color="auto"/>
        <w:right w:val="none" w:sz="0" w:space="0" w:color="auto"/>
      </w:divBdr>
    </w:div>
    <w:div w:id="1058554627">
      <w:bodyDiv w:val="1"/>
      <w:marLeft w:val="0"/>
      <w:marRight w:val="0"/>
      <w:marTop w:val="0"/>
      <w:marBottom w:val="0"/>
      <w:divBdr>
        <w:top w:val="none" w:sz="0" w:space="0" w:color="auto"/>
        <w:left w:val="none" w:sz="0" w:space="0" w:color="auto"/>
        <w:bottom w:val="none" w:sz="0" w:space="0" w:color="auto"/>
        <w:right w:val="none" w:sz="0" w:space="0" w:color="auto"/>
      </w:divBdr>
    </w:div>
    <w:div w:id="1125924389">
      <w:bodyDiv w:val="1"/>
      <w:marLeft w:val="0"/>
      <w:marRight w:val="0"/>
      <w:marTop w:val="0"/>
      <w:marBottom w:val="0"/>
      <w:divBdr>
        <w:top w:val="none" w:sz="0" w:space="0" w:color="auto"/>
        <w:left w:val="none" w:sz="0" w:space="0" w:color="auto"/>
        <w:bottom w:val="none" w:sz="0" w:space="0" w:color="auto"/>
        <w:right w:val="none" w:sz="0" w:space="0" w:color="auto"/>
      </w:divBdr>
      <w:divsChild>
        <w:div w:id="1162965098">
          <w:marLeft w:val="0"/>
          <w:marRight w:val="0"/>
          <w:marTop w:val="0"/>
          <w:marBottom w:val="0"/>
          <w:divBdr>
            <w:top w:val="none" w:sz="0" w:space="0" w:color="auto"/>
            <w:left w:val="none" w:sz="0" w:space="0" w:color="auto"/>
            <w:bottom w:val="none" w:sz="0" w:space="0" w:color="auto"/>
            <w:right w:val="none" w:sz="0" w:space="0" w:color="auto"/>
          </w:divBdr>
          <w:divsChild>
            <w:div w:id="1072502133">
              <w:marLeft w:val="0"/>
              <w:marRight w:val="0"/>
              <w:marTop w:val="0"/>
              <w:marBottom w:val="0"/>
              <w:divBdr>
                <w:top w:val="none" w:sz="0" w:space="0" w:color="auto"/>
                <w:left w:val="none" w:sz="0" w:space="0" w:color="auto"/>
                <w:bottom w:val="none" w:sz="0" w:space="0" w:color="auto"/>
                <w:right w:val="none" w:sz="0" w:space="0" w:color="auto"/>
              </w:divBdr>
              <w:divsChild>
                <w:div w:id="2107185622">
                  <w:marLeft w:val="0"/>
                  <w:marRight w:val="0"/>
                  <w:marTop w:val="0"/>
                  <w:marBottom w:val="0"/>
                  <w:divBdr>
                    <w:top w:val="none" w:sz="0" w:space="0" w:color="auto"/>
                    <w:left w:val="none" w:sz="0" w:space="0" w:color="auto"/>
                    <w:bottom w:val="none" w:sz="0" w:space="0" w:color="auto"/>
                    <w:right w:val="none" w:sz="0" w:space="0" w:color="auto"/>
                  </w:divBdr>
                  <w:divsChild>
                    <w:div w:id="437606823">
                      <w:marLeft w:val="0"/>
                      <w:marRight w:val="0"/>
                      <w:marTop w:val="0"/>
                      <w:marBottom w:val="0"/>
                      <w:divBdr>
                        <w:top w:val="none" w:sz="0" w:space="0" w:color="auto"/>
                        <w:left w:val="none" w:sz="0" w:space="0" w:color="auto"/>
                        <w:bottom w:val="none" w:sz="0" w:space="0" w:color="auto"/>
                        <w:right w:val="none" w:sz="0" w:space="0" w:color="auto"/>
                      </w:divBdr>
                      <w:divsChild>
                        <w:div w:id="366375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403317">
      <w:bodyDiv w:val="1"/>
      <w:marLeft w:val="0"/>
      <w:marRight w:val="0"/>
      <w:marTop w:val="0"/>
      <w:marBottom w:val="0"/>
      <w:divBdr>
        <w:top w:val="none" w:sz="0" w:space="0" w:color="auto"/>
        <w:left w:val="none" w:sz="0" w:space="0" w:color="auto"/>
        <w:bottom w:val="none" w:sz="0" w:space="0" w:color="auto"/>
        <w:right w:val="none" w:sz="0" w:space="0" w:color="auto"/>
      </w:divBdr>
      <w:divsChild>
        <w:div w:id="2146501651">
          <w:marLeft w:val="0"/>
          <w:marRight w:val="0"/>
          <w:marTop w:val="0"/>
          <w:marBottom w:val="0"/>
          <w:divBdr>
            <w:top w:val="none" w:sz="0" w:space="0" w:color="auto"/>
            <w:left w:val="none" w:sz="0" w:space="0" w:color="auto"/>
            <w:bottom w:val="none" w:sz="0" w:space="0" w:color="auto"/>
            <w:right w:val="none" w:sz="0" w:space="0" w:color="auto"/>
          </w:divBdr>
          <w:divsChild>
            <w:div w:id="2024087804">
              <w:marLeft w:val="0"/>
              <w:marRight w:val="0"/>
              <w:marTop w:val="0"/>
              <w:marBottom w:val="0"/>
              <w:divBdr>
                <w:top w:val="none" w:sz="0" w:space="0" w:color="auto"/>
                <w:left w:val="none" w:sz="0" w:space="0" w:color="auto"/>
                <w:bottom w:val="none" w:sz="0" w:space="0" w:color="auto"/>
                <w:right w:val="none" w:sz="0" w:space="0" w:color="auto"/>
              </w:divBdr>
              <w:divsChild>
                <w:div w:id="663778762">
                  <w:marLeft w:val="0"/>
                  <w:marRight w:val="0"/>
                  <w:marTop w:val="0"/>
                  <w:marBottom w:val="0"/>
                  <w:divBdr>
                    <w:top w:val="none" w:sz="0" w:space="0" w:color="auto"/>
                    <w:left w:val="none" w:sz="0" w:space="0" w:color="auto"/>
                    <w:bottom w:val="none" w:sz="0" w:space="0" w:color="auto"/>
                    <w:right w:val="none" w:sz="0" w:space="0" w:color="auto"/>
                  </w:divBdr>
                  <w:divsChild>
                    <w:div w:id="548421124">
                      <w:marLeft w:val="0"/>
                      <w:marRight w:val="0"/>
                      <w:marTop w:val="0"/>
                      <w:marBottom w:val="0"/>
                      <w:divBdr>
                        <w:top w:val="none" w:sz="0" w:space="0" w:color="auto"/>
                        <w:left w:val="none" w:sz="0" w:space="0" w:color="auto"/>
                        <w:bottom w:val="none" w:sz="0" w:space="0" w:color="auto"/>
                        <w:right w:val="none" w:sz="0" w:space="0" w:color="auto"/>
                      </w:divBdr>
                      <w:divsChild>
                        <w:div w:id="1586265071">
                          <w:marLeft w:val="0"/>
                          <w:marRight w:val="0"/>
                          <w:marTop w:val="0"/>
                          <w:marBottom w:val="0"/>
                          <w:divBdr>
                            <w:top w:val="none" w:sz="0" w:space="0" w:color="auto"/>
                            <w:left w:val="none" w:sz="0" w:space="0" w:color="auto"/>
                            <w:bottom w:val="none" w:sz="0" w:space="0" w:color="auto"/>
                            <w:right w:val="none" w:sz="0" w:space="0" w:color="auto"/>
                          </w:divBdr>
                          <w:divsChild>
                            <w:div w:id="1730568965">
                              <w:marLeft w:val="0"/>
                              <w:marRight w:val="0"/>
                              <w:marTop w:val="0"/>
                              <w:marBottom w:val="0"/>
                              <w:divBdr>
                                <w:top w:val="none" w:sz="0" w:space="0" w:color="auto"/>
                                <w:left w:val="none" w:sz="0" w:space="0" w:color="auto"/>
                                <w:bottom w:val="none" w:sz="0" w:space="0" w:color="auto"/>
                                <w:right w:val="none" w:sz="0" w:space="0" w:color="auto"/>
                              </w:divBdr>
                              <w:divsChild>
                                <w:div w:id="494953168">
                                  <w:marLeft w:val="0"/>
                                  <w:marRight w:val="0"/>
                                  <w:marTop w:val="0"/>
                                  <w:marBottom w:val="0"/>
                                  <w:divBdr>
                                    <w:top w:val="none" w:sz="0" w:space="0" w:color="auto"/>
                                    <w:left w:val="none" w:sz="0" w:space="0" w:color="auto"/>
                                    <w:bottom w:val="none" w:sz="0" w:space="0" w:color="auto"/>
                                    <w:right w:val="none" w:sz="0" w:space="0" w:color="auto"/>
                                  </w:divBdr>
                                  <w:divsChild>
                                    <w:div w:id="1164005212">
                                      <w:marLeft w:val="0"/>
                                      <w:marRight w:val="0"/>
                                      <w:marTop w:val="0"/>
                                      <w:marBottom w:val="0"/>
                                      <w:divBdr>
                                        <w:top w:val="none" w:sz="0" w:space="0" w:color="auto"/>
                                        <w:left w:val="none" w:sz="0" w:space="0" w:color="auto"/>
                                        <w:bottom w:val="none" w:sz="0" w:space="0" w:color="auto"/>
                                        <w:right w:val="none" w:sz="0" w:space="0" w:color="auto"/>
                                      </w:divBdr>
                                      <w:divsChild>
                                        <w:div w:id="1539270355">
                                          <w:marLeft w:val="0"/>
                                          <w:marRight w:val="0"/>
                                          <w:marTop w:val="0"/>
                                          <w:marBottom w:val="0"/>
                                          <w:divBdr>
                                            <w:top w:val="none" w:sz="0" w:space="0" w:color="auto"/>
                                            <w:left w:val="none" w:sz="0" w:space="0" w:color="auto"/>
                                            <w:bottom w:val="none" w:sz="0" w:space="0" w:color="auto"/>
                                            <w:right w:val="none" w:sz="0" w:space="0" w:color="auto"/>
                                          </w:divBdr>
                                          <w:divsChild>
                                            <w:div w:id="316498213">
                                              <w:marLeft w:val="0"/>
                                              <w:marRight w:val="0"/>
                                              <w:marTop w:val="0"/>
                                              <w:marBottom w:val="0"/>
                                              <w:divBdr>
                                                <w:top w:val="none" w:sz="0" w:space="0" w:color="auto"/>
                                                <w:left w:val="none" w:sz="0" w:space="0" w:color="auto"/>
                                                <w:bottom w:val="none" w:sz="0" w:space="0" w:color="auto"/>
                                                <w:right w:val="none" w:sz="0" w:space="0" w:color="auto"/>
                                              </w:divBdr>
                                              <w:divsChild>
                                                <w:div w:id="1630934735">
                                                  <w:marLeft w:val="0"/>
                                                  <w:marRight w:val="0"/>
                                                  <w:marTop w:val="0"/>
                                                  <w:marBottom w:val="0"/>
                                                  <w:divBdr>
                                                    <w:top w:val="none" w:sz="0" w:space="0" w:color="auto"/>
                                                    <w:left w:val="none" w:sz="0" w:space="0" w:color="auto"/>
                                                    <w:bottom w:val="none" w:sz="0" w:space="0" w:color="auto"/>
                                                    <w:right w:val="none" w:sz="0" w:space="0" w:color="auto"/>
                                                  </w:divBdr>
                                                  <w:divsChild>
                                                    <w:div w:id="738670562">
                                                      <w:marLeft w:val="0"/>
                                                      <w:marRight w:val="0"/>
                                                      <w:marTop w:val="0"/>
                                                      <w:marBottom w:val="0"/>
                                                      <w:divBdr>
                                                        <w:top w:val="none" w:sz="0" w:space="0" w:color="auto"/>
                                                        <w:left w:val="none" w:sz="0" w:space="0" w:color="auto"/>
                                                        <w:bottom w:val="none" w:sz="0" w:space="0" w:color="auto"/>
                                                        <w:right w:val="none" w:sz="0" w:space="0" w:color="auto"/>
                                                      </w:divBdr>
                                                      <w:divsChild>
                                                        <w:div w:id="1941716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8711576">
      <w:bodyDiv w:val="1"/>
      <w:marLeft w:val="0"/>
      <w:marRight w:val="0"/>
      <w:marTop w:val="0"/>
      <w:marBottom w:val="0"/>
      <w:divBdr>
        <w:top w:val="none" w:sz="0" w:space="0" w:color="auto"/>
        <w:left w:val="none" w:sz="0" w:space="0" w:color="auto"/>
        <w:bottom w:val="none" w:sz="0" w:space="0" w:color="auto"/>
        <w:right w:val="none" w:sz="0" w:space="0" w:color="auto"/>
      </w:divBdr>
    </w:div>
    <w:div w:id="1176194521">
      <w:bodyDiv w:val="1"/>
      <w:marLeft w:val="0"/>
      <w:marRight w:val="0"/>
      <w:marTop w:val="0"/>
      <w:marBottom w:val="0"/>
      <w:divBdr>
        <w:top w:val="none" w:sz="0" w:space="0" w:color="auto"/>
        <w:left w:val="none" w:sz="0" w:space="0" w:color="auto"/>
        <w:bottom w:val="none" w:sz="0" w:space="0" w:color="auto"/>
        <w:right w:val="none" w:sz="0" w:space="0" w:color="auto"/>
      </w:divBdr>
    </w:div>
    <w:div w:id="1237671158">
      <w:bodyDiv w:val="1"/>
      <w:marLeft w:val="0"/>
      <w:marRight w:val="0"/>
      <w:marTop w:val="0"/>
      <w:marBottom w:val="0"/>
      <w:divBdr>
        <w:top w:val="none" w:sz="0" w:space="0" w:color="auto"/>
        <w:left w:val="none" w:sz="0" w:space="0" w:color="auto"/>
        <w:bottom w:val="none" w:sz="0" w:space="0" w:color="auto"/>
        <w:right w:val="none" w:sz="0" w:space="0" w:color="auto"/>
      </w:divBdr>
    </w:div>
    <w:div w:id="1238252203">
      <w:bodyDiv w:val="1"/>
      <w:marLeft w:val="0"/>
      <w:marRight w:val="0"/>
      <w:marTop w:val="0"/>
      <w:marBottom w:val="0"/>
      <w:divBdr>
        <w:top w:val="none" w:sz="0" w:space="0" w:color="auto"/>
        <w:left w:val="none" w:sz="0" w:space="0" w:color="auto"/>
        <w:bottom w:val="none" w:sz="0" w:space="0" w:color="auto"/>
        <w:right w:val="none" w:sz="0" w:space="0" w:color="auto"/>
      </w:divBdr>
    </w:div>
    <w:div w:id="1274896006">
      <w:bodyDiv w:val="1"/>
      <w:marLeft w:val="0"/>
      <w:marRight w:val="0"/>
      <w:marTop w:val="0"/>
      <w:marBottom w:val="0"/>
      <w:divBdr>
        <w:top w:val="none" w:sz="0" w:space="0" w:color="auto"/>
        <w:left w:val="none" w:sz="0" w:space="0" w:color="auto"/>
        <w:bottom w:val="none" w:sz="0" w:space="0" w:color="auto"/>
        <w:right w:val="none" w:sz="0" w:space="0" w:color="auto"/>
      </w:divBdr>
    </w:div>
    <w:div w:id="1275136842">
      <w:bodyDiv w:val="1"/>
      <w:marLeft w:val="0"/>
      <w:marRight w:val="0"/>
      <w:marTop w:val="0"/>
      <w:marBottom w:val="0"/>
      <w:divBdr>
        <w:top w:val="none" w:sz="0" w:space="0" w:color="auto"/>
        <w:left w:val="none" w:sz="0" w:space="0" w:color="auto"/>
        <w:bottom w:val="none" w:sz="0" w:space="0" w:color="auto"/>
        <w:right w:val="none" w:sz="0" w:space="0" w:color="auto"/>
      </w:divBdr>
    </w:div>
    <w:div w:id="1287543905">
      <w:bodyDiv w:val="1"/>
      <w:marLeft w:val="0"/>
      <w:marRight w:val="0"/>
      <w:marTop w:val="0"/>
      <w:marBottom w:val="0"/>
      <w:divBdr>
        <w:top w:val="none" w:sz="0" w:space="0" w:color="auto"/>
        <w:left w:val="none" w:sz="0" w:space="0" w:color="auto"/>
        <w:bottom w:val="none" w:sz="0" w:space="0" w:color="auto"/>
        <w:right w:val="none" w:sz="0" w:space="0" w:color="auto"/>
      </w:divBdr>
    </w:div>
    <w:div w:id="1304389520">
      <w:bodyDiv w:val="1"/>
      <w:marLeft w:val="0"/>
      <w:marRight w:val="0"/>
      <w:marTop w:val="0"/>
      <w:marBottom w:val="0"/>
      <w:divBdr>
        <w:top w:val="none" w:sz="0" w:space="0" w:color="auto"/>
        <w:left w:val="none" w:sz="0" w:space="0" w:color="auto"/>
        <w:bottom w:val="none" w:sz="0" w:space="0" w:color="auto"/>
        <w:right w:val="none" w:sz="0" w:space="0" w:color="auto"/>
      </w:divBdr>
    </w:div>
    <w:div w:id="1373727754">
      <w:bodyDiv w:val="1"/>
      <w:marLeft w:val="0"/>
      <w:marRight w:val="0"/>
      <w:marTop w:val="0"/>
      <w:marBottom w:val="0"/>
      <w:divBdr>
        <w:top w:val="none" w:sz="0" w:space="0" w:color="auto"/>
        <w:left w:val="none" w:sz="0" w:space="0" w:color="auto"/>
        <w:bottom w:val="none" w:sz="0" w:space="0" w:color="auto"/>
        <w:right w:val="none" w:sz="0" w:space="0" w:color="auto"/>
      </w:divBdr>
    </w:div>
    <w:div w:id="1408961931">
      <w:bodyDiv w:val="1"/>
      <w:marLeft w:val="0"/>
      <w:marRight w:val="0"/>
      <w:marTop w:val="0"/>
      <w:marBottom w:val="0"/>
      <w:divBdr>
        <w:top w:val="none" w:sz="0" w:space="0" w:color="auto"/>
        <w:left w:val="none" w:sz="0" w:space="0" w:color="auto"/>
        <w:bottom w:val="none" w:sz="0" w:space="0" w:color="auto"/>
        <w:right w:val="none" w:sz="0" w:space="0" w:color="auto"/>
      </w:divBdr>
    </w:div>
    <w:div w:id="1487816173">
      <w:bodyDiv w:val="1"/>
      <w:marLeft w:val="0"/>
      <w:marRight w:val="0"/>
      <w:marTop w:val="0"/>
      <w:marBottom w:val="0"/>
      <w:divBdr>
        <w:top w:val="none" w:sz="0" w:space="0" w:color="auto"/>
        <w:left w:val="none" w:sz="0" w:space="0" w:color="auto"/>
        <w:bottom w:val="none" w:sz="0" w:space="0" w:color="auto"/>
        <w:right w:val="none" w:sz="0" w:space="0" w:color="auto"/>
      </w:divBdr>
    </w:div>
    <w:div w:id="1542329437">
      <w:bodyDiv w:val="1"/>
      <w:marLeft w:val="0"/>
      <w:marRight w:val="0"/>
      <w:marTop w:val="0"/>
      <w:marBottom w:val="0"/>
      <w:divBdr>
        <w:top w:val="none" w:sz="0" w:space="0" w:color="auto"/>
        <w:left w:val="none" w:sz="0" w:space="0" w:color="auto"/>
        <w:bottom w:val="none" w:sz="0" w:space="0" w:color="auto"/>
        <w:right w:val="none" w:sz="0" w:space="0" w:color="auto"/>
      </w:divBdr>
    </w:div>
    <w:div w:id="1599175460">
      <w:bodyDiv w:val="1"/>
      <w:marLeft w:val="0"/>
      <w:marRight w:val="0"/>
      <w:marTop w:val="0"/>
      <w:marBottom w:val="0"/>
      <w:divBdr>
        <w:top w:val="none" w:sz="0" w:space="0" w:color="auto"/>
        <w:left w:val="none" w:sz="0" w:space="0" w:color="auto"/>
        <w:bottom w:val="none" w:sz="0" w:space="0" w:color="auto"/>
        <w:right w:val="none" w:sz="0" w:space="0" w:color="auto"/>
      </w:divBdr>
    </w:div>
    <w:div w:id="1656491756">
      <w:bodyDiv w:val="1"/>
      <w:marLeft w:val="0"/>
      <w:marRight w:val="0"/>
      <w:marTop w:val="0"/>
      <w:marBottom w:val="0"/>
      <w:divBdr>
        <w:top w:val="none" w:sz="0" w:space="0" w:color="auto"/>
        <w:left w:val="none" w:sz="0" w:space="0" w:color="auto"/>
        <w:bottom w:val="none" w:sz="0" w:space="0" w:color="auto"/>
        <w:right w:val="none" w:sz="0" w:space="0" w:color="auto"/>
      </w:divBdr>
    </w:div>
    <w:div w:id="1669094078">
      <w:bodyDiv w:val="1"/>
      <w:marLeft w:val="0"/>
      <w:marRight w:val="0"/>
      <w:marTop w:val="0"/>
      <w:marBottom w:val="0"/>
      <w:divBdr>
        <w:top w:val="none" w:sz="0" w:space="0" w:color="auto"/>
        <w:left w:val="none" w:sz="0" w:space="0" w:color="auto"/>
        <w:bottom w:val="none" w:sz="0" w:space="0" w:color="auto"/>
        <w:right w:val="none" w:sz="0" w:space="0" w:color="auto"/>
      </w:divBdr>
    </w:div>
    <w:div w:id="1678847480">
      <w:bodyDiv w:val="1"/>
      <w:marLeft w:val="0"/>
      <w:marRight w:val="0"/>
      <w:marTop w:val="0"/>
      <w:marBottom w:val="0"/>
      <w:divBdr>
        <w:top w:val="none" w:sz="0" w:space="0" w:color="auto"/>
        <w:left w:val="none" w:sz="0" w:space="0" w:color="auto"/>
        <w:bottom w:val="none" w:sz="0" w:space="0" w:color="auto"/>
        <w:right w:val="none" w:sz="0" w:space="0" w:color="auto"/>
      </w:divBdr>
    </w:div>
    <w:div w:id="1686983834">
      <w:bodyDiv w:val="1"/>
      <w:marLeft w:val="0"/>
      <w:marRight w:val="0"/>
      <w:marTop w:val="0"/>
      <w:marBottom w:val="0"/>
      <w:divBdr>
        <w:top w:val="none" w:sz="0" w:space="0" w:color="auto"/>
        <w:left w:val="none" w:sz="0" w:space="0" w:color="auto"/>
        <w:bottom w:val="none" w:sz="0" w:space="0" w:color="auto"/>
        <w:right w:val="none" w:sz="0" w:space="0" w:color="auto"/>
      </w:divBdr>
    </w:div>
    <w:div w:id="1763994095">
      <w:bodyDiv w:val="1"/>
      <w:marLeft w:val="0"/>
      <w:marRight w:val="0"/>
      <w:marTop w:val="0"/>
      <w:marBottom w:val="0"/>
      <w:divBdr>
        <w:top w:val="none" w:sz="0" w:space="0" w:color="auto"/>
        <w:left w:val="none" w:sz="0" w:space="0" w:color="auto"/>
        <w:bottom w:val="none" w:sz="0" w:space="0" w:color="auto"/>
        <w:right w:val="none" w:sz="0" w:space="0" w:color="auto"/>
      </w:divBdr>
    </w:div>
    <w:div w:id="1768891251">
      <w:bodyDiv w:val="1"/>
      <w:marLeft w:val="0"/>
      <w:marRight w:val="0"/>
      <w:marTop w:val="0"/>
      <w:marBottom w:val="0"/>
      <w:divBdr>
        <w:top w:val="none" w:sz="0" w:space="0" w:color="auto"/>
        <w:left w:val="none" w:sz="0" w:space="0" w:color="auto"/>
        <w:bottom w:val="none" w:sz="0" w:space="0" w:color="auto"/>
        <w:right w:val="none" w:sz="0" w:space="0" w:color="auto"/>
      </w:divBdr>
    </w:div>
    <w:div w:id="1770613744">
      <w:bodyDiv w:val="1"/>
      <w:marLeft w:val="0"/>
      <w:marRight w:val="0"/>
      <w:marTop w:val="0"/>
      <w:marBottom w:val="0"/>
      <w:divBdr>
        <w:top w:val="none" w:sz="0" w:space="0" w:color="auto"/>
        <w:left w:val="none" w:sz="0" w:space="0" w:color="auto"/>
        <w:bottom w:val="none" w:sz="0" w:space="0" w:color="auto"/>
        <w:right w:val="none" w:sz="0" w:space="0" w:color="auto"/>
      </w:divBdr>
    </w:div>
    <w:div w:id="1773015245">
      <w:bodyDiv w:val="1"/>
      <w:marLeft w:val="0"/>
      <w:marRight w:val="0"/>
      <w:marTop w:val="0"/>
      <w:marBottom w:val="0"/>
      <w:divBdr>
        <w:top w:val="none" w:sz="0" w:space="0" w:color="auto"/>
        <w:left w:val="none" w:sz="0" w:space="0" w:color="auto"/>
        <w:bottom w:val="none" w:sz="0" w:space="0" w:color="auto"/>
        <w:right w:val="none" w:sz="0" w:space="0" w:color="auto"/>
      </w:divBdr>
    </w:div>
    <w:div w:id="1805464406">
      <w:bodyDiv w:val="1"/>
      <w:marLeft w:val="0"/>
      <w:marRight w:val="0"/>
      <w:marTop w:val="0"/>
      <w:marBottom w:val="0"/>
      <w:divBdr>
        <w:top w:val="none" w:sz="0" w:space="0" w:color="auto"/>
        <w:left w:val="none" w:sz="0" w:space="0" w:color="auto"/>
        <w:bottom w:val="none" w:sz="0" w:space="0" w:color="auto"/>
        <w:right w:val="none" w:sz="0" w:space="0" w:color="auto"/>
      </w:divBdr>
      <w:divsChild>
        <w:div w:id="881404590">
          <w:marLeft w:val="0"/>
          <w:marRight w:val="0"/>
          <w:marTop w:val="0"/>
          <w:marBottom w:val="0"/>
          <w:divBdr>
            <w:top w:val="none" w:sz="0" w:space="0" w:color="auto"/>
            <w:left w:val="none" w:sz="0" w:space="0" w:color="auto"/>
            <w:bottom w:val="none" w:sz="0" w:space="0" w:color="auto"/>
            <w:right w:val="none" w:sz="0" w:space="0" w:color="auto"/>
          </w:divBdr>
          <w:divsChild>
            <w:div w:id="1670132023">
              <w:marLeft w:val="0"/>
              <w:marRight w:val="0"/>
              <w:marTop w:val="0"/>
              <w:marBottom w:val="0"/>
              <w:divBdr>
                <w:top w:val="none" w:sz="0" w:space="0" w:color="auto"/>
                <w:left w:val="none" w:sz="0" w:space="0" w:color="auto"/>
                <w:bottom w:val="none" w:sz="0" w:space="0" w:color="auto"/>
                <w:right w:val="none" w:sz="0" w:space="0" w:color="auto"/>
              </w:divBdr>
              <w:divsChild>
                <w:div w:id="115233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776357">
      <w:bodyDiv w:val="1"/>
      <w:marLeft w:val="0"/>
      <w:marRight w:val="0"/>
      <w:marTop w:val="0"/>
      <w:marBottom w:val="0"/>
      <w:divBdr>
        <w:top w:val="none" w:sz="0" w:space="0" w:color="auto"/>
        <w:left w:val="none" w:sz="0" w:space="0" w:color="auto"/>
        <w:bottom w:val="none" w:sz="0" w:space="0" w:color="auto"/>
        <w:right w:val="none" w:sz="0" w:space="0" w:color="auto"/>
      </w:divBdr>
      <w:divsChild>
        <w:div w:id="288752533">
          <w:marLeft w:val="0"/>
          <w:marRight w:val="0"/>
          <w:marTop w:val="0"/>
          <w:marBottom w:val="0"/>
          <w:divBdr>
            <w:top w:val="none" w:sz="0" w:space="0" w:color="auto"/>
            <w:left w:val="none" w:sz="0" w:space="0" w:color="auto"/>
            <w:bottom w:val="none" w:sz="0" w:space="0" w:color="auto"/>
            <w:right w:val="none" w:sz="0" w:space="0" w:color="auto"/>
          </w:divBdr>
          <w:divsChild>
            <w:div w:id="1560049065">
              <w:marLeft w:val="0"/>
              <w:marRight w:val="0"/>
              <w:marTop w:val="272"/>
              <w:marBottom w:val="0"/>
              <w:divBdr>
                <w:top w:val="none" w:sz="0" w:space="0" w:color="auto"/>
                <w:left w:val="none" w:sz="0" w:space="0" w:color="auto"/>
                <w:bottom w:val="none" w:sz="0" w:space="0" w:color="auto"/>
                <w:right w:val="none" w:sz="0" w:space="0" w:color="auto"/>
              </w:divBdr>
              <w:divsChild>
                <w:div w:id="288752312">
                  <w:marLeft w:val="163"/>
                  <w:marRight w:val="0"/>
                  <w:marTop w:val="0"/>
                  <w:marBottom w:val="0"/>
                  <w:divBdr>
                    <w:top w:val="none" w:sz="0" w:space="0" w:color="auto"/>
                    <w:left w:val="none" w:sz="0" w:space="0" w:color="auto"/>
                    <w:bottom w:val="none" w:sz="0" w:space="0" w:color="auto"/>
                    <w:right w:val="none" w:sz="0" w:space="0" w:color="auto"/>
                  </w:divBdr>
                  <w:divsChild>
                    <w:div w:id="1347292685">
                      <w:marLeft w:val="0"/>
                      <w:marRight w:val="0"/>
                      <w:marTop w:val="0"/>
                      <w:marBottom w:val="0"/>
                      <w:divBdr>
                        <w:top w:val="none" w:sz="0" w:space="0" w:color="auto"/>
                        <w:left w:val="none" w:sz="0" w:space="0" w:color="auto"/>
                        <w:bottom w:val="none" w:sz="0" w:space="0" w:color="auto"/>
                        <w:right w:val="none" w:sz="0" w:space="0" w:color="auto"/>
                      </w:divBdr>
                      <w:divsChild>
                        <w:div w:id="189196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1237623">
      <w:bodyDiv w:val="1"/>
      <w:marLeft w:val="0"/>
      <w:marRight w:val="0"/>
      <w:marTop w:val="0"/>
      <w:marBottom w:val="0"/>
      <w:divBdr>
        <w:top w:val="none" w:sz="0" w:space="0" w:color="auto"/>
        <w:left w:val="none" w:sz="0" w:space="0" w:color="auto"/>
        <w:bottom w:val="none" w:sz="0" w:space="0" w:color="auto"/>
        <w:right w:val="none" w:sz="0" w:space="0" w:color="auto"/>
      </w:divBdr>
    </w:div>
    <w:div w:id="1864780921">
      <w:bodyDiv w:val="1"/>
      <w:marLeft w:val="0"/>
      <w:marRight w:val="0"/>
      <w:marTop w:val="0"/>
      <w:marBottom w:val="0"/>
      <w:divBdr>
        <w:top w:val="none" w:sz="0" w:space="0" w:color="auto"/>
        <w:left w:val="none" w:sz="0" w:space="0" w:color="auto"/>
        <w:bottom w:val="none" w:sz="0" w:space="0" w:color="auto"/>
        <w:right w:val="none" w:sz="0" w:space="0" w:color="auto"/>
      </w:divBdr>
    </w:div>
    <w:div w:id="1874462222">
      <w:bodyDiv w:val="1"/>
      <w:marLeft w:val="0"/>
      <w:marRight w:val="0"/>
      <w:marTop w:val="0"/>
      <w:marBottom w:val="0"/>
      <w:divBdr>
        <w:top w:val="none" w:sz="0" w:space="0" w:color="auto"/>
        <w:left w:val="none" w:sz="0" w:space="0" w:color="auto"/>
        <w:bottom w:val="none" w:sz="0" w:space="0" w:color="auto"/>
        <w:right w:val="none" w:sz="0" w:space="0" w:color="auto"/>
      </w:divBdr>
    </w:div>
    <w:div w:id="1896235256">
      <w:bodyDiv w:val="1"/>
      <w:marLeft w:val="0"/>
      <w:marRight w:val="0"/>
      <w:marTop w:val="0"/>
      <w:marBottom w:val="0"/>
      <w:divBdr>
        <w:top w:val="none" w:sz="0" w:space="0" w:color="auto"/>
        <w:left w:val="none" w:sz="0" w:space="0" w:color="auto"/>
        <w:bottom w:val="none" w:sz="0" w:space="0" w:color="auto"/>
        <w:right w:val="none" w:sz="0" w:space="0" w:color="auto"/>
      </w:divBdr>
    </w:div>
    <w:div w:id="1900558357">
      <w:bodyDiv w:val="1"/>
      <w:marLeft w:val="0"/>
      <w:marRight w:val="0"/>
      <w:marTop w:val="0"/>
      <w:marBottom w:val="0"/>
      <w:divBdr>
        <w:top w:val="none" w:sz="0" w:space="0" w:color="auto"/>
        <w:left w:val="none" w:sz="0" w:space="0" w:color="auto"/>
        <w:bottom w:val="none" w:sz="0" w:space="0" w:color="auto"/>
        <w:right w:val="none" w:sz="0" w:space="0" w:color="auto"/>
      </w:divBdr>
    </w:div>
    <w:div w:id="1917781252">
      <w:bodyDiv w:val="1"/>
      <w:marLeft w:val="0"/>
      <w:marRight w:val="0"/>
      <w:marTop w:val="0"/>
      <w:marBottom w:val="0"/>
      <w:divBdr>
        <w:top w:val="none" w:sz="0" w:space="0" w:color="auto"/>
        <w:left w:val="none" w:sz="0" w:space="0" w:color="auto"/>
        <w:bottom w:val="none" w:sz="0" w:space="0" w:color="auto"/>
        <w:right w:val="none" w:sz="0" w:space="0" w:color="auto"/>
      </w:divBdr>
    </w:div>
    <w:div w:id="1926069931">
      <w:bodyDiv w:val="1"/>
      <w:marLeft w:val="0"/>
      <w:marRight w:val="0"/>
      <w:marTop w:val="0"/>
      <w:marBottom w:val="0"/>
      <w:divBdr>
        <w:top w:val="none" w:sz="0" w:space="0" w:color="auto"/>
        <w:left w:val="none" w:sz="0" w:space="0" w:color="auto"/>
        <w:bottom w:val="none" w:sz="0" w:space="0" w:color="auto"/>
        <w:right w:val="none" w:sz="0" w:space="0" w:color="auto"/>
      </w:divBdr>
    </w:div>
    <w:div w:id="1970743807">
      <w:bodyDiv w:val="1"/>
      <w:marLeft w:val="0"/>
      <w:marRight w:val="0"/>
      <w:marTop w:val="0"/>
      <w:marBottom w:val="0"/>
      <w:divBdr>
        <w:top w:val="none" w:sz="0" w:space="0" w:color="auto"/>
        <w:left w:val="none" w:sz="0" w:space="0" w:color="auto"/>
        <w:bottom w:val="none" w:sz="0" w:space="0" w:color="auto"/>
        <w:right w:val="none" w:sz="0" w:space="0" w:color="auto"/>
      </w:divBdr>
    </w:div>
    <w:div w:id="2004698784">
      <w:bodyDiv w:val="1"/>
      <w:marLeft w:val="0"/>
      <w:marRight w:val="0"/>
      <w:marTop w:val="0"/>
      <w:marBottom w:val="0"/>
      <w:divBdr>
        <w:top w:val="none" w:sz="0" w:space="0" w:color="auto"/>
        <w:left w:val="none" w:sz="0" w:space="0" w:color="auto"/>
        <w:bottom w:val="none" w:sz="0" w:space="0" w:color="auto"/>
        <w:right w:val="none" w:sz="0" w:space="0" w:color="auto"/>
      </w:divBdr>
    </w:div>
    <w:div w:id="2005281952">
      <w:bodyDiv w:val="1"/>
      <w:marLeft w:val="0"/>
      <w:marRight w:val="0"/>
      <w:marTop w:val="0"/>
      <w:marBottom w:val="0"/>
      <w:divBdr>
        <w:top w:val="none" w:sz="0" w:space="0" w:color="auto"/>
        <w:left w:val="none" w:sz="0" w:space="0" w:color="auto"/>
        <w:bottom w:val="none" w:sz="0" w:space="0" w:color="auto"/>
        <w:right w:val="none" w:sz="0" w:space="0" w:color="auto"/>
      </w:divBdr>
    </w:div>
    <w:div w:id="2023386315">
      <w:bodyDiv w:val="1"/>
      <w:marLeft w:val="0"/>
      <w:marRight w:val="0"/>
      <w:marTop w:val="0"/>
      <w:marBottom w:val="0"/>
      <w:divBdr>
        <w:top w:val="none" w:sz="0" w:space="0" w:color="auto"/>
        <w:left w:val="none" w:sz="0" w:space="0" w:color="auto"/>
        <w:bottom w:val="none" w:sz="0" w:space="0" w:color="auto"/>
        <w:right w:val="none" w:sz="0" w:space="0" w:color="auto"/>
      </w:divBdr>
    </w:div>
    <w:div w:id="2041664234">
      <w:bodyDiv w:val="1"/>
      <w:marLeft w:val="0"/>
      <w:marRight w:val="0"/>
      <w:marTop w:val="0"/>
      <w:marBottom w:val="0"/>
      <w:divBdr>
        <w:top w:val="none" w:sz="0" w:space="0" w:color="auto"/>
        <w:left w:val="none" w:sz="0" w:space="0" w:color="auto"/>
        <w:bottom w:val="none" w:sz="0" w:space="0" w:color="auto"/>
        <w:right w:val="none" w:sz="0" w:space="0" w:color="auto"/>
      </w:divBdr>
    </w:div>
    <w:div w:id="2044206257">
      <w:bodyDiv w:val="1"/>
      <w:marLeft w:val="0"/>
      <w:marRight w:val="0"/>
      <w:marTop w:val="0"/>
      <w:marBottom w:val="0"/>
      <w:divBdr>
        <w:top w:val="none" w:sz="0" w:space="0" w:color="auto"/>
        <w:left w:val="none" w:sz="0" w:space="0" w:color="auto"/>
        <w:bottom w:val="none" w:sz="0" w:space="0" w:color="auto"/>
        <w:right w:val="none" w:sz="0" w:space="0" w:color="auto"/>
      </w:divBdr>
    </w:div>
    <w:div w:id="2056813373">
      <w:bodyDiv w:val="1"/>
      <w:marLeft w:val="0"/>
      <w:marRight w:val="0"/>
      <w:marTop w:val="0"/>
      <w:marBottom w:val="0"/>
      <w:divBdr>
        <w:top w:val="none" w:sz="0" w:space="0" w:color="auto"/>
        <w:left w:val="none" w:sz="0" w:space="0" w:color="auto"/>
        <w:bottom w:val="none" w:sz="0" w:space="0" w:color="auto"/>
        <w:right w:val="none" w:sz="0" w:space="0" w:color="auto"/>
      </w:divBdr>
    </w:div>
    <w:div w:id="2081637708">
      <w:bodyDiv w:val="1"/>
      <w:marLeft w:val="0"/>
      <w:marRight w:val="0"/>
      <w:marTop w:val="0"/>
      <w:marBottom w:val="0"/>
      <w:divBdr>
        <w:top w:val="none" w:sz="0" w:space="0" w:color="auto"/>
        <w:left w:val="none" w:sz="0" w:space="0" w:color="auto"/>
        <w:bottom w:val="none" w:sz="0" w:space="0" w:color="auto"/>
        <w:right w:val="none" w:sz="0" w:space="0" w:color="auto"/>
      </w:divBdr>
    </w:div>
    <w:div w:id="20910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yperlink" Target="http://www.nhs.uk/conditions/Blood-pressure-(low)/Pages/Introduction.aspx" TargetMode="External"/><Relationship Id="rId39" Type="http://schemas.openxmlformats.org/officeDocument/2006/relationships/image" Target="media/image29.emf"/><Relationship Id="rId21" Type="http://schemas.openxmlformats.org/officeDocument/2006/relationships/image" Target="media/image16.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emf"/><Relationship Id="rId68" Type="http://schemas.openxmlformats.org/officeDocument/2006/relationships/image" Target="media/image58.emf"/><Relationship Id="rId7" Type="http://schemas.openxmlformats.org/officeDocument/2006/relationships/endnotes" Target="endnotes.xml"/><Relationship Id="rId71" Type="http://schemas.openxmlformats.org/officeDocument/2006/relationships/image" Target="media/image61.emf"/><Relationship Id="rId2" Type="http://schemas.openxmlformats.org/officeDocument/2006/relationships/numbering" Target="numbering.xml"/><Relationship Id="rId16" Type="http://schemas.openxmlformats.org/officeDocument/2006/relationships/image" Target="media/image11.png"/><Relationship Id="rId29" Type="http://schemas.openxmlformats.org/officeDocument/2006/relationships/image" Target="media/image19.png"/><Relationship Id="rId11" Type="http://schemas.openxmlformats.org/officeDocument/2006/relationships/footer" Target="footer1.xml"/><Relationship Id="rId24" Type="http://schemas.openxmlformats.org/officeDocument/2006/relationships/hyperlink" Target="http://www.nhs.uk/conditions/Coronary-heart-disease/Pages/Introduction.aspx" TargetMode="Externa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7.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header" Target="header1.xml"/><Relationship Id="rId19" Type="http://schemas.openxmlformats.org/officeDocument/2006/relationships/image" Target="media/image14.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emf"/><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png"/><Relationship Id="rId22" Type="http://schemas.openxmlformats.org/officeDocument/2006/relationships/hyperlink" Target="http://www.england.nhs.uk/ourwork/patientsafety/" TargetMode="External"/><Relationship Id="rId27" Type="http://schemas.openxmlformats.org/officeDocument/2006/relationships/hyperlink" Target="http://www.nhs.uk/conditions/Vertigo/Pages/Introduction.aspx" TargetMode="External"/><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emf"/><Relationship Id="rId69" Type="http://schemas.openxmlformats.org/officeDocument/2006/relationships/image" Target="media/image59.emf"/><Relationship Id="rId8" Type="http://schemas.openxmlformats.org/officeDocument/2006/relationships/image" Target="media/image3.emf"/><Relationship Id="rId51" Type="http://schemas.openxmlformats.org/officeDocument/2006/relationships/image" Target="media/image41.png"/><Relationship Id="rId72"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www.nhs.uk/conditions/Dementia/Pages/Introduction.aspx" TargetMode="External"/><Relationship Id="rId33" Type="http://schemas.openxmlformats.org/officeDocument/2006/relationships/image" Target="media/image23.emf"/><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5.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emf"/><Relationship Id="rId70" Type="http://schemas.openxmlformats.org/officeDocument/2006/relationships/image" Target="media/image60.emf"/><Relationship Id="rId1" Type="http://schemas.openxmlformats.org/officeDocument/2006/relationships/customXml" Target="../customXml/item1.xml"/><Relationship Id="rId6"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63.jpeg"/></Relationships>
</file>

<file path=word/theme/theme1.xml><?xml version="1.0" encoding="utf-8"?>
<a:theme xmlns:a="http://schemas.openxmlformats.org/drawingml/2006/main" name="Concourse">
  <a:themeElements>
    <a:clrScheme name="Concourse">
      <a:dk1>
        <a:sysClr val="windowText" lastClr="000000"/>
      </a:dk1>
      <a:lt1>
        <a:sysClr val="window" lastClr="FFFFFF"/>
      </a:lt1>
      <a:dk2>
        <a:srgbClr val="464646"/>
      </a:dk2>
      <a:lt2>
        <a:srgbClr val="DEF5FA"/>
      </a:lt2>
      <a:accent1>
        <a:srgbClr val="2DA2BF"/>
      </a:accent1>
      <a:accent2>
        <a:srgbClr val="DA1F28"/>
      </a:accent2>
      <a:accent3>
        <a:srgbClr val="EB641B"/>
      </a:accent3>
      <a:accent4>
        <a:srgbClr val="39639D"/>
      </a:accent4>
      <a:accent5>
        <a:srgbClr val="474B78"/>
      </a:accent5>
      <a:accent6>
        <a:srgbClr val="7D3C4A"/>
      </a:accent6>
      <a:hlink>
        <a:srgbClr val="FF8119"/>
      </a:hlink>
      <a:folHlink>
        <a:srgbClr val="44B9E8"/>
      </a:folHlink>
    </a:clrScheme>
    <a:fontScheme name="Concourse">
      <a:maj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ajorFont>
      <a:minorFont>
        <a:latin typeface="Lucida Sans Unicode"/>
        <a:ea typeface=""/>
        <a:cs typeface=""/>
        <a:font script="Jpan" typeface="ＭＳ Ｐゴシック"/>
        <a:font script="Hang" typeface="맑은 고딕"/>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Uigh" typeface="Microsoft Uighur"/>
      </a:minorFont>
    </a:fontScheme>
    <a:fmtScheme name="Concours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55000"/>
                <a:satMod val="300000"/>
              </a:schemeClr>
            </a:gs>
            <a:gs pos="40000">
              <a:schemeClr val="phClr">
                <a:tint val="65000"/>
                <a:satMod val="300000"/>
              </a:schemeClr>
            </a:gs>
            <a:gs pos="100000">
              <a:schemeClr val="phClr">
                <a:shade val="65000"/>
                <a:satMod val="300000"/>
              </a:schemeClr>
            </a:gs>
          </a:gsLst>
          <a:path path="circle">
            <a:fillToRect l="65000" b="98000"/>
          </a:path>
        </a:gradFill>
        <a:blipFill>
          <a:blip xmlns:r="http://schemas.openxmlformats.org/officeDocument/2006/relationships" r:embed="rId1">
            <a:duotone>
              <a:schemeClr val="phClr">
                <a:shade val="60000"/>
                <a:satMod val="110000"/>
              </a:schemeClr>
              <a:schemeClr val="phClr">
                <a:tint val="95000"/>
              </a:schemeClr>
            </a:duotone>
          </a:blip>
          <a:tile tx="0" ty="0" sx="50000" sy="5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A904E4-741E-4F30-A383-6FEB3A9189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82</Pages>
  <Words>10792</Words>
  <Characters>61517</Characters>
  <Application>Microsoft Office Word</Application>
  <DocSecurity>0</DocSecurity>
  <Lines>512</Lines>
  <Paragraphs>144</Paragraphs>
  <ScaleCrop>false</ScaleCrop>
  <HeadingPairs>
    <vt:vector size="2" baseType="variant">
      <vt:variant>
        <vt:lpstr>Title</vt:lpstr>
      </vt:variant>
      <vt:variant>
        <vt:i4>1</vt:i4>
      </vt:variant>
    </vt:vector>
  </HeadingPairs>
  <TitlesOfParts>
    <vt:vector size="1" baseType="lpstr">
      <vt:lpstr>Weston Area Health NHS Trust</vt:lpstr>
    </vt:vector>
  </TitlesOfParts>
  <Company>Weston Area Health Trust</Company>
  <LinksUpToDate>false</LinksUpToDate>
  <CharactersWithSpaces>72165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Weston Area Health NHS Trust</dc:title>
  <dc:subject>Integrated Performance Report</dc:subject>
  <dc:creator>higginbottomk</dc:creator>
  <cp:lastModifiedBy>fisherj</cp:lastModifiedBy>
  <cp:revision>2</cp:revision>
  <cp:lastPrinted>2014-06-25T14:04:00Z</cp:lastPrinted>
  <dcterms:created xsi:type="dcterms:W3CDTF">2014-08-28T09:25:00Z</dcterms:created>
  <dcterms:modified xsi:type="dcterms:W3CDTF">2014-08-28T09:25:00Z</dcterms:modified>
</cp:coreProperties>
</file>