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8F3" w:rsidRDefault="006101CF">
      <w:r>
        <w:rPr>
          <w:noProof/>
        </w:rPr>
        <w:pict>
          <v:group id="Group 2" o:spid="_x0000_s1026" style="position:absolute;margin-left:9.35pt;margin-top:-40.1pt;width:595.2pt;height:769.85pt;z-index:251658240;mso-width-percent:1000;mso-height-percent:1000;mso-position-horizontal-relative:page;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p3sQA&#10;AADbAAAADwAAAGRycy9kb3ducmV2LnhtbESPT2vCQBTE70K/w/IK3ppNPUiNrhIK1Xoz8Q94e2Sf&#10;SWz2bchuY/rtXaHgcZiZ3zCL1WAa0VPnassK3qMYBHFhdc2lgsP+6+0DhPPIGhvLpOCPHKyWL6MF&#10;JtreOKM+96UIEHYJKqi8bxMpXVGRQRfZljh4F9sZ9EF2pdQd3gLcNHISx1NpsOawUGFLnxUVP/mv&#10;UZDFw3E3XW/09VS4fpbuznmWbpUavw7pHISnwT/D/+1vrWAyg8eX8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6d7EAAAA2wAAAA8AAAAAAAAAAAAAAAAAmAIAAGRycy9k&#10;b3ducmV2LnhtbFBLBQYAAAAABAAEAPUAAACJAwAAAAA=&#10;" path="m,l17,2863,7132,2578r,-2378l,xe" fillcolor="#90d4e5 [1620]"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79AMAA&#10;AADbAAAADwAAAGRycy9kb3ducmV2LnhtbERPTYvCMBC9L/gfwgje1lSLi1TTIqIgnnZVEG9DM7bV&#10;ZlKaaOv+enNY2OPjfS+z3tTiSa2rLCuYjCMQxLnVFRcKTsft5xyE88gaa8uk4EUOsnTwscRE245/&#10;6HnwhQgh7BJUUHrfJFK6vCSDbmwb4sBdbWvQB9gWUrfYhXBTy2kUfUmDFYeGEhtal5TfDw+j4HaJ&#10;kXu33seb3+8OH7PT7nq+KzUa9qsFCE+9/xf/uXdaQRzWhy/hB8j0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U79AMAAAADbAAAADwAAAAAAAAAAAAAAAACYAgAAZHJzL2Rvd25y&#10;ZXYueG1sUEsFBgAAAAAEAAQA9QAAAIUDAAAAAA==&#10;" path="m,569l,2930r3466,620l3466,,,569xe" fillcolor="#c7e9f2 [820]"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r6MMA&#10;AADbAAAADwAAAGRycy9kb3ducmV2LnhtbESPQWvCQBSE70L/w/IKvekmWkViNiIFodemotdn9pks&#10;Zt+m2TWm/fXdQsHjMDPfMPl2tK0YqPfGsYJ0loAgrpw2XCs4fO6naxA+IGtsHZOCb/KwLZ4mOWba&#10;3fmDhjLUIkLYZ6igCaHLpPRVQxb9zHXE0bu43mKIsq+l7vEe4baV8yRZSYuG40KDHb01VF3Lm1VA&#10;u8XP17I8nc+pOR6r7jA3r4NV6uV53G1ABBrDI/zfftcKFin8fYk/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er6MMAAADbAAAADwAAAAAAAAAAAAAAAACYAgAAZHJzL2Rv&#10;d25yZXYueG1sUEsFBgAAAAAEAAQA9QAAAIgDAAAAAA==&#10;" path="m,l,3550,1591,2746r,-2009l,xe" fillcolor="#90d4e5 [1620]"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KUsUA&#10;AADbAAAADwAAAGRycy9kb3ducmV2LnhtbESPT2vCQBTE74V+h+UVvNWNBkRSV9GK/47aQnt8zT6T&#10;tNm36e5qop/eLQg9DjPzG2Yy60wtzuR8ZVnBoJ+AIM6trrhQ8P62eh6D8AFZY22ZFFzIw2z6+DDB&#10;TNuW93Q+hEJECPsMFZQhNJmUPi/JoO/bhjh6R+sMhihdIbXDNsJNLYdJMpIGK44LJTb0WlL+czgZ&#10;Bbvl14bT62C9+P4tFkvX2o+0/lSq99TNX0AE6sJ/+N7eagXpEP6+x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8pSxQAAANsAAAAPAAAAAAAAAAAAAAAAAJgCAABkcnMv&#10;ZG93bnJldi54bWxQSwUGAAAAAAQABAD1AAAAigMAAAAA&#10;" path="m1,251l,2662r4120,251l4120,,1,251xe" fillcolor="#d8d8d8 [2732]"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cl8QA&#10;AADbAAAADwAAAGRycy9kb3ducmV2LnhtbESPQWvCQBSE7wX/w/IKXkQ3tVBM6hokNKD01Ch4fWRf&#10;k6XZtyG70fjv3UKhx2FmvmG2+WQ7caXBG8cKXlYJCOLaacONgvOpXG5A+ICssXNMCu7kId/NnraY&#10;aXfjL7pWoRERwj5DBW0IfSalr1uy6FeuJ47etxsshiiHRuoBbxFuO7lOkjdp0XBcaLGnoqX6pxqt&#10;gsmErjqm69K4y+LjdCkXxed9VGr+PO3fQQSawn/4r33QCl5T+P0Sf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JXJfEAAAA2wAAAA8AAAAAAAAAAAAAAAAAmAIAAGRycy9k&#10;b3ducmV2LnhtbFBLBQYAAAAABAAEAPUAAACJAwAAAAA=&#10;" path="m,l,4236,3985,3349r,-2428l,xe" fillcolor="#bfbfbf [2412]"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e8sMA&#10;AADbAAAADwAAAGRycy9kb3ducmV2LnhtbESPQYvCMBSE7wv+h/AW9ramuiBSTYssip4EteD10Tzb&#10;0ualNlFrf70RFvY4zMw3zDLtTSPu1LnKsoLJOAJBnFtdcaEgO22+5yCcR9bYWCYFT3KQJqOPJcba&#10;PvhA96MvRICwi1FB6X0bS+nykgy6sW2Jg3exnUEfZFdI3eEjwE0jp1E0kwYrDgsltvRbUl4fb0bB&#10;cLb7i2yH4ec8bOr19VqvDttMqa/PfrUA4an3/+G/9k4rmE3g/SX8AJ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je8sMAAADbAAAADwAAAAAAAAAAAAAAAACYAgAAZHJzL2Rv&#10;d25yZXYueG1sUEsFBgAAAAAEAAQA9QAAAIgDAAAAAA==&#10;" path="m4086,r-2,4253l,3198,,1072,4086,xe" fillcolor="#d8d8d8 [2732]"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PfsMA&#10;AADbAAAADwAAAGRycy9kb3ducmV2LnhtbESPQWvCQBSE74X+h+UVvEjdVNugqatYQRA8NRW8PrLP&#10;JDT7NuxuYvz3riB4HGbmG2a5HkwjenK+tqzgY5KAIC6srrlUcPzbvc9B+ICssbFMCq7kYb16fVli&#10;pu2Ff6nPQykihH2GCqoQ2kxKX1Rk0E9sSxy9s3UGQ5SulNrhJcJNI6dJkkqDNceFClvaVlT8551R&#10;kC9w6L6STZ//0LEbn8aH6WHmlBq9DZtvEIGG8Aw/2nutIP2E+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TPfsMAAADbAAAADwAAAAAAAAAAAAAAAACYAgAAZHJzL2Rv&#10;d25yZXYueG1sUEsFBgAAAAAEAAQA9QAAAIgDAAAAAA==&#10;" path="m,921l2060,r16,3851l,2981,,921xe" fillcolor="#c7e9f2 [820]"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yRsQA&#10;AADbAAAADwAAAGRycy9kb3ducmV2LnhtbESPS4vCQBCE7wv+h6EFb+skIj6io8iC4klcH+CxybRJ&#10;MNMTM7Mx7q/fERY8FlX1FTVftqYUDdWusKwg7kcgiFOrC84UnI7rzwkI55E1lpZJwZMcLBedjzkm&#10;2j74m5qDz0SAsEtQQe59lUjp0pwMur6tiIN3tbVBH2SdSV3jI8BNKQdRNJIGCw4LOVb0lVN6O/wY&#10;BU25O7WjeDDdb+6X3ytNzuMhr5XqddvVDISn1r/D/+2tVjCO4fU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xskbEAAAA2wAAAA8AAAAAAAAAAAAAAAAAmAIAAGRycy9k&#10;b3ducmV2LnhtbFBLBQYAAAAABAAEAPUAAACJAwAAAAA=&#10;" path="m,l17,3835,6011,2629r,-1390l,xe" fillcolor="#90d4e5 [1620]"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WI8IA&#10;AADbAAAADwAAAGRycy9kb3ducmV2LnhtbESPQWvCQBSE74X+h+UJXopu2kgbo6tIQejBi2l/wCP7&#10;3A1m34bsGuO/dwuCx2FmvmHW29G1YqA+NJ4VvM8zEMS11w0bBX+/+1kBIkRkja1nUnCjANvN68sa&#10;S+2vfKShikYkCIcSFdgYu1LKUFtyGOa+I07eyfcOY5K9kbrHa4K7Vn5k2ad02HBasNjRt6X6XF2c&#10;ggLlW86ncTgXR3SHfGlstzBKTSfjbgUi0hif4Uf7Ryv4yuH/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BYjwgAAANsAAAAPAAAAAAAAAAAAAAAAAJgCAABkcnMvZG93&#10;bnJldi54bWxQSwUGAAAAAAQABAD1AAAAhwMAAAAA&#10;" path="m,1038l,2411,4102,3432,4102,,,1038xe" fillcolor="#c7e9f2 [820]" stroked="f">
                <v:fill opacity="46003f"/>
                <v:path arrowok="t" o:connecttype="custom" o:connectlocs="0,1038;0,2411;4102,3432;4102,0;0,1038" o:connectangles="0,0,0,0,0"/>
              </v:shape>
            </v:group>
            <v:rect id="Rectangle 14" o:spid="_x0000_s1038" style="position:absolute;left:1800;top:1440;width:8639;height:6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yecUA&#10;AADbAAAADwAAAGRycy9kb3ducmV2LnhtbESP0WrCQBRE3wv+w3KFvpRmYy2pjVlFrIXom9EPuGZv&#10;k2j2bshuNf37bqHg4zAzZ5hsOZhWXKl3jWUFkygGQVxa3XCl4Hj4fJ6BcB5ZY2uZFPyQg+Vi9JBh&#10;qu2N93QtfCUChF2KCmrvu1RKV9Zk0EW2Iw7el+0N+iD7SuoebwFuWvkSx4k02HBYqLGjdU3lpfg2&#10;Cra7191xncvz5b35eMrfilieko1Sj+NhNQfhafD38H871wpmU/j7En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DJ5xQAAANsAAAAPAAAAAAAAAAAAAAAAAJgCAABkcnMv&#10;ZG93bnJldi54bWxQSwUGAAAAAAQABAD1AAAAigMAAAAA&#10;" filled="f" stroked="f">
              <v:textbox style="mso-next-textbox:#Rectangle 14;mso-fit-shape-to-text:t">
                <w:txbxContent>
                  <w:p w:rsidR="002D316E" w:rsidRPr="00EE4083" w:rsidRDefault="002D316E" w:rsidP="00DF28F3">
                    <w:pPr>
                      <w:tabs>
                        <w:tab w:val="left" w:pos="2127"/>
                      </w:tabs>
                      <w:rPr>
                        <w:szCs w:val="32"/>
                      </w:rPr>
                    </w:pPr>
                  </w:p>
                </w:txbxContent>
              </v:textbox>
            </v:rect>
            <v:rect id="Rectangle 15" o:spid="_x0000_s1039" style="position:absolute;left:6494;top:11161;width:4998;height:29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mqDcUA&#10;AADbAAAADwAAAGRycy9kb3ducmV2LnhtbESP0WrCQBRE3wv+w3ILfSl10yJWU9cgqULqW1M/4Jq9&#10;TVKzd0N2TeLfu0LBx2FmzjCrZDSN6KlztWUFr9MIBHFhdc2lgsPP7mUBwnlkjY1lUnAhB8l68rDC&#10;WNuBv6nPfSkChF2MCirv21hKV1Rk0E1tSxy8X9sZ9EF2pdQdDgFuGvkWRXNpsOawUGFLaUXFKT8b&#10;BV/72f6QZvLvtKw/n7P3PJLH+Vapp8dx8wHC0+jv4f92phUsZnD7En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aoNxQAAANsAAAAPAAAAAAAAAAAAAAAAAJgCAABkcnMv&#10;ZG93bnJldi54bWxQSwUGAAAAAAQABAD1AAAAigMAAAAA&#10;" filled="f" stroked="f">
              <v:textbox style="mso-next-textbox:#Rectangle 15;mso-fit-shape-to-text:t">
                <w:txbxContent>
                  <w:p w:rsidR="002D316E" w:rsidRPr="00F16F8D" w:rsidRDefault="002D316E" w:rsidP="004574CF">
                    <w:pPr>
                      <w:rPr>
                        <w:rFonts w:cs="Arial"/>
                        <w:color w:val="21798E" w:themeColor="accent1" w:themeShade="BF"/>
                        <w:sz w:val="88"/>
                        <w:szCs w:val="88"/>
                      </w:rPr>
                    </w:pPr>
                    <w:r>
                      <w:rPr>
                        <w:rFonts w:cs="Arial"/>
                        <w:color w:val="21798E" w:themeColor="accent1" w:themeShade="BF"/>
                        <w:sz w:val="88"/>
                        <w:szCs w:val="88"/>
                      </w:rPr>
                      <w:t>October 2014</w:t>
                    </w:r>
                  </w:p>
                </w:txbxContent>
              </v:textbox>
            </v:rect>
            <v:rect id="Rectangle 16" o:spid="_x0000_s1040" style="position:absolute;left:1800;top:2294;width:8638;height:726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q9VsIA&#10;AADbAAAADwAAAGRycy9kb3ducmV2LnhtbESP3YrCMBSE7xd8h3AE79ZURZFqFFFEhV3Bnwc4Nse2&#10;2JyUJGp9e7Ow4OUwM98w03ljKvEg50vLCnrdBARxZnXJuYLzaf09BuEDssbKMil4kYf5rPU1xVTb&#10;Jx/ocQy5iBD2KSooQqhTKX1WkEHftTVx9K7WGQxRulxqh88IN5XsJ8lIGiw5LhRY07Kg7Ha8GwWD&#10;n/3e/a5u61GyOu/Yuma5uRyU6rSbxQREoCZ8wv/trVYwHsLfl/gD5O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r1WwgAAANsAAAAPAAAAAAAAAAAAAAAAAJgCAABkcnMvZG93&#10;bnJldi54bWxQSwUGAAAAAAQABAD1AAAAhwMAAAAA&#10;" filled="f" stroked="f">
              <v:textbox style="mso-next-textbox:#Rectangle 16">
                <w:txbxContent>
                  <w:sdt>
                    <w:sdtPr>
                      <w:rPr>
                        <w:rFonts w:eastAsia="Times New Roman" w:cs="Arial"/>
                        <w:b/>
                        <w:bCs/>
                        <w:color w:val="464646" w:themeColor="text2"/>
                        <w:sz w:val="96"/>
                        <w:szCs w:val="72"/>
                      </w:rPr>
                      <w:alias w:val="Title"/>
                      <w:id w:val="20356878"/>
                      <w:dataBinding w:prefixMappings="xmlns:ns0='http://schemas.openxmlformats.org/package/2006/metadata/core-properties' xmlns:ns1='http://purl.org/dc/elements/1.1/'" w:xpath="/ns0:coreProperties[1]/ns1:title[1]" w:storeItemID="{6C3C8BC8-F283-45AE-878A-BAB7291924A1}"/>
                      <w:text/>
                    </w:sdtPr>
                    <w:sdtContent>
                      <w:p w:rsidR="002D316E" w:rsidRDefault="002D316E" w:rsidP="00B56A67">
                        <w:pPr>
                          <w:spacing w:after="0"/>
                          <w:jc w:val="center"/>
                          <w:rPr>
                            <w:b/>
                            <w:bCs/>
                            <w:color w:val="464646" w:themeColor="text2"/>
                            <w:sz w:val="72"/>
                            <w:szCs w:val="72"/>
                          </w:rPr>
                        </w:pPr>
                        <w:r w:rsidRPr="00DF28F3">
                          <w:rPr>
                            <w:rFonts w:eastAsia="Times New Roman" w:cs="Arial"/>
                            <w:b/>
                            <w:bCs/>
                            <w:color w:val="464646" w:themeColor="text2"/>
                            <w:sz w:val="96"/>
                            <w:szCs w:val="72"/>
                          </w:rPr>
                          <w:t>Weston Area Health NHS Trust</w:t>
                        </w:r>
                      </w:p>
                    </w:sdtContent>
                  </w:sdt>
                  <w:sdt>
                    <w:sdtPr>
                      <w:rPr>
                        <w:rFonts w:eastAsia="Times New Roman" w:cs="Arial"/>
                        <w:b/>
                        <w:bCs/>
                        <w:color w:val="2DA2BF" w:themeColor="accent1"/>
                        <w:sz w:val="44"/>
                        <w:szCs w:val="40"/>
                      </w:rPr>
                      <w:alias w:val="Subtitle"/>
                      <w:id w:val="20356879"/>
                      <w:dataBinding w:prefixMappings="xmlns:ns0='http://schemas.openxmlformats.org/package/2006/metadata/core-properties' xmlns:ns1='http://purl.org/dc/elements/1.1/'" w:xpath="/ns0:coreProperties[1]/ns1:subject[1]" w:storeItemID="{6C3C8BC8-F283-45AE-878A-BAB7291924A1}"/>
                      <w:text/>
                    </w:sdtPr>
                    <w:sdtContent>
                      <w:p w:rsidR="002D316E" w:rsidRDefault="002D316E" w:rsidP="00B56A67">
                        <w:pPr>
                          <w:jc w:val="center"/>
                          <w:rPr>
                            <w:b/>
                            <w:bCs/>
                            <w:color w:val="2DA2BF" w:themeColor="accent1"/>
                            <w:sz w:val="40"/>
                            <w:szCs w:val="40"/>
                          </w:rPr>
                        </w:pPr>
                        <w:r>
                          <w:rPr>
                            <w:rFonts w:eastAsia="Times New Roman" w:cs="Arial"/>
                            <w:b/>
                            <w:bCs/>
                            <w:color w:val="2DA2BF" w:themeColor="accent1"/>
                            <w:sz w:val="44"/>
                            <w:szCs w:val="40"/>
                          </w:rPr>
                          <w:t xml:space="preserve">Integrated Performance </w:t>
                        </w:r>
                        <w:r w:rsidRPr="00DF28F3">
                          <w:rPr>
                            <w:rFonts w:eastAsia="Times New Roman" w:cs="Arial"/>
                            <w:b/>
                            <w:bCs/>
                            <w:color w:val="2DA2BF" w:themeColor="accent1"/>
                            <w:sz w:val="44"/>
                            <w:szCs w:val="40"/>
                          </w:rPr>
                          <w:t>Report</w:t>
                        </w:r>
                      </w:p>
                    </w:sdtContent>
                  </w:sdt>
                  <w:p w:rsidR="002D316E" w:rsidRDefault="002D316E" w:rsidP="00DF28F3">
                    <w:pPr>
                      <w:rPr>
                        <w:b/>
                        <w:bCs/>
                        <w:color w:val="808080" w:themeColor="text1" w:themeTint="7F"/>
                        <w:sz w:val="32"/>
                        <w:szCs w:val="32"/>
                      </w:rPr>
                    </w:pPr>
                  </w:p>
                  <w:p w:rsidR="002D316E" w:rsidRDefault="002D316E" w:rsidP="00DF28F3">
                    <w:pPr>
                      <w:rPr>
                        <w:b/>
                        <w:bCs/>
                        <w:color w:val="808080" w:themeColor="text1" w:themeTint="7F"/>
                        <w:sz w:val="32"/>
                        <w:szCs w:val="32"/>
                      </w:rPr>
                    </w:pPr>
                  </w:p>
                </w:txbxContent>
              </v:textbox>
            </v:rect>
            <w10:wrap anchorx="page" anchory="margin"/>
          </v:group>
        </w:pict>
      </w:r>
      <w:r w:rsidR="007C67AE">
        <w:t xml:space="preserve"> </w:t>
      </w:r>
    </w:p>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Default="00DF28F3" w:rsidP="00DF28F3">
      <w:pPr>
        <w:tabs>
          <w:tab w:val="left" w:pos="6072"/>
        </w:tabs>
      </w:pPr>
    </w:p>
    <w:p w:rsidR="00D1431F" w:rsidRPr="00E719C3" w:rsidRDefault="00D1431F" w:rsidP="00E719C3">
      <w:pPr>
        <w:pStyle w:val="Heading1"/>
        <w:rPr>
          <w:sz w:val="48"/>
        </w:rPr>
      </w:pPr>
      <w:bookmarkStart w:id="0" w:name="_Toc381084844"/>
      <w:bookmarkStart w:id="1" w:name="_Toc381084845"/>
      <w:r w:rsidRPr="004D4738">
        <w:rPr>
          <w:sz w:val="56"/>
        </w:rPr>
        <w:lastRenderedPageBreak/>
        <w:t>Section 1 Executive Summary</w:t>
      </w:r>
      <w:bookmarkEnd w:id="0"/>
    </w:p>
    <w:p w:rsidR="006204A0" w:rsidRPr="004A6B5F" w:rsidRDefault="006101CF" w:rsidP="0059504E">
      <w:pPr>
        <w:rPr>
          <w:rFonts w:cstheme="minorHAnsi"/>
          <w:color w:val="000000" w:themeColor="text1"/>
          <w:sz w:val="12"/>
          <w:szCs w:val="24"/>
        </w:rPr>
      </w:pPr>
      <w:r w:rsidRPr="006101CF">
        <w:rPr>
          <w:rFonts w:cstheme="minorHAnsi"/>
          <w:noProof/>
          <w:color w:val="000000" w:themeColor="text1"/>
          <w:sz w:val="24"/>
          <w:szCs w:val="24"/>
        </w:rPr>
        <w:pict>
          <v:roundrect id="AutoShape 23" o:spid="_x0000_s1041" style="position:absolute;margin-left:-22.6pt;margin-top:6.2pt;width:549.2pt;height:650.5pt;z-index:-2516070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" fillcolor="white [3201]" strokecolor="#79cbdf [1940]" strokeweight="1pt">
            <v:fill color2="#a6dcea [1300]" focus="100%" type="gradient"/>
            <v:shadow on="t" color="#16505e [1604]" opacity=".5" offset="1pt"/>
            <v:textbox style="mso-next-textbox:#AutoShape 23">
              <w:txbxContent>
                <w:p w:rsidR="002D316E" w:rsidRDefault="002D316E" w:rsidP="00854E06">
                  <w:pPr>
                    <w:pStyle w:val="NoSpacing"/>
                    <w:jc w:val="both"/>
                    <w:rPr>
                      <w:sz w:val="22"/>
                      <w:szCs w:val="22"/>
                    </w:rPr>
                  </w:pPr>
                  <w:r>
                    <w:rPr>
                      <w:sz w:val="22"/>
                      <w:szCs w:val="22"/>
                    </w:rPr>
                    <w:t xml:space="preserve">  Delivery of </w:t>
                  </w:r>
                  <w:r w:rsidRPr="00275DA1">
                    <w:rPr>
                      <w:sz w:val="22"/>
                      <w:szCs w:val="22"/>
                    </w:rPr>
                    <w:t>the Emergency Department four hour target has been challenging due to a</w:t>
                  </w:r>
                  <w:r>
                    <w:rPr>
                      <w:sz w:val="22"/>
                      <w:szCs w:val="22"/>
                    </w:rPr>
                    <w:t>n ongoing</w:t>
                  </w:r>
                  <w:r w:rsidRPr="00275DA1">
                    <w:rPr>
                      <w:sz w:val="22"/>
                      <w:szCs w:val="22"/>
                    </w:rPr>
                    <w:t xml:space="preserve"> increase in demand coupled with higher numbers of delayed discharges.  The Trust continues to work with the Urgent Care Network, which includes partner organisations from the Local Authority, Community Partnership, Ambulance Trust and Mental Health Services to bring about the required level of improvement.   Plans to </w:t>
                  </w:r>
                  <w:r>
                    <w:rPr>
                      <w:sz w:val="22"/>
                      <w:szCs w:val="22"/>
                    </w:rPr>
                    <w:t>deliver</w:t>
                  </w:r>
                  <w:r w:rsidRPr="00275DA1">
                    <w:rPr>
                      <w:sz w:val="22"/>
                      <w:szCs w:val="22"/>
                    </w:rPr>
                    <w:t xml:space="preserve"> </w:t>
                  </w:r>
                  <w:r>
                    <w:rPr>
                      <w:sz w:val="22"/>
                      <w:szCs w:val="22"/>
                    </w:rPr>
                    <w:t>s</w:t>
                  </w:r>
                  <w:r w:rsidRPr="00275DA1">
                    <w:rPr>
                      <w:sz w:val="22"/>
                      <w:szCs w:val="22"/>
                    </w:rPr>
                    <w:t>ustained recovery coupled with resilience through the winter period are being implemented</w:t>
                  </w:r>
                  <w:r>
                    <w:rPr>
                      <w:sz w:val="22"/>
                      <w:szCs w:val="22"/>
                    </w:rPr>
                    <w:t xml:space="preserve"> internally and across the health community</w:t>
                  </w:r>
                  <w:r w:rsidRPr="00275DA1">
                    <w:rPr>
                      <w:sz w:val="22"/>
                      <w:szCs w:val="22"/>
                    </w:rPr>
                    <w:t>.</w:t>
                  </w:r>
                </w:p>
                <w:p w:rsidR="002D316E" w:rsidRPr="00275DA1" w:rsidRDefault="002D316E" w:rsidP="00854E06">
                  <w:pPr>
                    <w:pStyle w:val="NoSpacing"/>
                    <w:jc w:val="both"/>
                    <w:rPr>
                      <w:sz w:val="22"/>
                      <w:szCs w:val="22"/>
                    </w:rPr>
                  </w:pPr>
                </w:p>
                <w:p w:rsidR="002D316E" w:rsidRDefault="002D316E" w:rsidP="00854E06">
                  <w:pPr>
                    <w:jc w:val="both"/>
                  </w:pPr>
                  <w:r>
                    <w:t xml:space="preserve">Performance against the eight cancer targets has improved as a result of work undertaken by the Trust with primary care to address issues of data completeness and patient availability on referral.  This target however remains fragile given the number of complex pathways to neighbouring tertiary centres for a proportion of our patients but we continue to work with these centres to ensure a seamless transfer of care where this is necessary.  </w:t>
                  </w:r>
                </w:p>
                <w:p w:rsidR="002D316E" w:rsidRDefault="002D316E" w:rsidP="00854E06">
                  <w:pPr>
                    <w:autoSpaceDE w:val="0"/>
                    <w:autoSpaceDN w:val="0"/>
                    <w:adjustRightInd w:val="0"/>
                    <w:spacing w:after="0" w:line="240" w:lineRule="auto"/>
                    <w:jc w:val="both"/>
                    <w:rPr>
                      <w:rFonts w:cstheme="minorHAnsi"/>
                    </w:rPr>
                  </w:pPr>
                  <w:r w:rsidRPr="00275DA1">
                    <w:rPr>
                      <w:rFonts w:cstheme="minorHAnsi"/>
                    </w:rPr>
                    <w:t>The Trust made excellent progre</w:t>
                  </w:r>
                  <w:r>
                    <w:rPr>
                      <w:rFonts w:cstheme="minorHAnsi"/>
                    </w:rPr>
                    <w:t>ss towards delivery of its RTT R</w:t>
                  </w:r>
                  <w:r w:rsidRPr="00275DA1">
                    <w:rPr>
                      <w:rFonts w:cstheme="minorHAnsi"/>
                    </w:rPr>
                    <w:t xml:space="preserve">ecovery </w:t>
                  </w:r>
                  <w:r>
                    <w:rPr>
                      <w:rFonts w:cstheme="minorHAnsi"/>
                    </w:rPr>
                    <w:t>P</w:t>
                  </w:r>
                  <w:r w:rsidRPr="00275DA1">
                    <w:rPr>
                      <w:rFonts w:cstheme="minorHAnsi"/>
                    </w:rPr>
                    <w:t>lan during August and September.  Whilst the Trust did not have a significant number of patients waiting longer than 18 weeks for treatment to the extent of the majority of Acute Trusts nationally, it was felt that this opportunity should be pursued to enable us to reduce our waiting lists and provide a better service for the local population.  At the end of September the Trust was in line with its trajectory and</w:t>
                  </w:r>
                  <w:r>
                    <w:rPr>
                      <w:rFonts w:cstheme="minorHAnsi"/>
                    </w:rPr>
                    <w:t xml:space="preserve"> had admitted an additional 248 elective patients and seen almost 700 additional outpatients over </w:t>
                  </w:r>
                  <w:r>
                    <w:t>the summer months as planned.</w:t>
                  </w:r>
                </w:p>
                <w:p w:rsidR="002D316E" w:rsidRPr="00275DA1" w:rsidRDefault="002D316E" w:rsidP="00854E06">
                  <w:pPr>
                    <w:autoSpaceDE w:val="0"/>
                    <w:autoSpaceDN w:val="0"/>
                    <w:adjustRightInd w:val="0"/>
                    <w:spacing w:after="0" w:line="240" w:lineRule="auto"/>
                    <w:jc w:val="both"/>
                    <w:rPr>
                      <w:rFonts w:cstheme="minorHAnsi"/>
                    </w:rPr>
                  </w:pPr>
                </w:p>
                <w:p w:rsidR="002D316E" w:rsidRDefault="002D316E" w:rsidP="00854E06">
                  <w:pPr>
                    <w:jc w:val="both"/>
                  </w:pPr>
                  <w:r>
                    <w:t xml:space="preserve">The Trust has faced a challenging two months in respect of </w:t>
                  </w:r>
                  <w:r w:rsidRPr="005F7804">
                    <w:t xml:space="preserve">infection </w:t>
                  </w:r>
                  <w:r>
                    <w:t xml:space="preserve">control </w:t>
                  </w:r>
                  <w:r w:rsidRPr="005F7804">
                    <w:t>and prevention</w:t>
                  </w:r>
                  <w:r>
                    <w:t xml:space="preserve">, particularly Clostridium difficile with two cases reported in August and three in September.  We saw an outbreak of Norovirus across two wards during September.  </w:t>
                  </w:r>
                </w:p>
                <w:p w:rsidR="002D316E" w:rsidRDefault="002D316E" w:rsidP="00854E06">
                  <w:pPr>
                    <w:jc w:val="both"/>
                  </w:pPr>
                  <w:r w:rsidRPr="0017190D">
                    <w:t xml:space="preserve">The Trust continues to remain on target to deliver the financial plan with actions in place to mitigate the risk of not fully delivering the efficiency </w:t>
                  </w:r>
                  <w:r>
                    <w:t>programme.</w:t>
                  </w:r>
                </w:p>
                <w:p w:rsidR="002D316E" w:rsidRPr="007712AA" w:rsidRDefault="002D316E" w:rsidP="007712AA">
                  <w:pPr>
                    <w:pStyle w:val="NoSpacing"/>
                    <w:rPr>
                      <w:sz w:val="22"/>
                      <w:szCs w:val="22"/>
                    </w:rPr>
                  </w:pPr>
                </w:p>
                <w:p w:rsidR="002D316E" w:rsidRDefault="002D316E" w:rsidP="007712AA">
                  <w:pPr>
                    <w:ind w:firstLine="720"/>
                  </w:pPr>
                </w:p>
              </w:txbxContent>
            </v:textbox>
          </v:roundrect>
        </w:pict>
      </w:r>
    </w:p>
    <w:p w:rsidR="006807D0" w:rsidRDefault="006807D0" w:rsidP="0059504E">
      <w:pPr>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 xml:space="preserve">   </w:t>
      </w:r>
    </w:p>
    <w:p w:rsidR="006807D0" w:rsidRDefault="006807D0" w:rsidP="0059504E">
      <w:pPr>
        <w:autoSpaceDE w:val="0"/>
        <w:autoSpaceDN w:val="0"/>
        <w:adjustRightInd w:val="0"/>
        <w:spacing w:after="0" w:line="240" w:lineRule="auto"/>
        <w:rPr>
          <w:rFonts w:cstheme="minorHAnsi"/>
          <w:color w:val="000000" w:themeColor="text1"/>
          <w:sz w:val="24"/>
          <w:szCs w:val="24"/>
        </w:rPr>
      </w:pPr>
    </w:p>
    <w:p w:rsidR="00020FB5" w:rsidRPr="00020FB5" w:rsidRDefault="00020FB5" w:rsidP="00020FB5">
      <w:pPr>
        <w:pStyle w:val="NoSpacing"/>
        <w:jc w:val="both"/>
      </w:pPr>
    </w:p>
    <w:p w:rsidR="00020FB5" w:rsidRPr="00020FB5" w:rsidRDefault="00020FB5" w:rsidP="00020FB5">
      <w:pPr>
        <w:pStyle w:val="NoSpacing"/>
        <w:jc w:val="both"/>
      </w:pPr>
    </w:p>
    <w:p w:rsidR="00020FB5" w:rsidRPr="00020FB5" w:rsidRDefault="00020FB5" w:rsidP="007712AA">
      <w:pPr>
        <w:pStyle w:val="NoSpacing"/>
        <w:tabs>
          <w:tab w:val="left" w:pos="1139"/>
        </w:tabs>
        <w:jc w:val="both"/>
      </w:pPr>
    </w:p>
    <w:p w:rsidR="007712AA" w:rsidRDefault="007712AA" w:rsidP="00020FB5">
      <w:pPr>
        <w:pStyle w:val="NoSpacing"/>
      </w:pPr>
    </w:p>
    <w:p w:rsidR="007712AA" w:rsidRPr="00020FB5" w:rsidRDefault="007712AA" w:rsidP="00020FB5">
      <w:pPr>
        <w:pStyle w:val="NoSpacing"/>
      </w:pPr>
    </w:p>
    <w:p w:rsidR="002B47C5" w:rsidRPr="00020FB5" w:rsidRDefault="002B47C5">
      <w:pPr>
        <w:rPr>
          <w:rFonts w:asciiTheme="majorHAnsi" w:eastAsiaTheme="majorEastAsia" w:hAnsiTheme="majorHAnsi" w:cstheme="majorBidi"/>
          <w:b/>
          <w:bCs/>
          <w:color w:val="21798E" w:themeColor="accent1" w:themeShade="BF"/>
          <w:sz w:val="24"/>
          <w:szCs w:val="24"/>
        </w:rPr>
      </w:pPr>
      <w:r w:rsidRPr="00020FB5">
        <w:rPr>
          <w:sz w:val="24"/>
          <w:szCs w:val="24"/>
        </w:rPr>
        <w:br w:type="page"/>
      </w:r>
    </w:p>
    <w:p w:rsidR="00AD3959" w:rsidRPr="00F5473A" w:rsidRDefault="00AD3959" w:rsidP="00CB6E44">
      <w:pPr>
        <w:pStyle w:val="Heading1"/>
        <w:numPr>
          <w:ilvl w:val="0"/>
          <w:numId w:val="8"/>
        </w:numPr>
      </w:pPr>
      <w:r w:rsidRPr="00F5473A">
        <w:lastRenderedPageBreak/>
        <w:t>Monitor Scorecard</w:t>
      </w:r>
    </w:p>
    <w:bookmarkEnd w:id="1"/>
    <w:p w:rsidR="00BC46F0" w:rsidRPr="002B47C5" w:rsidRDefault="00BC46F0" w:rsidP="00BC46F0">
      <w:pPr>
        <w:rPr>
          <w:sz w:val="2"/>
          <w:highlight w:val="yellow"/>
        </w:rPr>
      </w:pPr>
    </w:p>
    <w:p w:rsidR="00BC46F0" w:rsidRDefault="002B542C" w:rsidP="006D5B37">
      <w:pPr>
        <w:jc w:val="center"/>
        <w:rPr>
          <w:noProof/>
          <w:highlight w:val="yellow"/>
        </w:rPr>
      </w:pPr>
      <w:r w:rsidRPr="002B542C">
        <w:rPr>
          <w:noProof/>
        </w:rPr>
        <w:drawing>
          <wp:inline distT="0" distB="0" distL="0" distR="0">
            <wp:extent cx="6645910" cy="5942544"/>
            <wp:effectExtent l="19050" t="0" r="254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645910" cy="5942544"/>
                    </a:xfrm>
                    <a:prstGeom prst="rect">
                      <a:avLst/>
                    </a:prstGeom>
                    <a:noFill/>
                    <a:ln w="9525">
                      <a:noFill/>
                      <a:miter lim="800000"/>
                      <a:headEnd/>
                      <a:tailEnd/>
                    </a:ln>
                  </pic:spPr>
                </pic:pic>
              </a:graphicData>
            </a:graphic>
          </wp:inline>
        </w:drawing>
      </w:r>
    </w:p>
    <w:p w:rsidR="008B591B" w:rsidRPr="002B47C5" w:rsidRDefault="008B591B" w:rsidP="006D5B37">
      <w:pPr>
        <w:jc w:val="center"/>
        <w:rPr>
          <w:noProof/>
          <w:highlight w:val="yellow"/>
        </w:rPr>
      </w:pPr>
    </w:p>
    <w:p w:rsidR="00BC46F0" w:rsidRPr="002B47C5" w:rsidRDefault="000C7E16" w:rsidP="00BC46F0">
      <w:pPr>
        <w:jc w:val="center"/>
        <w:rPr>
          <w:noProof/>
          <w:highlight w:val="yellow"/>
        </w:rPr>
      </w:pPr>
      <w:r w:rsidRPr="000C7E16">
        <w:rPr>
          <w:noProof/>
        </w:rPr>
        <w:drawing>
          <wp:inline distT="0" distB="0" distL="0" distR="0">
            <wp:extent cx="3732028" cy="1467293"/>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732517" cy="1467485"/>
                    </a:xfrm>
                    <a:prstGeom prst="rect">
                      <a:avLst/>
                    </a:prstGeom>
                    <a:noFill/>
                    <a:ln w="9525">
                      <a:noFill/>
                      <a:miter lim="800000"/>
                      <a:headEnd/>
                      <a:tailEnd/>
                    </a:ln>
                  </pic:spPr>
                </pic:pic>
              </a:graphicData>
            </a:graphic>
          </wp:inline>
        </w:drawing>
      </w:r>
      <w:r w:rsidR="00BC46F0" w:rsidRPr="002B47C5">
        <w:rPr>
          <w:noProof/>
          <w:highlight w:val="yellow"/>
        </w:rPr>
        <w:br w:type="page"/>
      </w:r>
    </w:p>
    <w:p w:rsidR="00BC46F0" w:rsidRPr="002B47C5" w:rsidRDefault="00BC46F0" w:rsidP="004B67E7">
      <w:pPr>
        <w:pStyle w:val="ListParagraph"/>
        <w:numPr>
          <w:ilvl w:val="1"/>
          <w:numId w:val="2"/>
        </w:numPr>
        <w:rPr>
          <w:rStyle w:val="Heading2Char"/>
          <w:highlight w:val="yellow"/>
        </w:rPr>
        <w:sectPr w:rsidR="00BC46F0" w:rsidRPr="002B47C5" w:rsidSect="00BC46F0">
          <w:headerReference w:type="default" r:id="rId10"/>
          <w:footerReference w:type="default" r:id="rId11"/>
          <w:footerReference w:type="first" r:id="rId12"/>
          <w:pgSz w:w="11906" w:h="16838"/>
          <w:pgMar w:top="720" w:right="720" w:bottom="720" w:left="720" w:header="708" w:footer="708" w:gutter="0"/>
          <w:cols w:space="708"/>
          <w:docGrid w:linePitch="360"/>
        </w:sectPr>
      </w:pPr>
      <w:bookmarkStart w:id="2" w:name="_Toc381084846"/>
    </w:p>
    <w:p w:rsidR="00852390" w:rsidRPr="00852390" w:rsidRDefault="00A77EA2" w:rsidP="00852390">
      <w:pPr>
        <w:pStyle w:val="ListParagraph"/>
        <w:numPr>
          <w:ilvl w:val="1"/>
          <w:numId w:val="2"/>
        </w:numPr>
        <w:rPr>
          <w:rStyle w:val="Heading2Char"/>
        </w:rPr>
      </w:pPr>
      <w:r w:rsidRPr="00497711">
        <w:rPr>
          <w:rStyle w:val="Heading2Char"/>
        </w:rPr>
        <w:lastRenderedPageBreak/>
        <w:t>Summary Scorecard</w:t>
      </w:r>
      <w:bookmarkEnd w:id="2"/>
      <w:r w:rsidR="004F5DCA" w:rsidRPr="004F5DCA">
        <w:rPr>
          <w:rStyle w:val="Heading2Char"/>
          <w:b w:val="0"/>
          <w:bCs w:val="0"/>
        </w:rPr>
        <w:t xml:space="preserve"> </w:t>
      </w:r>
    </w:p>
    <w:p w:rsidR="00852390" w:rsidRPr="00116145" w:rsidRDefault="00942A93" w:rsidP="00852390">
      <w:pPr>
        <w:rPr>
          <w:rStyle w:val="Heading2Char"/>
        </w:rPr>
      </w:pPr>
      <w:r w:rsidRPr="00942A93">
        <w:rPr>
          <w:noProof/>
          <w:szCs w:val="26"/>
        </w:rPr>
        <w:drawing>
          <wp:inline distT="0" distB="0" distL="0" distR="0">
            <wp:extent cx="9777730" cy="4132255"/>
            <wp:effectExtent l="19050" t="0" r="0"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9777730" cy="4132255"/>
                    </a:xfrm>
                    <a:prstGeom prst="rect">
                      <a:avLst/>
                    </a:prstGeom>
                    <a:noFill/>
                    <a:ln w="9525">
                      <a:noFill/>
                      <a:miter lim="800000"/>
                      <a:headEnd/>
                      <a:tailEnd/>
                    </a:ln>
                  </pic:spPr>
                </pic:pic>
              </a:graphicData>
            </a:graphic>
          </wp:inline>
        </w:drawing>
      </w:r>
    </w:p>
    <w:p w:rsidR="004F5DCA" w:rsidRDefault="00942A93" w:rsidP="00827B0C">
      <w:pPr>
        <w:rPr>
          <w:rFonts w:asciiTheme="majorHAnsi" w:eastAsiaTheme="majorEastAsia" w:hAnsiTheme="majorHAnsi" w:cstheme="majorBidi"/>
          <w:b/>
          <w:bCs/>
          <w:color w:val="2DA2BF" w:themeColor="accent1"/>
          <w:sz w:val="26"/>
          <w:szCs w:val="26"/>
          <w:highlight w:val="yellow"/>
        </w:rPr>
      </w:pPr>
      <w:r w:rsidRPr="00942A93">
        <w:rPr>
          <w:noProof/>
          <w:szCs w:val="26"/>
        </w:rPr>
        <w:lastRenderedPageBreak/>
        <w:drawing>
          <wp:inline distT="0" distB="0" distL="0" distR="0">
            <wp:extent cx="9777730" cy="5726956"/>
            <wp:effectExtent l="1905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9777730" cy="5726956"/>
                    </a:xfrm>
                    <a:prstGeom prst="rect">
                      <a:avLst/>
                    </a:prstGeom>
                    <a:noFill/>
                    <a:ln w="9525">
                      <a:noFill/>
                      <a:miter lim="800000"/>
                      <a:headEnd/>
                      <a:tailEnd/>
                    </a:ln>
                  </pic:spPr>
                </pic:pic>
              </a:graphicData>
            </a:graphic>
          </wp:inline>
        </w:drawing>
      </w:r>
      <w:r w:rsidR="00400136" w:rsidRPr="00400136">
        <w:rPr>
          <w:rFonts w:asciiTheme="majorHAnsi" w:eastAsiaTheme="majorEastAsia" w:hAnsiTheme="majorHAnsi" w:cstheme="majorBidi"/>
          <w:b/>
          <w:bCs/>
          <w:color w:val="2DA2BF" w:themeColor="accent1"/>
          <w:sz w:val="26"/>
          <w:szCs w:val="26"/>
          <w:highlight w:val="yellow"/>
        </w:rPr>
        <w:t xml:space="preserve"> </w:t>
      </w:r>
      <w:r w:rsidR="00400136" w:rsidRPr="00400136">
        <w:rPr>
          <w:noProof/>
          <w:szCs w:val="26"/>
        </w:rPr>
        <w:lastRenderedPageBreak/>
        <w:drawing>
          <wp:inline distT="0" distB="0" distL="0" distR="0">
            <wp:extent cx="9777730" cy="5809363"/>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9777730" cy="5809363"/>
                    </a:xfrm>
                    <a:prstGeom prst="rect">
                      <a:avLst/>
                    </a:prstGeom>
                    <a:noFill/>
                    <a:ln w="9525">
                      <a:noFill/>
                      <a:miter lim="800000"/>
                      <a:headEnd/>
                      <a:tailEnd/>
                    </a:ln>
                  </pic:spPr>
                </pic:pic>
              </a:graphicData>
            </a:graphic>
          </wp:inline>
        </w:drawing>
      </w:r>
      <w:r w:rsidR="00400136" w:rsidRPr="00400136">
        <w:rPr>
          <w:rFonts w:asciiTheme="majorHAnsi" w:eastAsiaTheme="majorEastAsia" w:hAnsiTheme="majorHAnsi" w:cstheme="majorBidi"/>
          <w:b/>
          <w:bCs/>
          <w:color w:val="2DA2BF" w:themeColor="accent1"/>
          <w:sz w:val="26"/>
          <w:szCs w:val="26"/>
          <w:highlight w:val="yellow"/>
        </w:rPr>
        <w:lastRenderedPageBreak/>
        <w:t xml:space="preserve"> </w:t>
      </w:r>
      <w:r w:rsidR="00400136" w:rsidRPr="00400136">
        <w:rPr>
          <w:noProof/>
          <w:szCs w:val="26"/>
        </w:rPr>
        <w:drawing>
          <wp:inline distT="0" distB="0" distL="0" distR="0">
            <wp:extent cx="9777730" cy="5476230"/>
            <wp:effectExtent l="1905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9777730" cy="5476230"/>
                    </a:xfrm>
                    <a:prstGeom prst="rect">
                      <a:avLst/>
                    </a:prstGeom>
                    <a:noFill/>
                    <a:ln w="9525">
                      <a:noFill/>
                      <a:miter lim="800000"/>
                      <a:headEnd/>
                      <a:tailEnd/>
                    </a:ln>
                  </pic:spPr>
                </pic:pic>
              </a:graphicData>
            </a:graphic>
          </wp:inline>
        </w:drawing>
      </w:r>
      <w:r w:rsidRPr="00942A93">
        <w:rPr>
          <w:noProof/>
          <w:szCs w:val="26"/>
        </w:rPr>
        <w:lastRenderedPageBreak/>
        <w:drawing>
          <wp:inline distT="0" distB="0" distL="0" distR="0">
            <wp:extent cx="9777730" cy="5499973"/>
            <wp:effectExtent l="19050" t="0" r="0" b="0"/>
            <wp:docPr id="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9777730" cy="5499973"/>
                    </a:xfrm>
                    <a:prstGeom prst="rect">
                      <a:avLst/>
                    </a:prstGeom>
                    <a:noFill/>
                    <a:ln w="9525">
                      <a:noFill/>
                      <a:miter lim="800000"/>
                      <a:headEnd/>
                      <a:tailEnd/>
                    </a:ln>
                  </pic:spPr>
                </pic:pic>
              </a:graphicData>
            </a:graphic>
          </wp:inline>
        </w:drawing>
      </w:r>
    </w:p>
    <w:p w:rsidR="00713381" w:rsidRPr="004F5DCA" w:rsidRDefault="00713381" w:rsidP="004F5DCA">
      <w:pPr>
        <w:rPr>
          <w:rFonts w:asciiTheme="majorHAnsi" w:eastAsiaTheme="majorEastAsia" w:hAnsiTheme="majorHAnsi" w:cstheme="majorBidi"/>
          <w:b/>
          <w:bCs/>
          <w:color w:val="2DA2BF" w:themeColor="accent1"/>
          <w:sz w:val="26"/>
          <w:szCs w:val="26"/>
          <w:highlight w:val="yellow"/>
        </w:rPr>
      </w:pPr>
      <w:r w:rsidRPr="009648EB">
        <w:rPr>
          <w:b/>
          <w:noProof/>
          <w:color w:val="21798E" w:themeColor="accent1" w:themeShade="BF"/>
          <w:sz w:val="16"/>
        </w:rPr>
        <w:t xml:space="preserve">Data reported in arrears - * </w:t>
      </w:r>
    </w:p>
    <w:p w:rsidR="00CD5059" w:rsidRDefault="00CD5059">
      <w:pPr>
        <w:rPr>
          <w:noProof/>
        </w:rPr>
        <w:sectPr w:rsidR="00CD5059" w:rsidSect="00BC46F0">
          <w:pgSz w:w="16838" w:h="11906" w:orient="landscape"/>
          <w:pgMar w:top="720" w:right="720" w:bottom="720" w:left="720" w:header="708" w:footer="708" w:gutter="0"/>
          <w:cols w:space="708"/>
          <w:docGrid w:linePitch="360"/>
        </w:sectPr>
      </w:pPr>
    </w:p>
    <w:p w:rsidR="0057752D" w:rsidRDefault="0057752D" w:rsidP="00083973">
      <w:pPr>
        <w:jc w:val="both"/>
        <w:rPr>
          <w:rFonts w:cstheme="minorHAnsi"/>
          <w:color w:val="000000"/>
          <w:sz w:val="24"/>
          <w:szCs w:val="24"/>
        </w:rPr>
      </w:pPr>
      <w:bookmarkStart w:id="3" w:name="_Toc362959119"/>
      <w:bookmarkStart w:id="4" w:name="_Toc362959130"/>
    </w:p>
    <w:p w:rsidR="00BB54FD" w:rsidRPr="00AA6E36" w:rsidRDefault="006101CF" w:rsidP="00BB54FD">
      <w:pPr>
        <w:pStyle w:val="Heading1"/>
        <w:rPr>
          <w:sz w:val="52"/>
        </w:rPr>
      </w:pPr>
      <w:bookmarkStart w:id="5" w:name="_Toc362959117"/>
      <w:bookmarkStart w:id="6" w:name="_Toc381084848"/>
      <w:bookmarkStart w:id="7" w:name="_Toc362959116"/>
      <w:bookmarkStart w:id="8" w:name="_Toc381084847"/>
      <w:r w:rsidRPr="006101CF">
        <w:rPr>
          <w:noProof/>
        </w:rPr>
        <w:pict>
          <v:roundrect id="_x0000_s1045" style="position:absolute;margin-left:-17.85pt;margin-top:59.85pt;width:551.65pt;height:391.8pt;z-index:251738112" arcsize="10923f" fillcolor="white [3201]" strokecolor="#79cbdf [1940]" strokeweight="1pt">
            <v:fill color2="#a6dcea [1300]" focusposition="1" focussize="" focus="100%" type="gradient"/>
            <v:shadow on="t" type="perspective" color="#16505e [1604]" opacity=".5" offset="1pt" offset2="-3pt"/>
            <v:textbox style="mso-next-textbox:#_x0000_s1045">
              <w:txbxContent>
                <w:p w:rsidR="002D316E" w:rsidRDefault="002D316E" w:rsidP="00BB54FD">
                  <w:pPr>
                    <w:jc w:val="both"/>
                    <w:rPr>
                      <w:sz w:val="24"/>
                      <w:szCs w:val="24"/>
                    </w:rPr>
                  </w:pPr>
                  <w:r>
                    <w:rPr>
                      <w:sz w:val="24"/>
                      <w:szCs w:val="24"/>
                    </w:rPr>
                    <w:t>The Board receives the first Harm Free Care Report in November 2014.  As these reports are regularly scheduled and include detail on some metrics of the performance scorecard these elements are not duplicated unless by exception.</w:t>
                  </w:r>
                </w:p>
                <w:p w:rsidR="002D316E" w:rsidRPr="005A77E2" w:rsidRDefault="002D316E" w:rsidP="00BB54FD">
                  <w:pPr>
                    <w:jc w:val="both"/>
                    <w:rPr>
                      <w:sz w:val="24"/>
                      <w:szCs w:val="24"/>
                    </w:rPr>
                  </w:pPr>
                  <w:r>
                    <w:rPr>
                      <w:sz w:val="24"/>
                      <w:szCs w:val="24"/>
                    </w:rPr>
                    <w:t>Both response rate and Net Promoter scores for the Friends and Family Test decreased in August and September.  Work continues with key ward and department areas to address this with the Trust Lead also undertaking work with frequent suppliers of agency staff.</w:t>
                  </w:r>
                  <w:r w:rsidRPr="005A77E2">
                    <w:rPr>
                      <w:sz w:val="24"/>
                      <w:szCs w:val="24"/>
                    </w:rPr>
                    <w:tab/>
                  </w:r>
                </w:p>
                <w:p w:rsidR="002D316E" w:rsidRPr="005A77E2" w:rsidRDefault="002D316E" w:rsidP="00BB54FD">
                  <w:pPr>
                    <w:jc w:val="both"/>
                    <w:rPr>
                      <w:sz w:val="24"/>
                      <w:szCs w:val="24"/>
                    </w:rPr>
                  </w:pPr>
                  <w:r w:rsidRPr="005A77E2">
                    <w:rPr>
                      <w:sz w:val="24"/>
                      <w:szCs w:val="24"/>
                    </w:rPr>
                    <w:t>In September the Trust improved performance and achieved the national target of 95% with 97.2% of appropriate patients receiving a VTE risk assessment.</w:t>
                  </w:r>
                </w:p>
                <w:p w:rsidR="002D316E" w:rsidRPr="005A77E2" w:rsidRDefault="002D316E" w:rsidP="00BB54FD">
                  <w:pPr>
                    <w:jc w:val="both"/>
                    <w:rPr>
                      <w:sz w:val="24"/>
                      <w:szCs w:val="24"/>
                    </w:rPr>
                  </w:pPr>
                  <w:r w:rsidRPr="005A77E2">
                    <w:rPr>
                      <w:sz w:val="24"/>
                      <w:szCs w:val="24"/>
                    </w:rPr>
                    <w:t>The management of complaints across the Trust has recently undergone a period of change brought into effect by the Director of Nursing to improve patient experience.  The Trust is currently trialling a process where concerns are sent to the relevant are</w:t>
                  </w:r>
                  <w:r>
                    <w:rPr>
                      <w:sz w:val="24"/>
                      <w:szCs w:val="24"/>
                    </w:rPr>
                    <w:t>a with a 48 hour resolution with the aim of responding and resolving at the earliest opportunity</w:t>
                  </w:r>
                  <w:r w:rsidRPr="005A77E2">
                    <w:rPr>
                      <w:sz w:val="24"/>
                      <w:szCs w:val="24"/>
                    </w:rPr>
                    <w:t>.</w:t>
                  </w:r>
                  <w:r>
                    <w:rPr>
                      <w:sz w:val="24"/>
                      <w:szCs w:val="24"/>
                    </w:rPr>
                    <w:t xml:space="preserve">  The target for response times was achieved in both months and will continue to be a focus on improvement activity.</w:t>
                  </w:r>
                </w:p>
                <w:p w:rsidR="002D316E" w:rsidRDefault="002D316E" w:rsidP="00BB54FD"/>
              </w:txbxContent>
            </v:textbox>
          </v:roundrect>
        </w:pict>
      </w:r>
      <w:bookmarkEnd w:id="5"/>
      <w:bookmarkEnd w:id="6"/>
      <w:r w:rsidR="00BB54FD">
        <w:rPr>
          <w:sz w:val="56"/>
        </w:rPr>
        <w:t>Section 2</w:t>
      </w:r>
      <w:r w:rsidR="00BB54FD" w:rsidRPr="00AA6E36">
        <w:rPr>
          <w:sz w:val="56"/>
        </w:rPr>
        <w:t xml:space="preserve"> Quality &amp; Patient Safety</w:t>
      </w:r>
      <w:bookmarkEnd w:id="7"/>
      <w:bookmarkEnd w:id="8"/>
    </w:p>
    <w:p w:rsidR="00BB54FD" w:rsidRPr="005A77E2" w:rsidRDefault="00BB54FD" w:rsidP="002D316E">
      <w:pPr>
        <w:pStyle w:val="Heading2"/>
        <w:rPr>
          <w:sz w:val="24"/>
          <w:szCs w:val="24"/>
        </w:rPr>
      </w:pPr>
      <w:bookmarkStart w:id="9" w:name="_Toc362959118"/>
      <w:bookmarkStart w:id="10" w:name="_Toc381084849"/>
      <w:r w:rsidRPr="005A77E2">
        <w:rPr>
          <w:sz w:val="24"/>
          <w:szCs w:val="24"/>
        </w:rPr>
        <w:t xml:space="preserve"> </w:t>
      </w:r>
      <w:proofErr w:type="gramStart"/>
      <w:r w:rsidRPr="005A77E2">
        <w:rPr>
          <w:sz w:val="24"/>
          <w:szCs w:val="24"/>
        </w:rPr>
        <w:t>continues</w:t>
      </w:r>
      <w:proofErr w:type="gramEnd"/>
      <w:r w:rsidRPr="005A77E2">
        <w:rPr>
          <w:sz w:val="24"/>
          <w:szCs w:val="24"/>
        </w:rPr>
        <w:t xml:space="preserve"> on falls prevention with an increase noted in August and September.  Staff education regarding falls prevention remains an ongoing commitment and all nursing staff on wards where significant harm is a result of a fall will receive a letter of recommendations to follow.  SWARM has been reinvigorated on Kewstoke ward, and the outcome is reflected in the reduction of patient falls in that area.  As a result, Hutton and Uphill wards have been invited to complete SWARM documents</w:t>
      </w:r>
      <w:r w:rsidRPr="005A77E2">
        <w:rPr>
          <w:sz w:val="24"/>
          <w:szCs w:val="24"/>
        </w:rPr>
        <w:tab/>
      </w:r>
    </w:p>
    <w:p w:rsidR="00BB54FD" w:rsidRPr="005A77E2" w:rsidRDefault="00BB54FD" w:rsidP="00BB54FD">
      <w:pPr>
        <w:jc w:val="both"/>
        <w:rPr>
          <w:sz w:val="24"/>
          <w:szCs w:val="24"/>
        </w:rPr>
      </w:pPr>
      <w:r w:rsidRPr="005A77E2">
        <w:rPr>
          <w:sz w:val="24"/>
          <w:szCs w:val="24"/>
        </w:rPr>
        <w:t>In September the Trust improved performance and achieved the national target of 95% with 97.2% of appropriate patients receiving a VTE risk assessment.</w:t>
      </w:r>
    </w:p>
    <w:p w:rsidR="00BB54FD" w:rsidRPr="005A77E2" w:rsidRDefault="00BB54FD" w:rsidP="00BB54FD">
      <w:pPr>
        <w:jc w:val="both"/>
        <w:rPr>
          <w:sz w:val="24"/>
          <w:szCs w:val="24"/>
        </w:rPr>
      </w:pPr>
      <w:r w:rsidRPr="005A77E2">
        <w:rPr>
          <w:sz w:val="24"/>
          <w:szCs w:val="24"/>
        </w:rPr>
        <w:t>The management of complaints across the Trust has recently undergone a period of change brought into effect by the Director of Nursing to improve patient experience.  The Trust is currently trialling a process where concerns are sent to the relevant area with a 48 hour resolution time.</w:t>
      </w:r>
    </w:p>
    <w:p w:rsidR="00BB54FD" w:rsidRDefault="00BB54FD" w:rsidP="00BB54FD">
      <w:pPr>
        <w:pStyle w:val="Heading2"/>
        <w:tabs>
          <w:tab w:val="left" w:pos="1273"/>
        </w:tabs>
        <w:rPr>
          <w:rFonts w:asciiTheme="minorHAnsi" w:eastAsiaTheme="minorEastAsia" w:hAnsiTheme="minorHAnsi" w:cs="Arial"/>
          <w:b w:val="0"/>
          <w:bCs w:val="0"/>
          <w:color w:val="auto"/>
          <w:sz w:val="24"/>
          <w:szCs w:val="24"/>
        </w:rPr>
      </w:pPr>
    </w:p>
    <w:p w:rsidR="00BB54FD" w:rsidRDefault="00BB54FD" w:rsidP="00BB54FD"/>
    <w:p w:rsidR="00BB54FD" w:rsidRDefault="00BB54FD" w:rsidP="00BB54FD">
      <w:pPr>
        <w:pStyle w:val="Heading2"/>
      </w:pPr>
    </w:p>
    <w:p w:rsidR="00BB54FD" w:rsidRDefault="00BB54FD" w:rsidP="00BB54FD">
      <w:pPr>
        <w:pStyle w:val="Heading2"/>
      </w:pPr>
    </w:p>
    <w:p w:rsidR="00BB54FD" w:rsidRPr="0079070A" w:rsidRDefault="00BB54FD" w:rsidP="00BB54FD">
      <w:pPr>
        <w:pStyle w:val="Heading2"/>
      </w:pPr>
      <w:r w:rsidRPr="0079070A">
        <w:t>2.1. Patient Story</w:t>
      </w:r>
    </w:p>
    <w:bookmarkEnd w:id="9"/>
    <w:bookmarkEnd w:id="10"/>
    <w:p w:rsidR="00BB54FD" w:rsidRPr="00BB54FD" w:rsidRDefault="00BB54FD" w:rsidP="00BB54FD">
      <w:pPr>
        <w:contextualSpacing/>
        <w:jc w:val="both"/>
        <w:rPr>
          <w:sz w:val="24"/>
          <w:szCs w:val="24"/>
        </w:rPr>
      </w:pPr>
      <w:r w:rsidRPr="00BB54FD">
        <w:rPr>
          <w:sz w:val="24"/>
          <w:szCs w:val="24"/>
        </w:rPr>
        <w:t xml:space="preserve">The patient story presented to the Board is one of the stories captured by the Patients’ Council as part of their work supporting Trust improvements.  The Council Members visit patients and their family at home and, using prompts based on the bold headings, capture a narrative of the patient experience.  The patient whose story is presented today was an inpatient between December 2013 and February 2014.  </w:t>
      </w:r>
    </w:p>
    <w:p w:rsidR="00BB54FD" w:rsidRDefault="00BB54FD" w:rsidP="00BB54FD">
      <w:pPr>
        <w:contextualSpacing/>
        <w:rPr>
          <w:sz w:val="24"/>
          <w:szCs w:val="24"/>
        </w:rPr>
      </w:pPr>
    </w:p>
    <w:p w:rsidR="0079070A" w:rsidRDefault="0079070A" w:rsidP="00BB54FD">
      <w:pPr>
        <w:contextualSpacing/>
        <w:rPr>
          <w:sz w:val="24"/>
          <w:szCs w:val="24"/>
        </w:rPr>
      </w:pPr>
    </w:p>
    <w:p w:rsidR="0079070A" w:rsidRPr="00BB54FD" w:rsidRDefault="0079070A" w:rsidP="00BB54FD">
      <w:pPr>
        <w:contextualSpacing/>
        <w:rPr>
          <w:sz w:val="24"/>
          <w:szCs w:val="24"/>
        </w:rPr>
      </w:pPr>
    </w:p>
    <w:p w:rsidR="002A0215" w:rsidRDefault="002A0215" w:rsidP="00BB54FD">
      <w:pPr>
        <w:contextualSpacing/>
        <w:rPr>
          <w:b/>
          <w:sz w:val="24"/>
          <w:szCs w:val="24"/>
        </w:rPr>
      </w:pPr>
    </w:p>
    <w:p w:rsidR="00BB54FD" w:rsidRDefault="00BB54FD" w:rsidP="00BB54FD">
      <w:pPr>
        <w:contextualSpacing/>
        <w:rPr>
          <w:b/>
          <w:sz w:val="24"/>
          <w:szCs w:val="24"/>
        </w:rPr>
      </w:pPr>
      <w:r w:rsidRPr="004316BF">
        <w:rPr>
          <w:b/>
          <w:sz w:val="24"/>
          <w:szCs w:val="24"/>
        </w:rPr>
        <w:lastRenderedPageBreak/>
        <w:t>Feeling unwell at home and coming into hospital</w:t>
      </w:r>
    </w:p>
    <w:p w:rsidR="00BB54FD" w:rsidRPr="00083973" w:rsidRDefault="00BB54FD" w:rsidP="00BB54FD">
      <w:pPr>
        <w:jc w:val="both"/>
        <w:rPr>
          <w:b/>
          <w:sz w:val="24"/>
          <w:szCs w:val="24"/>
        </w:rPr>
      </w:pPr>
      <w:r>
        <w:rPr>
          <w:sz w:val="24"/>
          <w:szCs w:val="24"/>
        </w:rPr>
        <w:t>We had an accident in Bristol. I was helped back off the floor so we came back home. The next day I walked to the bathroom and was in great pain up my leg. We couldn’t see anything. The District Nurse was coming so we asked her about it. She said she thought it was alright but she phoned the hospital to see if we could come in and we went down in the afternoon to be seen in A&amp;E.</w:t>
      </w:r>
    </w:p>
    <w:p w:rsidR="00BB54FD" w:rsidRDefault="00BB54FD" w:rsidP="00BB54FD">
      <w:pPr>
        <w:jc w:val="both"/>
        <w:rPr>
          <w:sz w:val="24"/>
          <w:szCs w:val="24"/>
        </w:rPr>
      </w:pPr>
      <w:r>
        <w:rPr>
          <w:sz w:val="24"/>
          <w:szCs w:val="24"/>
        </w:rPr>
        <w:t xml:space="preserve">I was treated very well </w:t>
      </w:r>
      <w:r w:rsidR="00B56A67">
        <w:rPr>
          <w:sz w:val="24"/>
          <w:szCs w:val="24"/>
        </w:rPr>
        <w:t>there;</w:t>
      </w:r>
      <w:r>
        <w:rPr>
          <w:sz w:val="24"/>
          <w:szCs w:val="24"/>
        </w:rPr>
        <w:t xml:space="preserve"> the only thing was that the Nurse Practitioner said ‘we’d like you in for one night’ – but that one night turned out to be ten weeks!</w:t>
      </w:r>
      <w:r w:rsidRPr="00C870F1">
        <w:rPr>
          <w:sz w:val="24"/>
          <w:szCs w:val="24"/>
        </w:rPr>
        <w:t xml:space="preserve"> </w:t>
      </w:r>
      <w:r>
        <w:rPr>
          <w:sz w:val="24"/>
          <w:szCs w:val="24"/>
        </w:rPr>
        <w:t>I was then admitted to Steepholm. I had a back slab put on.</w:t>
      </w:r>
    </w:p>
    <w:p w:rsidR="00BB54FD" w:rsidRDefault="00BB54FD" w:rsidP="00BB54FD">
      <w:pPr>
        <w:contextualSpacing/>
        <w:rPr>
          <w:b/>
          <w:sz w:val="24"/>
          <w:szCs w:val="24"/>
        </w:rPr>
      </w:pPr>
      <w:r w:rsidRPr="004316BF">
        <w:rPr>
          <w:b/>
          <w:sz w:val="24"/>
          <w:szCs w:val="24"/>
        </w:rPr>
        <w:t>Being on the ward</w:t>
      </w:r>
    </w:p>
    <w:p w:rsidR="00BB54FD" w:rsidRPr="00083973" w:rsidRDefault="00BB54FD" w:rsidP="00BB54FD">
      <w:pPr>
        <w:jc w:val="both"/>
        <w:rPr>
          <w:b/>
          <w:sz w:val="24"/>
          <w:szCs w:val="24"/>
        </w:rPr>
      </w:pPr>
      <w:r>
        <w:rPr>
          <w:sz w:val="24"/>
          <w:szCs w:val="24"/>
        </w:rPr>
        <w:t>I was treated very well on Steepholm. Staff were extremely helpful. Everything went fine with my personal needs looked after all the time. Obviously I had to be hoisted – so you sometimes had to wait – but that was ok. They were good on Steepholm. I’ve got a catheter so they dealt with that. They were a delight really. I was in over Christmas and everyone was very nice. They came to see me and everything.</w:t>
      </w:r>
    </w:p>
    <w:p w:rsidR="00BB54FD" w:rsidRDefault="00BB54FD" w:rsidP="00BB54FD">
      <w:pPr>
        <w:jc w:val="both"/>
        <w:rPr>
          <w:sz w:val="24"/>
          <w:szCs w:val="24"/>
        </w:rPr>
      </w:pPr>
      <w:r>
        <w:rPr>
          <w:sz w:val="24"/>
          <w:szCs w:val="24"/>
        </w:rPr>
        <w:t>After Christmas I was moved to Uphill. Again the nursing care was terrific. When I was there one night I was violently sick and I brought up some blood. The treatment I received was second to none. I had doctors and drips and x-rays and everything. I was completely sorted out.</w:t>
      </w:r>
    </w:p>
    <w:p w:rsidR="00BB54FD" w:rsidRDefault="00BB54FD" w:rsidP="00BB54FD">
      <w:pPr>
        <w:jc w:val="both"/>
        <w:rPr>
          <w:sz w:val="24"/>
          <w:szCs w:val="24"/>
        </w:rPr>
      </w:pPr>
      <w:r>
        <w:rPr>
          <w:sz w:val="24"/>
          <w:szCs w:val="24"/>
        </w:rPr>
        <w:t>I take 20 tablets in the morning, 6 at lunchtime, 11 at teatime and 6 at bedtime. Yet there were no problems at all with this. I also have nebulisers. One day I tried to get out of bed with the OTs help – which was a dreadful thing to do – because I hadn’t had my nebuliser, but this was soon sorted out by the OT who called a staff nurse from another bay.</w:t>
      </w:r>
    </w:p>
    <w:p w:rsidR="00BB54FD" w:rsidRDefault="00BB54FD" w:rsidP="00BB54FD">
      <w:pPr>
        <w:jc w:val="both"/>
        <w:rPr>
          <w:sz w:val="24"/>
          <w:szCs w:val="24"/>
        </w:rPr>
      </w:pPr>
      <w:r>
        <w:rPr>
          <w:sz w:val="24"/>
          <w:szCs w:val="24"/>
        </w:rPr>
        <w:t xml:space="preserve">There was a bad time on Uphill. Everyone else had Alzheimer’s in the bay. They were all older than my mother. We didn’t think that there was enough staff because one of the patients needed one to one care. The nurses used to say to me ‘could you give us a ring if someone goes wandering or something’. The nursing care was good there but there </w:t>
      </w:r>
      <w:r w:rsidR="00B56A67">
        <w:rPr>
          <w:sz w:val="24"/>
          <w:szCs w:val="24"/>
        </w:rPr>
        <w:t>wasn’t</w:t>
      </w:r>
      <w:r>
        <w:rPr>
          <w:sz w:val="24"/>
          <w:szCs w:val="24"/>
        </w:rPr>
        <w:t xml:space="preserve"> enough staff for people who were getting violent etc. That was the place we felt that there wasn’t enough staff. Nobody should be made to work like that. They were stretched too much.</w:t>
      </w:r>
    </w:p>
    <w:p w:rsidR="00BB54FD" w:rsidRPr="00CA5140" w:rsidRDefault="00BB54FD" w:rsidP="00BB54FD">
      <w:pPr>
        <w:jc w:val="both"/>
        <w:rPr>
          <w:sz w:val="24"/>
          <w:szCs w:val="24"/>
        </w:rPr>
      </w:pPr>
      <w:r w:rsidRPr="00CA5140">
        <w:rPr>
          <w:sz w:val="24"/>
          <w:szCs w:val="24"/>
        </w:rPr>
        <w:lastRenderedPageBreak/>
        <w:t>We overheard a nurse saying that another couldn’t go for tea break because a nurse hadn’t turned up for the shift.</w:t>
      </w:r>
    </w:p>
    <w:p w:rsidR="00BB54FD" w:rsidRDefault="00BB54FD" w:rsidP="00BB54FD">
      <w:pPr>
        <w:jc w:val="both"/>
        <w:rPr>
          <w:sz w:val="24"/>
          <w:szCs w:val="24"/>
        </w:rPr>
      </w:pPr>
      <w:r>
        <w:rPr>
          <w:sz w:val="24"/>
          <w:szCs w:val="24"/>
        </w:rPr>
        <w:t xml:space="preserve">A side room became available but I refused it because I was used to being in the bay. </w:t>
      </w:r>
    </w:p>
    <w:p w:rsidR="00BB54FD" w:rsidRDefault="00BB54FD" w:rsidP="00BB54FD">
      <w:pPr>
        <w:jc w:val="both"/>
        <w:rPr>
          <w:sz w:val="24"/>
          <w:szCs w:val="24"/>
        </w:rPr>
      </w:pPr>
      <w:r>
        <w:rPr>
          <w:sz w:val="24"/>
          <w:szCs w:val="24"/>
        </w:rPr>
        <w:t>The one thing that did upset me was that they told me that I was going to Rowan – at about 8pm. I cried because I was settled on Uphill. In the end I was transferred at about 11pm. When I got to Rowan, they were very nice but I was very tired.</w:t>
      </w:r>
    </w:p>
    <w:p w:rsidR="00BB54FD" w:rsidRPr="004316BF" w:rsidRDefault="00BB54FD" w:rsidP="00BB54FD">
      <w:pPr>
        <w:jc w:val="both"/>
        <w:rPr>
          <w:sz w:val="24"/>
          <w:szCs w:val="24"/>
        </w:rPr>
      </w:pPr>
      <w:r>
        <w:rPr>
          <w:sz w:val="24"/>
          <w:szCs w:val="24"/>
        </w:rPr>
        <w:t>I went to Rowan, had physiotherapy and occupational therapy every day and they helped me get walking again. It’s nice in there when you get sorted. I had my own room there as well.</w:t>
      </w:r>
    </w:p>
    <w:p w:rsidR="00BB54FD" w:rsidRPr="004316BF" w:rsidRDefault="00BB54FD" w:rsidP="00BB54FD">
      <w:pPr>
        <w:contextualSpacing/>
        <w:rPr>
          <w:b/>
          <w:sz w:val="24"/>
          <w:szCs w:val="24"/>
        </w:rPr>
      </w:pPr>
      <w:r w:rsidRPr="004316BF">
        <w:rPr>
          <w:b/>
          <w:sz w:val="24"/>
          <w:szCs w:val="24"/>
        </w:rPr>
        <w:t>My personal needs</w:t>
      </w:r>
    </w:p>
    <w:p w:rsidR="00BB54FD" w:rsidRDefault="00BB54FD" w:rsidP="00BB54FD">
      <w:pPr>
        <w:rPr>
          <w:sz w:val="24"/>
          <w:szCs w:val="24"/>
        </w:rPr>
      </w:pPr>
      <w:r>
        <w:rPr>
          <w:sz w:val="24"/>
          <w:szCs w:val="24"/>
        </w:rPr>
        <w:t>The food was good. I would have liked a bit more variety at teatime because I can’t eat cheese &amp; fish. Cheese seemed to figure in everything.</w:t>
      </w:r>
    </w:p>
    <w:p w:rsidR="00BB54FD" w:rsidRDefault="00BB54FD" w:rsidP="00BB54FD">
      <w:pPr>
        <w:contextualSpacing/>
        <w:rPr>
          <w:b/>
          <w:sz w:val="24"/>
          <w:szCs w:val="24"/>
        </w:rPr>
      </w:pPr>
    </w:p>
    <w:p w:rsidR="00BB54FD" w:rsidRDefault="00BB54FD" w:rsidP="00BB54FD">
      <w:pPr>
        <w:contextualSpacing/>
        <w:rPr>
          <w:b/>
          <w:sz w:val="24"/>
          <w:szCs w:val="24"/>
        </w:rPr>
      </w:pPr>
      <w:r w:rsidRPr="00083973">
        <w:rPr>
          <w:b/>
          <w:sz w:val="24"/>
          <w:szCs w:val="24"/>
        </w:rPr>
        <w:t>Outcome</w:t>
      </w:r>
    </w:p>
    <w:p w:rsidR="00BB54FD" w:rsidRDefault="00BB54FD" w:rsidP="00BB54FD">
      <w:pPr>
        <w:jc w:val="both"/>
        <w:rPr>
          <w:rFonts w:cstheme="minorHAnsi"/>
          <w:color w:val="000000"/>
          <w:sz w:val="24"/>
          <w:szCs w:val="24"/>
        </w:rPr>
      </w:pPr>
      <w:r w:rsidRPr="00083973">
        <w:rPr>
          <w:rFonts w:cstheme="minorHAnsi"/>
          <w:color w:val="000000"/>
          <w:sz w:val="24"/>
          <w:szCs w:val="24"/>
        </w:rPr>
        <w:t>The Trust </w:t>
      </w:r>
      <w:r>
        <w:rPr>
          <w:rFonts w:cstheme="minorHAnsi"/>
          <w:color w:val="000000"/>
          <w:sz w:val="24"/>
          <w:szCs w:val="24"/>
        </w:rPr>
        <w:t>has</w:t>
      </w:r>
      <w:r w:rsidRPr="00083973">
        <w:rPr>
          <w:rFonts w:cstheme="minorHAnsi"/>
          <w:color w:val="000000"/>
          <w:sz w:val="24"/>
          <w:szCs w:val="24"/>
        </w:rPr>
        <w:t xml:space="preserve"> an alternative menu which should be offered to the patient if the choices on the main menu are unsuitable.  This was a long term patient and the staff should have picked up on the patient’s diet and alternative food could </w:t>
      </w:r>
      <w:r>
        <w:rPr>
          <w:rFonts w:cstheme="minorHAnsi"/>
          <w:color w:val="000000"/>
          <w:sz w:val="24"/>
          <w:szCs w:val="24"/>
        </w:rPr>
        <w:t>have been arranged through the c</w:t>
      </w:r>
      <w:r w:rsidRPr="00083973">
        <w:rPr>
          <w:rFonts w:cstheme="minorHAnsi"/>
          <w:color w:val="000000"/>
          <w:sz w:val="24"/>
          <w:szCs w:val="24"/>
        </w:rPr>
        <w:t>ate</w:t>
      </w:r>
      <w:r>
        <w:rPr>
          <w:rFonts w:cstheme="minorHAnsi"/>
          <w:color w:val="000000"/>
          <w:sz w:val="24"/>
          <w:szCs w:val="24"/>
        </w:rPr>
        <w:t>ring department. The Facilities Manager will liaise with the</w:t>
      </w:r>
      <w:r w:rsidRPr="00083973">
        <w:rPr>
          <w:rFonts w:cstheme="minorHAnsi"/>
          <w:color w:val="000000"/>
          <w:sz w:val="24"/>
          <w:szCs w:val="24"/>
        </w:rPr>
        <w:t xml:space="preserve"> Housekeeping Manager to remind staff to communicate any patient’s</w:t>
      </w:r>
      <w:r>
        <w:rPr>
          <w:rFonts w:cstheme="minorHAnsi"/>
          <w:color w:val="000000"/>
          <w:sz w:val="24"/>
          <w:szCs w:val="24"/>
        </w:rPr>
        <w:t xml:space="preserve"> nutrition requirements to the c</w:t>
      </w:r>
      <w:r w:rsidRPr="00083973">
        <w:rPr>
          <w:rFonts w:cstheme="minorHAnsi"/>
          <w:color w:val="000000"/>
          <w:sz w:val="24"/>
          <w:szCs w:val="24"/>
        </w:rPr>
        <w:t>atering department.</w:t>
      </w:r>
    </w:p>
    <w:p w:rsidR="00BB54FD" w:rsidRDefault="00BB54FD" w:rsidP="00BB54FD">
      <w:pPr>
        <w:jc w:val="both"/>
        <w:rPr>
          <w:rFonts w:cstheme="minorHAnsi"/>
          <w:color w:val="000000"/>
          <w:sz w:val="24"/>
          <w:szCs w:val="24"/>
        </w:rPr>
      </w:pPr>
      <w:r>
        <w:rPr>
          <w:rFonts w:cstheme="minorHAnsi"/>
          <w:color w:val="000000"/>
          <w:sz w:val="24"/>
          <w:szCs w:val="24"/>
        </w:rPr>
        <w:t>Nurse staffing on Uphill Ward has been increased since this patient’s time on the ward.  Where wards are not working to their planned nurse numbers, there is a process in place for the Matron of the Hospital out of Hours Coordinator to review the ward at regular intervals to ensure that matters such as missed staff breaks are picked up and addressed.</w:t>
      </w:r>
    </w:p>
    <w:p w:rsidR="00BB54FD" w:rsidRDefault="00BB54FD" w:rsidP="00BB54FD">
      <w:pPr>
        <w:jc w:val="both"/>
        <w:rPr>
          <w:rFonts w:cstheme="minorHAnsi"/>
          <w:color w:val="000000"/>
          <w:sz w:val="24"/>
          <w:szCs w:val="24"/>
        </w:rPr>
      </w:pPr>
      <w:r>
        <w:rPr>
          <w:rFonts w:cstheme="minorHAnsi"/>
          <w:color w:val="000000"/>
          <w:sz w:val="24"/>
          <w:szCs w:val="24"/>
        </w:rPr>
        <w:t>Transfers between wards at night are avoided unless there is an absolute clinical need for this to occur.</w:t>
      </w:r>
    </w:p>
    <w:p w:rsidR="00D14FE8" w:rsidRDefault="00D14FE8" w:rsidP="00BB54FD">
      <w:pPr>
        <w:jc w:val="both"/>
        <w:rPr>
          <w:rFonts w:cstheme="minorHAnsi"/>
          <w:color w:val="000000"/>
          <w:sz w:val="24"/>
          <w:szCs w:val="24"/>
        </w:rPr>
      </w:pPr>
    </w:p>
    <w:p w:rsidR="00BB54FD" w:rsidRPr="0079070A" w:rsidRDefault="00BB54FD" w:rsidP="00BB54FD">
      <w:pPr>
        <w:pStyle w:val="Heading2"/>
        <w:jc w:val="both"/>
      </w:pPr>
      <w:r w:rsidRPr="0079070A">
        <w:lastRenderedPageBreak/>
        <w:t>2.2 Registration with Care Quality Commission (CQC)</w:t>
      </w:r>
    </w:p>
    <w:p w:rsidR="00BB54FD" w:rsidRPr="00C340A3" w:rsidRDefault="00BB54FD" w:rsidP="00BB54FD">
      <w:pPr>
        <w:jc w:val="both"/>
        <w:rPr>
          <w:sz w:val="24"/>
        </w:rPr>
      </w:pPr>
      <w:r w:rsidRPr="00C340A3">
        <w:rPr>
          <w:sz w:val="24"/>
        </w:rPr>
        <w:t>The Trust is compliant with all five of the CQC’s essential core standards of:</w:t>
      </w:r>
    </w:p>
    <w:p w:rsidR="00BB54FD" w:rsidRPr="00C340A3" w:rsidRDefault="00BB54FD" w:rsidP="00BB54FD">
      <w:pPr>
        <w:pStyle w:val="ListParagraph"/>
        <w:numPr>
          <w:ilvl w:val="0"/>
          <w:numId w:val="12"/>
        </w:numPr>
        <w:jc w:val="both"/>
        <w:rPr>
          <w:sz w:val="24"/>
        </w:rPr>
      </w:pPr>
      <w:r w:rsidRPr="00C340A3">
        <w:rPr>
          <w:sz w:val="24"/>
        </w:rPr>
        <w:t>Treating people with respect and involving them in their care</w:t>
      </w:r>
    </w:p>
    <w:p w:rsidR="00BB54FD" w:rsidRPr="00C340A3" w:rsidRDefault="00BB54FD" w:rsidP="00BB54FD">
      <w:pPr>
        <w:pStyle w:val="ListParagraph"/>
        <w:numPr>
          <w:ilvl w:val="0"/>
          <w:numId w:val="12"/>
        </w:numPr>
        <w:jc w:val="both"/>
        <w:rPr>
          <w:sz w:val="24"/>
        </w:rPr>
      </w:pPr>
      <w:r w:rsidRPr="00C340A3">
        <w:rPr>
          <w:sz w:val="24"/>
        </w:rPr>
        <w:t>Providing care, treatment and support the meets people’s needs</w:t>
      </w:r>
    </w:p>
    <w:p w:rsidR="00BB54FD" w:rsidRPr="00C340A3" w:rsidRDefault="00BB54FD" w:rsidP="00BB54FD">
      <w:pPr>
        <w:pStyle w:val="ListParagraph"/>
        <w:numPr>
          <w:ilvl w:val="0"/>
          <w:numId w:val="12"/>
        </w:numPr>
        <w:jc w:val="both"/>
        <w:rPr>
          <w:sz w:val="24"/>
        </w:rPr>
      </w:pPr>
      <w:r w:rsidRPr="00C340A3">
        <w:rPr>
          <w:sz w:val="24"/>
        </w:rPr>
        <w:t>Caring for people safely and protecting them from harm</w:t>
      </w:r>
    </w:p>
    <w:p w:rsidR="00BB54FD" w:rsidRPr="00C340A3" w:rsidRDefault="00BB54FD" w:rsidP="00BB54FD">
      <w:pPr>
        <w:pStyle w:val="ListParagraph"/>
        <w:numPr>
          <w:ilvl w:val="0"/>
          <w:numId w:val="12"/>
        </w:numPr>
        <w:jc w:val="both"/>
        <w:rPr>
          <w:sz w:val="24"/>
        </w:rPr>
      </w:pPr>
      <w:r w:rsidRPr="00C340A3">
        <w:rPr>
          <w:sz w:val="24"/>
        </w:rPr>
        <w:t>Staffing</w:t>
      </w:r>
    </w:p>
    <w:p w:rsidR="00BB54FD" w:rsidRPr="00C340A3" w:rsidRDefault="00BB54FD" w:rsidP="00BB54FD">
      <w:pPr>
        <w:pStyle w:val="ListParagraph"/>
        <w:numPr>
          <w:ilvl w:val="0"/>
          <w:numId w:val="12"/>
        </w:numPr>
        <w:jc w:val="both"/>
        <w:rPr>
          <w:sz w:val="24"/>
        </w:rPr>
      </w:pPr>
      <w:r w:rsidRPr="00C340A3">
        <w:rPr>
          <w:sz w:val="24"/>
        </w:rPr>
        <w:t>Quality &amp; suitability of management</w:t>
      </w:r>
    </w:p>
    <w:p w:rsidR="00BB54FD" w:rsidRPr="003B6774" w:rsidRDefault="00BB54FD" w:rsidP="00BB54FD">
      <w:pPr>
        <w:jc w:val="both"/>
        <w:rPr>
          <w:sz w:val="24"/>
        </w:rPr>
      </w:pPr>
      <w:r w:rsidRPr="00C340A3">
        <w:rPr>
          <w:sz w:val="24"/>
        </w:rPr>
        <w:t>The essential standards of quality and safety set by the CQC government body are central to our work as a Trust.</w:t>
      </w:r>
      <w:r w:rsidRPr="003B6774">
        <w:rPr>
          <w:sz w:val="24"/>
        </w:rPr>
        <w:t xml:space="preserve">  </w:t>
      </w:r>
    </w:p>
    <w:p w:rsidR="00BB54FD" w:rsidRDefault="00BB54FD" w:rsidP="00BB54FD">
      <w:pPr>
        <w:jc w:val="both"/>
        <w:rPr>
          <w:sz w:val="24"/>
        </w:rPr>
      </w:pPr>
      <w:bookmarkStart w:id="11" w:name="_Toc381084850"/>
      <w:r w:rsidRPr="00C340A3">
        <w:rPr>
          <w:sz w:val="24"/>
        </w:rPr>
        <w:t>The July 2014 Intelligent Monitoring Report, produced by the Care Quality Commission, places the Trust in priority banding 6 for inspection, with a banding of 1 being high priority for inspection and 6 being low priority for inspection, based on analysis of a number of quality and safety measures.</w:t>
      </w:r>
    </w:p>
    <w:p w:rsidR="00BB54FD" w:rsidRDefault="00BB54FD" w:rsidP="00BB54FD">
      <w:pPr>
        <w:jc w:val="both"/>
        <w:rPr>
          <w:sz w:val="24"/>
        </w:rPr>
      </w:pPr>
      <w:r>
        <w:rPr>
          <w:sz w:val="24"/>
        </w:rPr>
        <w:t>Quarterly monitoring of Trust compliance with CQC standards o</w:t>
      </w:r>
      <w:r w:rsidRPr="00C14E6D">
        <w:rPr>
          <w:sz w:val="24"/>
        </w:rPr>
        <w:t xml:space="preserve">ccurs via reporting to our Quality &amp; Governance Committee. </w:t>
      </w:r>
    </w:p>
    <w:p w:rsidR="00BB54FD" w:rsidRPr="00C14E6D" w:rsidRDefault="00BB54FD" w:rsidP="00BB54FD">
      <w:pPr>
        <w:jc w:val="both"/>
        <w:rPr>
          <w:sz w:val="24"/>
        </w:rPr>
      </w:pPr>
      <w:r>
        <w:rPr>
          <w:sz w:val="24"/>
        </w:rPr>
        <w:t>The Trust has been informed that the CQC will be undertaking an inspection of the Trust commencing 6</w:t>
      </w:r>
      <w:r w:rsidRPr="003D441C">
        <w:rPr>
          <w:sz w:val="24"/>
          <w:vertAlign w:val="superscript"/>
        </w:rPr>
        <w:t>th</w:t>
      </w:r>
      <w:r>
        <w:rPr>
          <w:sz w:val="24"/>
        </w:rPr>
        <w:t xml:space="preserve"> January 2015.</w:t>
      </w:r>
    </w:p>
    <w:p w:rsidR="00BB54FD" w:rsidRDefault="00BB54FD" w:rsidP="00BB54FD">
      <w:pPr>
        <w:jc w:val="both"/>
        <w:rPr>
          <w:rFonts w:asciiTheme="majorHAnsi" w:eastAsiaTheme="majorEastAsia" w:hAnsiTheme="majorHAnsi" w:cstheme="majorBidi"/>
          <w:b/>
          <w:bCs/>
          <w:color w:val="2DA2BF" w:themeColor="accent1"/>
          <w:sz w:val="26"/>
          <w:szCs w:val="26"/>
        </w:rPr>
      </w:pPr>
      <w:r>
        <w:br w:type="page"/>
      </w:r>
    </w:p>
    <w:p w:rsidR="00BB54FD" w:rsidRPr="0079070A" w:rsidRDefault="00BB54FD" w:rsidP="00BB54FD">
      <w:pPr>
        <w:pStyle w:val="Heading2"/>
      </w:pPr>
      <w:r w:rsidRPr="0079070A">
        <w:lastRenderedPageBreak/>
        <w:t>2.3 Nursing Metrics</w:t>
      </w:r>
      <w:bookmarkEnd w:id="11"/>
    </w:p>
    <w:p w:rsidR="00BB54FD" w:rsidRDefault="00BB54FD" w:rsidP="00D14FE8">
      <w:pPr>
        <w:jc w:val="both"/>
        <w:rPr>
          <w:sz w:val="24"/>
          <w:szCs w:val="24"/>
        </w:rPr>
      </w:pPr>
      <w:r>
        <w:rPr>
          <w:sz w:val="24"/>
          <w:szCs w:val="24"/>
        </w:rPr>
        <w:t>The agency usage for the ward and department areas included in the nursing metrics report for August and September was 19.68 and 18.82 respectively.  Escalation beds were open in Cheddar Ward during this time period to manage the additional activity for Referral to Treatment improvements and for emergency activity which led to an additional increase in agency staff usage.  Further detail is provided in the Human Resources section in relation to agency usage.</w:t>
      </w:r>
    </w:p>
    <w:p w:rsidR="00BB54FD" w:rsidRDefault="00BB54FD" w:rsidP="00D14FE8">
      <w:pPr>
        <w:jc w:val="both"/>
        <w:rPr>
          <w:sz w:val="24"/>
          <w:szCs w:val="24"/>
        </w:rPr>
      </w:pPr>
      <w:r>
        <w:rPr>
          <w:sz w:val="24"/>
          <w:szCs w:val="24"/>
        </w:rPr>
        <w:t xml:space="preserve">A number of the wards with higher agency use showed lower scores for the Friends and Family Test Net Promoter and for the exit card survey on nursing care.  The only ward with higher agency use and lower harm free care scores was Harptree.  The low score for harm free care on SAU/CDU in August 2014 was due to a number of patients admitted with a fractured neck of femur prior to admission as the NHS Safety Thermometer includes these patients in the new harm category.  </w:t>
      </w:r>
      <w:r w:rsidRPr="00632F6E">
        <w:rPr>
          <w:sz w:val="24"/>
          <w:szCs w:val="24"/>
        </w:rPr>
        <w:t>An intensive national and international recruitment programme has been undertaken in September and October with a total of 43 permanent and 25 bank nurses recruited.</w:t>
      </w:r>
    </w:p>
    <w:p w:rsidR="00BB54FD" w:rsidRDefault="00BB54FD" w:rsidP="00D14FE8">
      <w:pPr>
        <w:jc w:val="both"/>
        <w:rPr>
          <w:sz w:val="24"/>
          <w:szCs w:val="24"/>
        </w:rPr>
      </w:pPr>
      <w:r>
        <w:rPr>
          <w:sz w:val="24"/>
          <w:szCs w:val="24"/>
        </w:rPr>
        <w:t>Hartpree ward reported five instances of staffing issues during September. These related to shortness of staff for various reasons that were unavoidable as opposed to poor planning and need for additional staff due to the acuity of patients’ conditions.  Where a ward is working below staffing numbers, the Matron or Hospital out of Hours Coordinator are expected to review the ward regularly (at least two hourly) to ensure safety of care is maintained.</w:t>
      </w:r>
    </w:p>
    <w:p w:rsidR="00BB54FD" w:rsidRDefault="00BB54FD" w:rsidP="00D14FE8">
      <w:pPr>
        <w:jc w:val="both"/>
        <w:rPr>
          <w:sz w:val="24"/>
          <w:szCs w:val="24"/>
        </w:rPr>
      </w:pPr>
      <w:r>
        <w:rPr>
          <w:sz w:val="24"/>
          <w:szCs w:val="24"/>
        </w:rPr>
        <w:t>Additional support from Matrons and Heads of Nursing continues on Kewstoke, Uphill and Hutton Wards.</w:t>
      </w:r>
    </w:p>
    <w:p w:rsidR="00D14FE8" w:rsidRPr="00B8132A" w:rsidRDefault="00D14FE8" w:rsidP="00D14FE8">
      <w:pPr>
        <w:jc w:val="both"/>
        <w:rPr>
          <w:b/>
          <w:highlight w:val="yellow"/>
        </w:rPr>
        <w:sectPr w:rsidR="00D14FE8" w:rsidRPr="00B8132A" w:rsidSect="00D6526F">
          <w:pgSz w:w="11906" w:h="16838"/>
          <w:pgMar w:top="720" w:right="720" w:bottom="720" w:left="720" w:header="709" w:footer="709" w:gutter="0"/>
          <w:cols w:space="708"/>
          <w:docGrid w:linePitch="360"/>
        </w:sectPr>
      </w:pPr>
    </w:p>
    <w:p w:rsidR="00BB54FD" w:rsidRDefault="00BB54FD" w:rsidP="00BB54FD">
      <w:pPr>
        <w:rPr>
          <w:b/>
        </w:rPr>
      </w:pPr>
      <w:r w:rsidRPr="007A3101">
        <w:rPr>
          <w:b/>
        </w:rPr>
        <w:lastRenderedPageBreak/>
        <w:t>Figure 1:</w:t>
      </w:r>
      <w:r w:rsidRPr="00827F0C">
        <w:rPr>
          <w:b/>
        </w:rPr>
        <w:t xml:space="preserve"> </w:t>
      </w:r>
      <w:r w:rsidRPr="008A4C7A">
        <w:rPr>
          <w:noProof/>
        </w:rPr>
        <w:drawing>
          <wp:inline distT="0" distB="0" distL="0" distR="0">
            <wp:extent cx="9777730" cy="2639840"/>
            <wp:effectExtent l="19050" t="0" r="0"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9777730" cy="2639840"/>
                    </a:xfrm>
                    <a:prstGeom prst="rect">
                      <a:avLst/>
                    </a:prstGeom>
                    <a:noFill/>
                    <a:ln w="9525">
                      <a:noFill/>
                      <a:miter lim="800000"/>
                      <a:headEnd/>
                      <a:tailEnd/>
                    </a:ln>
                  </pic:spPr>
                </pic:pic>
              </a:graphicData>
            </a:graphic>
          </wp:inline>
        </w:drawing>
      </w:r>
    </w:p>
    <w:p w:rsidR="00BB54FD" w:rsidRDefault="00BB54FD" w:rsidP="00BB54FD">
      <w:pPr>
        <w:rPr>
          <w:b/>
        </w:rPr>
      </w:pPr>
      <w:r w:rsidRPr="007A3101">
        <w:rPr>
          <w:b/>
        </w:rPr>
        <w:t>Figure 2:</w:t>
      </w:r>
      <w:r w:rsidRPr="00180F3B">
        <w:rPr>
          <w:b/>
        </w:rPr>
        <w:t xml:space="preserve"> </w:t>
      </w:r>
      <w:r>
        <w:rPr>
          <w:b/>
        </w:rPr>
        <w:t xml:space="preserve">     </w:t>
      </w:r>
      <w:r w:rsidRPr="008A4C7A">
        <w:t>August 2014</w:t>
      </w:r>
      <w:r>
        <w:rPr>
          <w:b/>
        </w:rPr>
        <w:tab/>
      </w:r>
      <w:r w:rsidRPr="008A4C7A">
        <w:rPr>
          <w:noProof/>
        </w:rPr>
        <w:drawing>
          <wp:inline distT="0" distB="0" distL="0" distR="0">
            <wp:extent cx="9777730" cy="2133790"/>
            <wp:effectExtent l="19050" t="0" r="0"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9777730" cy="2133790"/>
                    </a:xfrm>
                    <a:prstGeom prst="rect">
                      <a:avLst/>
                    </a:prstGeom>
                    <a:noFill/>
                    <a:ln w="9525">
                      <a:noFill/>
                      <a:miter lim="800000"/>
                      <a:headEnd/>
                      <a:tailEnd/>
                    </a:ln>
                  </pic:spPr>
                </pic:pic>
              </a:graphicData>
            </a:graphic>
          </wp:inline>
        </w:drawing>
      </w:r>
    </w:p>
    <w:p w:rsidR="00BB54FD" w:rsidRDefault="00BB54FD" w:rsidP="00BB54FD">
      <w:pPr>
        <w:rPr>
          <w:b/>
        </w:rPr>
      </w:pPr>
    </w:p>
    <w:p w:rsidR="00BB54FD" w:rsidRDefault="00BB54FD" w:rsidP="00BB54FD">
      <w:pPr>
        <w:jc w:val="both"/>
        <w:rPr>
          <w:b/>
        </w:rPr>
      </w:pPr>
      <w:r w:rsidRPr="007A3101">
        <w:rPr>
          <w:b/>
        </w:rPr>
        <w:t>Figure 3:</w:t>
      </w:r>
      <w:r>
        <w:rPr>
          <w:b/>
        </w:rPr>
        <w:t xml:space="preserve">    </w:t>
      </w:r>
      <w:r w:rsidRPr="008A4C7A">
        <w:t>September 2014</w:t>
      </w:r>
    </w:p>
    <w:p w:rsidR="00BB54FD" w:rsidRDefault="00BB54FD" w:rsidP="00BB54FD">
      <w:pPr>
        <w:jc w:val="both"/>
        <w:rPr>
          <w:b/>
        </w:rPr>
      </w:pPr>
      <w:r w:rsidRPr="008A4C7A">
        <w:rPr>
          <w:noProof/>
        </w:rPr>
        <w:drawing>
          <wp:inline distT="0" distB="0" distL="0" distR="0">
            <wp:extent cx="9777730" cy="2133790"/>
            <wp:effectExtent l="19050" t="0" r="0"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9777730" cy="2133790"/>
                    </a:xfrm>
                    <a:prstGeom prst="rect">
                      <a:avLst/>
                    </a:prstGeom>
                    <a:noFill/>
                    <a:ln w="9525">
                      <a:noFill/>
                      <a:miter lim="800000"/>
                      <a:headEnd/>
                      <a:tailEnd/>
                    </a:ln>
                  </pic:spPr>
                </pic:pic>
              </a:graphicData>
            </a:graphic>
          </wp:inline>
        </w:drawing>
      </w:r>
    </w:p>
    <w:p w:rsidR="00BB54FD" w:rsidRDefault="00BB54FD" w:rsidP="00BB54FD">
      <w:pPr>
        <w:rPr>
          <w:highlight w:val="yellow"/>
        </w:rPr>
      </w:pPr>
    </w:p>
    <w:p w:rsidR="00BB54FD" w:rsidRPr="008346DA" w:rsidRDefault="00BB54FD" w:rsidP="00BB54FD">
      <w:pPr>
        <w:jc w:val="center"/>
        <w:rPr>
          <w:highlight w:val="yellow"/>
        </w:rPr>
        <w:sectPr w:rsidR="00BB54FD" w:rsidRPr="008346DA" w:rsidSect="00A534A7">
          <w:pgSz w:w="16838" w:h="11906" w:orient="landscape"/>
          <w:pgMar w:top="720" w:right="720" w:bottom="720" w:left="720" w:header="708" w:footer="708" w:gutter="0"/>
          <w:cols w:space="708"/>
          <w:docGrid w:linePitch="360"/>
        </w:sectPr>
      </w:pPr>
    </w:p>
    <w:p w:rsidR="00BB54FD" w:rsidRPr="0079070A" w:rsidRDefault="00BB54FD" w:rsidP="00BB54FD">
      <w:pPr>
        <w:pStyle w:val="Heading2"/>
      </w:pPr>
      <w:r w:rsidRPr="0079070A">
        <w:lastRenderedPageBreak/>
        <w:t xml:space="preserve">2.4 Incident Reporting </w:t>
      </w:r>
    </w:p>
    <w:p w:rsidR="00BB54FD" w:rsidRPr="00023C44" w:rsidRDefault="00BB54FD" w:rsidP="00BB54FD">
      <w:pPr>
        <w:spacing w:after="0" w:line="240" w:lineRule="auto"/>
        <w:jc w:val="both"/>
        <w:rPr>
          <w:rFonts w:cstheme="minorHAnsi"/>
          <w:sz w:val="24"/>
          <w:szCs w:val="24"/>
        </w:rPr>
      </w:pPr>
      <w:r w:rsidRPr="00023C44">
        <w:rPr>
          <w:rFonts w:cstheme="minorHAnsi"/>
          <w:sz w:val="24"/>
          <w:szCs w:val="24"/>
        </w:rPr>
        <w:t xml:space="preserve">Incident reporting systems and policies are integral to patient safety and enable the Trust to analyse the type, frequency and severity of incidents that occur. The Trust’s open and honest reporting demonstrates a commitment to our patients and their safety.   The information arising from these reports is used to make active changes to improve our provision of quality care and to safeguard the wellbeing of our staff and patients. </w:t>
      </w:r>
    </w:p>
    <w:p w:rsidR="00BB54FD" w:rsidRPr="00023C44" w:rsidRDefault="00BB54FD" w:rsidP="00BB54FD">
      <w:pPr>
        <w:spacing w:after="0" w:line="240" w:lineRule="auto"/>
        <w:jc w:val="both"/>
        <w:rPr>
          <w:rFonts w:cstheme="minorHAnsi"/>
          <w:sz w:val="24"/>
          <w:szCs w:val="24"/>
        </w:rPr>
      </w:pPr>
    </w:p>
    <w:p w:rsidR="00BB54FD" w:rsidRPr="00023C44" w:rsidRDefault="00BB54FD" w:rsidP="00BB54FD">
      <w:pPr>
        <w:spacing w:after="0" w:line="240" w:lineRule="auto"/>
        <w:jc w:val="both"/>
        <w:rPr>
          <w:rFonts w:cs="Arial"/>
          <w:sz w:val="24"/>
          <w:szCs w:val="24"/>
        </w:rPr>
      </w:pPr>
      <w:r>
        <w:rPr>
          <w:rFonts w:cs="Arial"/>
          <w:i/>
          <w:sz w:val="24"/>
          <w:szCs w:val="24"/>
        </w:rPr>
        <w:t>Figure 4</w:t>
      </w:r>
      <w:r w:rsidRPr="00023C44">
        <w:rPr>
          <w:rFonts w:cs="Arial"/>
          <w:i/>
          <w:sz w:val="24"/>
          <w:szCs w:val="24"/>
        </w:rPr>
        <w:t xml:space="preserve"> </w:t>
      </w:r>
      <w:r w:rsidRPr="00023C44">
        <w:rPr>
          <w:rFonts w:cs="Arial"/>
          <w:sz w:val="24"/>
          <w:szCs w:val="24"/>
        </w:rPr>
        <w:t xml:space="preserve">depicts the number of patient incidents reported each month, compared to previous years. </w:t>
      </w:r>
    </w:p>
    <w:p w:rsidR="00BB54FD" w:rsidRDefault="00BB54FD" w:rsidP="00BB54FD">
      <w:pPr>
        <w:spacing w:after="0" w:line="240" w:lineRule="auto"/>
        <w:jc w:val="both"/>
        <w:rPr>
          <w:rFonts w:cs="Arial"/>
        </w:rPr>
      </w:pPr>
    </w:p>
    <w:p w:rsidR="00BB54FD" w:rsidRPr="009C417C" w:rsidRDefault="00BB54FD" w:rsidP="00BB54FD">
      <w:pPr>
        <w:jc w:val="both"/>
        <w:rPr>
          <w:rFonts w:cs="Arial"/>
          <w:b/>
        </w:rPr>
      </w:pPr>
      <w:r>
        <w:rPr>
          <w:rFonts w:cs="Arial"/>
          <w:b/>
        </w:rPr>
        <w:t>Figure 4</w:t>
      </w:r>
      <w:r w:rsidRPr="009C417C">
        <w:rPr>
          <w:rFonts w:cs="Arial"/>
          <w:b/>
        </w:rPr>
        <w:t>:</w:t>
      </w:r>
    </w:p>
    <w:p w:rsidR="00BB54FD" w:rsidRDefault="002E06EB" w:rsidP="00BB54FD">
      <w:pPr>
        <w:jc w:val="center"/>
        <w:rPr>
          <w:sz w:val="20"/>
        </w:rPr>
      </w:pPr>
      <w:r>
        <w:rPr>
          <w:noProof/>
        </w:rPr>
        <w:drawing>
          <wp:inline distT="0" distB="0" distL="0" distR="0">
            <wp:extent cx="5989320" cy="3619500"/>
            <wp:effectExtent l="19050" t="0" r="0" b="0"/>
            <wp:docPr id="16" name="Picture 4" descr="cid:image001.png@01CFF750.DCA3F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CFF750.DCA3F250"/>
                    <pic:cNvPicPr>
                      <a:picLocks noChangeAspect="1" noChangeArrowheads="1"/>
                    </pic:cNvPicPr>
                  </pic:nvPicPr>
                  <pic:blipFill>
                    <a:blip r:embed="rId21" r:link="rId22" cstate="print"/>
                    <a:srcRect/>
                    <a:stretch>
                      <a:fillRect/>
                    </a:stretch>
                  </pic:blipFill>
                  <pic:spPr bwMode="auto">
                    <a:xfrm>
                      <a:off x="0" y="0"/>
                      <a:ext cx="5989320" cy="3619500"/>
                    </a:xfrm>
                    <a:prstGeom prst="rect">
                      <a:avLst/>
                    </a:prstGeom>
                    <a:noFill/>
                    <a:ln w="9525">
                      <a:noFill/>
                      <a:miter lim="800000"/>
                      <a:headEnd/>
                      <a:tailEnd/>
                    </a:ln>
                  </pic:spPr>
                </pic:pic>
              </a:graphicData>
            </a:graphic>
          </wp:inline>
        </w:drawing>
      </w:r>
    </w:p>
    <w:p w:rsidR="00BB54FD" w:rsidRPr="00023C44" w:rsidRDefault="00BB54FD" w:rsidP="00BB54FD">
      <w:pPr>
        <w:spacing w:after="0" w:line="240" w:lineRule="auto"/>
        <w:jc w:val="both"/>
        <w:rPr>
          <w:rFonts w:cs="Arial"/>
          <w:sz w:val="24"/>
          <w:szCs w:val="24"/>
        </w:rPr>
      </w:pPr>
      <w:r w:rsidRPr="00023C44">
        <w:rPr>
          <w:rFonts w:cs="Arial"/>
          <w:sz w:val="24"/>
          <w:szCs w:val="24"/>
        </w:rPr>
        <w:t xml:space="preserve">Since February 2014 the reporting of incidents within the Trust has remained fairly stable, with the number of reported incidents fluctuating </w:t>
      </w:r>
      <w:proofErr w:type="gramStart"/>
      <w:r w:rsidRPr="00023C44">
        <w:rPr>
          <w:rFonts w:cs="Arial"/>
          <w:sz w:val="24"/>
          <w:szCs w:val="24"/>
        </w:rPr>
        <w:t>between 350 to 400 per month, apart from April when there was a slight dip in numbers (312)</w:t>
      </w:r>
      <w:proofErr w:type="gramEnd"/>
      <w:r w:rsidRPr="00023C44">
        <w:rPr>
          <w:rFonts w:cs="Arial"/>
          <w:sz w:val="24"/>
          <w:szCs w:val="24"/>
        </w:rPr>
        <w:t>.  There were a total of 742 patient incidents reported in August/September, 388 in August and 354 in September and the top 3 themes of incidents were pressure ulcers, falls and medication.  On closer inspection there is a rise for August/September around incidents reported under the categories of: a) Laboratory investigations, 17 compared to 11 for June/July, b) Assessment - other, 11 compared to 2 for June/July and c) Patient Transfer, 45 compared to 14 for June/July.  Further analysis shows the following:</w:t>
      </w:r>
    </w:p>
    <w:p w:rsidR="00BB54FD" w:rsidRPr="00023C44" w:rsidRDefault="00BB54FD" w:rsidP="00BB54FD">
      <w:pPr>
        <w:spacing w:after="0" w:line="240" w:lineRule="auto"/>
        <w:jc w:val="both"/>
        <w:rPr>
          <w:rFonts w:cs="Arial"/>
          <w:sz w:val="24"/>
          <w:szCs w:val="24"/>
        </w:rPr>
      </w:pPr>
    </w:p>
    <w:p w:rsidR="00BB54FD" w:rsidRPr="00023C44" w:rsidRDefault="00BB54FD" w:rsidP="00BB54FD">
      <w:pPr>
        <w:pStyle w:val="ListParagraph"/>
        <w:numPr>
          <w:ilvl w:val="0"/>
          <w:numId w:val="21"/>
        </w:numPr>
        <w:spacing w:after="0" w:line="240" w:lineRule="auto"/>
        <w:jc w:val="both"/>
        <w:rPr>
          <w:rFonts w:cs="Arial"/>
          <w:sz w:val="24"/>
          <w:szCs w:val="24"/>
        </w:rPr>
      </w:pPr>
      <w:r w:rsidRPr="00023C44">
        <w:rPr>
          <w:rFonts w:cs="Arial"/>
          <w:sz w:val="24"/>
          <w:szCs w:val="24"/>
        </w:rPr>
        <w:lastRenderedPageBreak/>
        <w:t xml:space="preserve">With regards to laboratory investigations – Further review of incidents revealed no identified theme.  </w:t>
      </w:r>
    </w:p>
    <w:p w:rsidR="00BB54FD" w:rsidRPr="00023C44" w:rsidRDefault="00BB54FD" w:rsidP="00BB54FD">
      <w:pPr>
        <w:pStyle w:val="ListParagraph"/>
        <w:numPr>
          <w:ilvl w:val="0"/>
          <w:numId w:val="21"/>
        </w:numPr>
        <w:spacing w:after="0" w:line="240" w:lineRule="auto"/>
        <w:jc w:val="both"/>
        <w:rPr>
          <w:rFonts w:cs="Arial"/>
          <w:sz w:val="24"/>
          <w:szCs w:val="24"/>
        </w:rPr>
      </w:pPr>
      <w:r w:rsidRPr="00023C44">
        <w:rPr>
          <w:rFonts w:cs="Arial"/>
          <w:sz w:val="24"/>
          <w:szCs w:val="24"/>
        </w:rPr>
        <w:t xml:space="preserve">With regards to Assessment (other) – Further review of incidents revealed no identified theme.  </w:t>
      </w:r>
    </w:p>
    <w:p w:rsidR="00BB54FD" w:rsidRPr="00023C44" w:rsidRDefault="00BB54FD" w:rsidP="00BB54FD">
      <w:pPr>
        <w:pStyle w:val="ListParagraph"/>
        <w:numPr>
          <w:ilvl w:val="0"/>
          <w:numId w:val="21"/>
        </w:numPr>
        <w:spacing w:after="0" w:line="240" w:lineRule="auto"/>
        <w:jc w:val="both"/>
        <w:rPr>
          <w:rFonts w:cs="Arial"/>
          <w:sz w:val="24"/>
          <w:szCs w:val="24"/>
        </w:rPr>
      </w:pPr>
      <w:r w:rsidRPr="00023C44">
        <w:rPr>
          <w:rFonts w:cs="Arial"/>
          <w:sz w:val="24"/>
          <w:szCs w:val="24"/>
        </w:rPr>
        <w:t xml:space="preserve">With regards to Transfer – Further review of incidents revealed there was a considerable increase in incidents around delays in transfer of patients (22 in August/September compared to 0 in June/July).  ITU reported 15 incidents around delays of transfer as beds were not available on the wards when a decision was made that a patient could be stepped down from ITU care.  It is important to note that this was for 8 patients as the same incident was reported for a patient each day they could not be transferred. </w:t>
      </w:r>
    </w:p>
    <w:p w:rsidR="00BB54FD" w:rsidRPr="00023C44" w:rsidRDefault="00BB54FD" w:rsidP="00BB54FD">
      <w:pPr>
        <w:pStyle w:val="ListParagraph"/>
        <w:spacing w:after="0" w:line="240" w:lineRule="auto"/>
        <w:jc w:val="both"/>
        <w:rPr>
          <w:rFonts w:cs="Arial"/>
          <w:sz w:val="24"/>
          <w:szCs w:val="24"/>
        </w:rPr>
      </w:pPr>
    </w:p>
    <w:p w:rsidR="00BB54FD" w:rsidRPr="00023C44" w:rsidRDefault="00BB54FD" w:rsidP="00BB54FD">
      <w:pPr>
        <w:spacing w:after="0" w:line="240" w:lineRule="auto"/>
        <w:jc w:val="both"/>
        <w:rPr>
          <w:rFonts w:cs="Arial"/>
          <w:sz w:val="24"/>
          <w:szCs w:val="24"/>
        </w:rPr>
      </w:pPr>
      <w:r w:rsidRPr="00023C44">
        <w:rPr>
          <w:rFonts w:cs="Arial"/>
          <w:sz w:val="24"/>
          <w:szCs w:val="24"/>
        </w:rPr>
        <w:t xml:space="preserve">A total of 170 pressure sores were reported in August and September (total number of community and hospital acquired), accounting for 23% of all patient incidents.  The Trust reported 35 hospital acquired pressure sores, which is an increase of 1 from June/July. The Trust reported 6 hospital reported grade 3 and 4 pressure ulcers.  All relevant external organisations were notified in August/September and a full investigation was commenced.  </w:t>
      </w:r>
    </w:p>
    <w:p w:rsidR="00BB54FD" w:rsidRPr="00023C44" w:rsidRDefault="00BB54FD" w:rsidP="00BB54FD">
      <w:pPr>
        <w:spacing w:after="0" w:line="240" w:lineRule="auto"/>
        <w:jc w:val="both"/>
        <w:rPr>
          <w:rFonts w:cs="Arial"/>
          <w:sz w:val="24"/>
          <w:szCs w:val="24"/>
        </w:rPr>
      </w:pPr>
    </w:p>
    <w:p w:rsidR="00BB54FD" w:rsidRPr="00023C44" w:rsidRDefault="00BB54FD" w:rsidP="00BB54FD">
      <w:pPr>
        <w:spacing w:after="0" w:line="240" w:lineRule="auto"/>
        <w:jc w:val="both"/>
        <w:rPr>
          <w:sz w:val="24"/>
          <w:szCs w:val="24"/>
        </w:rPr>
      </w:pPr>
      <w:r>
        <w:rPr>
          <w:sz w:val="24"/>
          <w:szCs w:val="24"/>
        </w:rPr>
        <w:t>Ninety eight</w:t>
      </w:r>
      <w:r w:rsidRPr="00023C44">
        <w:rPr>
          <w:sz w:val="24"/>
          <w:szCs w:val="24"/>
        </w:rPr>
        <w:t xml:space="preserve"> slips, trips, falls &amp; collisions were reported in August and September, which is slightly down on the numbers reported in June and July (110).  </w:t>
      </w:r>
    </w:p>
    <w:p w:rsidR="00BB54FD" w:rsidRDefault="00BB54FD" w:rsidP="00BB54FD">
      <w:pPr>
        <w:spacing w:after="0" w:line="240" w:lineRule="auto"/>
        <w:jc w:val="both"/>
      </w:pPr>
    </w:p>
    <w:p w:rsidR="00BB54FD" w:rsidRDefault="00BB54FD" w:rsidP="00BB54FD">
      <w:pPr>
        <w:spacing w:after="0" w:line="240" w:lineRule="auto"/>
        <w:jc w:val="both"/>
        <w:rPr>
          <w:rFonts w:cs="Arial"/>
          <w:sz w:val="24"/>
          <w:szCs w:val="24"/>
        </w:rPr>
      </w:pPr>
      <w:r>
        <w:rPr>
          <w:sz w:val="24"/>
          <w:szCs w:val="24"/>
        </w:rPr>
        <w:t>Sixty six</w:t>
      </w:r>
      <w:r w:rsidRPr="00023C44">
        <w:rPr>
          <w:sz w:val="24"/>
          <w:szCs w:val="24"/>
        </w:rPr>
        <w:t xml:space="preserve"> medication incidents were reported in August/September, slightly down from 76 in June/July. These errors included administration (meaning medication administered orally or intravenously) from a clinical area (such as ward areas), medication error during the prescription process and preparation of medicines/dispensing in pharmacy.  </w:t>
      </w:r>
      <w:r w:rsidRPr="00023C44">
        <w:rPr>
          <w:rFonts w:cs="Arial"/>
          <w:sz w:val="24"/>
          <w:szCs w:val="24"/>
        </w:rPr>
        <w:t>Further review of incidents</w:t>
      </w:r>
      <w:r>
        <w:rPr>
          <w:rFonts w:cs="Arial"/>
          <w:sz w:val="24"/>
          <w:szCs w:val="24"/>
        </w:rPr>
        <w:t xml:space="preserve"> revealed no identified theme. </w:t>
      </w:r>
    </w:p>
    <w:p w:rsidR="00BB54FD" w:rsidRDefault="00BB54FD" w:rsidP="00BB54FD">
      <w:pPr>
        <w:spacing w:after="0" w:line="240" w:lineRule="auto"/>
        <w:jc w:val="both"/>
        <w:rPr>
          <w:rFonts w:cs="Arial"/>
          <w:sz w:val="24"/>
          <w:szCs w:val="24"/>
        </w:rPr>
      </w:pPr>
    </w:p>
    <w:p w:rsidR="00BB54FD" w:rsidRPr="00023C44" w:rsidRDefault="00BB54FD" w:rsidP="00BB54FD">
      <w:pPr>
        <w:spacing w:after="0" w:line="240" w:lineRule="auto"/>
        <w:jc w:val="both"/>
        <w:rPr>
          <w:rFonts w:cs="Arial"/>
          <w:sz w:val="24"/>
          <w:szCs w:val="24"/>
        </w:rPr>
      </w:pPr>
      <w:r>
        <w:rPr>
          <w:rFonts w:cs="Arial"/>
          <w:sz w:val="24"/>
          <w:szCs w:val="24"/>
        </w:rPr>
        <w:t xml:space="preserve">The harm free care report to Board, introduced from November 2014, on a four-monthly schedule, includes detail on falls and pressure ulcer prevention actions.  Therefore </w:t>
      </w:r>
      <w:r w:rsidR="00B56A67">
        <w:rPr>
          <w:rFonts w:cs="Arial"/>
          <w:sz w:val="24"/>
          <w:szCs w:val="24"/>
        </w:rPr>
        <w:t>these</w:t>
      </w:r>
      <w:r>
        <w:rPr>
          <w:rFonts w:cs="Arial"/>
          <w:sz w:val="24"/>
          <w:szCs w:val="24"/>
        </w:rPr>
        <w:t xml:space="preserve"> matters will only be reported on by exception in the performance report.</w:t>
      </w:r>
    </w:p>
    <w:p w:rsidR="00BB54FD" w:rsidRPr="0026783C" w:rsidRDefault="00BB54FD" w:rsidP="00BB54FD">
      <w:pPr>
        <w:pStyle w:val="Heading3"/>
        <w:jc w:val="both"/>
        <w:rPr>
          <w:sz w:val="24"/>
        </w:rPr>
      </w:pPr>
      <w:r>
        <w:rPr>
          <w:sz w:val="24"/>
        </w:rPr>
        <w:t xml:space="preserve">2.4.1 Daily Situation Report </w:t>
      </w:r>
    </w:p>
    <w:p w:rsidR="00BB54FD" w:rsidRPr="00023C44" w:rsidRDefault="00BB54FD" w:rsidP="00BB54FD">
      <w:pPr>
        <w:spacing w:after="0" w:line="20" w:lineRule="atLeast"/>
        <w:jc w:val="both"/>
        <w:rPr>
          <w:rFonts w:cs="Arial"/>
          <w:sz w:val="24"/>
          <w:szCs w:val="24"/>
        </w:rPr>
      </w:pPr>
      <w:bookmarkStart w:id="12" w:name="_Toc362959121"/>
      <w:bookmarkStart w:id="13" w:name="_Toc368381433"/>
      <w:r w:rsidRPr="00023C44">
        <w:rPr>
          <w:sz w:val="24"/>
          <w:szCs w:val="24"/>
        </w:rPr>
        <w:t>The daily situation report (SitRep) continues to be circulated by the Quality Improvement Team on a daily basis</w:t>
      </w:r>
      <w:r w:rsidRPr="00023C44">
        <w:rPr>
          <w:rFonts w:cs="Arial"/>
          <w:sz w:val="24"/>
          <w:szCs w:val="24"/>
        </w:rPr>
        <w:t xml:space="preserve">.  Data is presented to help operational leads focus on any areas of concern. </w:t>
      </w:r>
    </w:p>
    <w:p w:rsidR="00BB54FD" w:rsidRDefault="00BB54FD" w:rsidP="00BB54FD">
      <w:pPr>
        <w:rPr>
          <w:rFonts w:asciiTheme="majorHAnsi" w:hAnsiTheme="majorHAnsi"/>
          <w:b/>
          <w:color w:val="2DA2BF" w:themeColor="accent1"/>
          <w:sz w:val="6"/>
        </w:rPr>
      </w:pPr>
    </w:p>
    <w:p w:rsidR="00D14FE8" w:rsidRDefault="00D14FE8" w:rsidP="00BB54FD">
      <w:pPr>
        <w:rPr>
          <w:rFonts w:asciiTheme="majorHAnsi" w:hAnsiTheme="majorHAnsi"/>
          <w:b/>
          <w:color w:val="2DA2BF" w:themeColor="accent1"/>
          <w:sz w:val="6"/>
        </w:rPr>
      </w:pPr>
    </w:p>
    <w:p w:rsidR="00D14FE8" w:rsidRPr="0026783C" w:rsidRDefault="00D14FE8" w:rsidP="00BB54FD">
      <w:pPr>
        <w:rPr>
          <w:rFonts w:asciiTheme="majorHAnsi" w:hAnsiTheme="majorHAnsi"/>
          <w:b/>
          <w:color w:val="2DA2BF" w:themeColor="accent1"/>
          <w:sz w:val="6"/>
        </w:rPr>
      </w:pPr>
    </w:p>
    <w:p w:rsidR="00BB54FD" w:rsidRDefault="00BB54FD" w:rsidP="00BB54FD">
      <w:pPr>
        <w:rPr>
          <w:rFonts w:asciiTheme="majorHAnsi" w:hAnsiTheme="majorHAnsi"/>
          <w:b/>
          <w:color w:val="2DA2BF" w:themeColor="accent1"/>
        </w:rPr>
      </w:pPr>
      <w:r>
        <w:rPr>
          <w:rFonts w:asciiTheme="majorHAnsi" w:hAnsiTheme="majorHAnsi"/>
          <w:b/>
          <w:color w:val="2DA2BF" w:themeColor="accent1"/>
          <w:sz w:val="24"/>
        </w:rPr>
        <w:lastRenderedPageBreak/>
        <w:t>2.4</w:t>
      </w:r>
      <w:r w:rsidRPr="009739DD">
        <w:rPr>
          <w:rFonts w:asciiTheme="majorHAnsi" w:hAnsiTheme="majorHAnsi"/>
          <w:b/>
          <w:color w:val="2DA2BF" w:themeColor="accent1"/>
          <w:sz w:val="24"/>
        </w:rPr>
        <w:t>.2 Staff Incidents</w:t>
      </w:r>
      <w:bookmarkEnd w:id="12"/>
      <w:bookmarkEnd w:id="13"/>
    </w:p>
    <w:p w:rsidR="00BB54FD" w:rsidRPr="00023C44" w:rsidRDefault="00BB54FD" w:rsidP="00D14FE8">
      <w:pPr>
        <w:jc w:val="both"/>
        <w:rPr>
          <w:rFonts w:cs="Arial"/>
          <w:sz w:val="24"/>
          <w:szCs w:val="24"/>
        </w:rPr>
      </w:pPr>
      <w:r w:rsidRPr="00023C44">
        <w:rPr>
          <w:rFonts w:cs="Arial"/>
          <w:sz w:val="24"/>
          <w:szCs w:val="24"/>
        </w:rPr>
        <w:t xml:space="preserve">The Trust Health and Safety Committee reviews incident trends and receives reports on incidents reported under the Reporting of Injuries, Diseases and Dangerous Occurrences Regulations (RIDDOR) 1995. </w:t>
      </w:r>
      <w:r>
        <w:rPr>
          <w:rFonts w:cs="Arial"/>
          <w:i/>
          <w:sz w:val="24"/>
          <w:szCs w:val="24"/>
        </w:rPr>
        <w:t>Figure 5</w:t>
      </w:r>
      <w:r w:rsidRPr="00023C44">
        <w:rPr>
          <w:rFonts w:cs="Arial"/>
          <w:i/>
          <w:sz w:val="24"/>
          <w:szCs w:val="24"/>
        </w:rPr>
        <w:t xml:space="preserve"> </w:t>
      </w:r>
      <w:r w:rsidRPr="00023C44">
        <w:rPr>
          <w:rFonts w:cs="Arial"/>
          <w:sz w:val="24"/>
          <w:szCs w:val="24"/>
        </w:rPr>
        <w:t xml:space="preserve">depicts the number of staff incidents reported each month, compared to previous years. </w:t>
      </w:r>
    </w:p>
    <w:p w:rsidR="00BB54FD" w:rsidRDefault="00BB54FD" w:rsidP="00BB54FD">
      <w:pPr>
        <w:rPr>
          <w:rFonts w:cs="Arial"/>
        </w:rPr>
      </w:pPr>
    </w:p>
    <w:p w:rsidR="00BB54FD" w:rsidRPr="0026783C" w:rsidRDefault="00BB54FD" w:rsidP="00BB54FD">
      <w:pPr>
        <w:rPr>
          <w:rFonts w:asciiTheme="majorHAnsi" w:hAnsiTheme="majorHAnsi"/>
          <w:b/>
          <w:color w:val="2DA2BF" w:themeColor="accent1"/>
        </w:rPr>
      </w:pPr>
      <w:r w:rsidRPr="0026783C">
        <w:rPr>
          <w:rFonts w:cs="Arial"/>
          <w:b/>
        </w:rPr>
        <w:t xml:space="preserve">Figure </w:t>
      </w:r>
      <w:r>
        <w:rPr>
          <w:rFonts w:cs="Arial"/>
          <w:b/>
        </w:rPr>
        <w:t>5</w:t>
      </w:r>
      <w:r w:rsidRPr="0026783C">
        <w:rPr>
          <w:rFonts w:cs="Arial"/>
          <w:b/>
        </w:rPr>
        <w:t>:</w:t>
      </w:r>
    </w:p>
    <w:p w:rsidR="00BB54FD" w:rsidRDefault="002E06EB" w:rsidP="00BB54FD">
      <w:pPr>
        <w:jc w:val="center"/>
        <w:rPr>
          <w:rFonts w:cs="Arial"/>
          <w:b/>
        </w:rPr>
      </w:pPr>
      <w:r>
        <w:rPr>
          <w:noProof/>
        </w:rPr>
        <w:drawing>
          <wp:inline distT="0" distB="0" distL="0" distR="0">
            <wp:extent cx="5920740" cy="3558540"/>
            <wp:effectExtent l="19050" t="0" r="3810" b="0"/>
            <wp:docPr id="17" name="Picture 2" descr="cid:image002.png@01CFF750.DCA3F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CFF750.DCA3F250"/>
                    <pic:cNvPicPr>
                      <a:picLocks noChangeAspect="1" noChangeArrowheads="1"/>
                    </pic:cNvPicPr>
                  </pic:nvPicPr>
                  <pic:blipFill>
                    <a:blip r:embed="rId23" r:link="rId24" cstate="print"/>
                    <a:srcRect/>
                    <a:stretch>
                      <a:fillRect/>
                    </a:stretch>
                  </pic:blipFill>
                  <pic:spPr bwMode="auto">
                    <a:xfrm>
                      <a:off x="0" y="0"/>
                      <a:ext cx="5920740" cy="3558540"/>
                    </a:xfrm>
                    <a:prstGeom prst="rect">
                      <a:avLst/>
                    </a:prstGeom>
                    <a:noFill/>
                    <a:ln w="9525">
                      <a:noFill/>
                      <a:miter lim="800000"/>
                      <a:headEnd/>
                      <a:tailEnd/>
                    </a:ln>
                  </pic:spPr>
                </pic:pic>
              </a:graphicData>
            </a:graphic>
          </wp:inline>
        </w:drawing>
      </w:r>
    </w:p>
    <w:p w:rsidR="00BB54FD" w:rsidRDefault="00BB54FD" w:rsidP="00BB54FD">
      <w:pPr>
        <w:spacing w:after="0" w:line="240" w:lineRule="auto"/>
        <w:jc w:val="both"/>
      </w:pPr>
      <w:r w:rsidRPr="00023C44">
        <w:rPr>
          <w:sz w:val="24"/>
          <w:szCs w:val="24"/>
        </w:rPr>
        <w:t xml:space="preserve">There were 38 staff incidents reported in August and 50 incidents reported in September, a total of 88 compared to 81 reported in June/July.  Incidents reported involving abuse of staff has increased from 22 incidents in June/July to 43 in August/September.  In response the Trust has instigated a Violence and Aggression group with the first meeting scheduled </w:t>
      </w:r>
      <w:r>
        <w:rPr>
          <w:sz w:val="24"/>
          <w:szCs w:val="24"/>
        </w:rPr>
        <w:t xml:space="preserve">to take place in October 2014 </w:t>
      </w:r>
      <w:r w:rsidRPr="0073589F">
        <w:rPr>
          <w:sz w:val="24"/>
          <w:szCs w:val="24"/>
        </w:rPr>
        <w:t>and the Trust has just ratified the Violence and Aggression policy which has been updated on the Trust’s Document Manage</w:t>
      </w:r>
      <w:r>
        <w:rPr>
          <w:sz w:val="24"/>
          <w:szCs w:val="24"/>
        </w:rPr>
        <w:t>ment</w:t>
      </w:r>
      <w:r w:rsidRPr="0073589F">
        <w:rPr>
          <w:sz w:val="24"/>
          <w:szCs w:val="24"/>
        </w:rPr>
        <w:t xml:space="preserve"> System.</w:t>
      </w:r>
    </w:p>
    <w:p w:rsidR="00BB54FD" w:rsidRPr="00023C44" w:rsidRDefault="00BB54FD" w:rsidP="00BB54FD">
      <w:pPr>
        <w:spacing w:after="0" w:line="240" w:lineRule="auto"/>
        <w:jc w:val="both"/>
        <w:rPr>
          <w:sz w:val="24"/>
          <w:szCs w:val="24"/>
        </w:rPr>
      </w:pPr>
    </w:p>
    <w:p w:rsidR="00BB54FD" w:rsidRPr="00AD28E4" w:rsidRDefault="00BB54FD" w:rsidP="00BB54FD">
      <w:pPr>
        <w:rPr>
          <w:color w:val="000000"/>
          <w:sz w:val="10"/>
        </w:rPr>
      </w:pPr>
    </w:p>
    <w:p w:rsidR="00B1775D" w:rsidRDefault="00B1775D">
      <w:pPr>
        <w:rPr>
          <w:rFonts w:asciiTheme="majorHAnsi" w:eastAsiaTheme="majorEastAsia" w:hAnsiTheme="majorHAnsi" w:cstheme="majorBidi"/>
          <w:b/>
          <w:bCs/>
          <w:color w:val="2DA2BF" w:themeColor="accent1"/>
          <w:sz w:val="24"/>
        </w:rPr>
      </w:pPr>
      <w:r>
        <w:rPr>
          <w:sz w:val="24"/>
        </w:rPr>
        <w:br w:type="page"/>
      </w:r>
    </w:p>
    <w:p w:rsidR="00BB54FD" w:rsidRPr="00EA75E1" w:rsidRDefault="00BB54FD" w:rsidP="00B1775D">
      <w:pPr>
        <w:pStyle w:val="Heading3"/>
        <w:spacing w:before="0"/>
        <w:rPr>
          <w:sz w:val="20"/>
        </w:rPr>
      </w:pPr>
      <w:r>
        <w:rPr>
          <w:sz w:val="24"/>
        </w:rPr>
        <w:lastRenderedPageBreak/>
        <w:t>2.4.3 Serious Incidents (SIRI</w:t>
      </w:r>
      <w:r w:rsidRPr="00B92233">
        <w:rPr>
          <w:sz w:val="24"/>
        </w:rPr>
        <w:t>s)</w:t>
      </w:r>
    </w:p>
    <w:p w:rsidR="00B1775D" w:rsidRDefault="00B1775D" w:rsidP="00B1775D">
      <w:pPr>
        <w:spacing w:after="0"/>
        <w:rPr>
          <w:rFonts w:cstheme="minorHAnsi"/>
          <w:sz w:val="24"/>
          <w:szCs w:val="24"/>
        </w:rPr>
      </w:pPr>
    </w:p>
    <w:p w:rsidR="00BB54FD" w:rsidRPr="00023C44" w:rsidRDefault="00BB54FD" w:rsidP="00BB54FD">
      <w:pPr>
        <w:rPr>
          <w:rFonts w:asciiTheme="majorHAnsi" w:eastAsiaTheme="majorEastAsia" w:hAnsiTheme="majorHAnsi" w:cstheme="majorBidi"/>
          <w:b/>
          <w:bCs/>
          <w:color w:val="2DA2BF" w:themeColor="accent1"/>
          <w:sz w:val="24"/>
          <w:szCs w:val="24"/>
        </w:rPr>
      </w:pPr>
      <w:r w:rsidRPr="00023C44">
        <w:rPr>
          <w:rFonts w:cstheme="minorHAnsi"/>
          <w:sz w:val="24"/>
          <w:szCs w:val="24"/>
        </w:rPr>
        <w:t>A Serious Incident is defined as an incident that occurred in relation to NHS-funded services and care resulting in: </w:t>
      </w:r>
    </w:p>
    <w:p w:rsidR="00BB54FD" w:rsidRPr="00023C44" w:rsidRDefault="00BB54FD" w:rsidP="00BB54FD">
      <w:pPr>
        <w:numPr>
          <w:ilvl w:val="0"/>
          <w:numId w:val="14"/>
        </w:numPr>
        <w:spacing w:before="100" w:beforeAutospacing="1" w:after="100" w:afterAutospacing="1"/>
        <w:jc w:val="both"/>
        <w:rPr>
          <w:rFonts w:cstheme="minorHAnsi"/>
          <w:sz w:val="24"/>
          <w:szCs w:val="24"/>
        </w:rPr>
      </w:pPr>
      <w:r w:rsidRPr="00023C44">
        <w:rPr>
          <w:rFonts w:cstheme="minorHAnsi"/>
          <w:sz w:val="24"/>
          <w:szCs w:val="24"/>
        </w:rPr>
        <w:t>Unexpected or avoidable death of one or more patients, staff, visitors, or members of the public.</w:t>
      </w:r>
    </w:p>
    <w:p w:rsidR="00BB54FD" w:rsidRDefault="00BB54FD" w:rsidP="00BB54FD">
      <w:pPr>
        <w:numPr>
          <w:ilvl w:val="0"/>
          <w:numId w:val="14"/>
        </w:numPr>
        <w:spacing w:before="100" w:beforeAutospacing="1" w:after="100" w:afterAutospacing="1"/>
        <w:jc w:val="both"/>
        <w:rPr>
          <w:rFonts w:cstheme="minorHAnsi"/>
          <w:sz w:val="24"/>
          <w:szCs w:val="24"/>
        </w:rPr>
      </w:pPr>
      <w:r w:rsidRPr="00023C44">
        <w:rPr>
          <w:rFonts w:cstheme="minorHAnsi"/>
          <w:sz w:val="24"/>
          <w:szCs w:val="24"/>
        </w:rPr>
        <w:t>Serious harm to one or more patients, staff, visitors, or members of the public or when the outcome requires life saving intervention, major surgical/medical intervention, permanent harm or will shorten life expectancy or result in prolonged pain or psychological harm (this includes incidents graded under the NPSA definition of severe harm)</w:t>
      </w:r>
    </w:p>
    <w:p w:rsidR="00BB54FD" w:rsidRPr="00023C44" w:rsidRDefault="00BB54FD" w:rsidP="00BB54FD">
      <w:pPr>
        <w:numPr>
          <w:ilvl w:val="0"/>
          <w:numId w:val="14"/>
        </w:numPr>
        <w:spacing w:before="100" w:beforeAutospacing="1" w:after="100" w:afterAutospacing="1"/>
        <w:jc w:val="both"/>
        <w:rPr>
          <w:rFonts w:cstheme="minorHAnsi"/>
          <w:sz w:val="24"/>
          <w:szCs w:val="24"/>
        </w:rPr>
      </w:pPr>
      <w:r w:rsidRPr="00023C44">
        <w:rPr>
          <w:rFonts w:cstheme="minorHAnsi"/>
          <w:sz w:val="24"/>
          <w:szCs w:val="24"/>
        </w:rPr>
        <w:t>A scenario that prevents or threatens to prevent a provider organisations ability to continue to deliver healthcare services, for example, acute or potential loss of personal/organisational information, damage to property, reputation or the environment, IT failure or incidents in population programmes like screening and immunisation where harm potentially may extend to a large population.</w:t>
      </w:r>
    </w:p>
    <w:p w:rsidR="00BB54FD" w:rsidRPr="00023C44" w:rsidRDefault="00BB54FD" w:rsidP="00BB54FD">
      <w:pPr>
        <w:numPr>
          <w:ilvl w:val="0"/>
          <w:numId w:val="14"/>
        </w:numPr>
        <w:spacing w:before="100" w:beforeAutospacing="1" w:after="100" w:afterAutospacing="1"/>
        <w:jc w:val="both"/>
        <w:rPr>
          <w:rFonts w:cstheme="minorHAnsi"/>
          <w:sz w:val="24"/>
          <w:szCs w:val="24"/>
        </w:rPr>
      </w:pPr>
      <w:r w:rsidRPr="00023C44">
        <w:rPr>
          <w:rFonts w:cstheme="minorHAnsi"/>
          <w:sz w:val="24"/>
          <w:szCs w:val="24"/>
        </w:rPr>
        <w:t xml:space="preserve">Allegations of abuse </w:t>
      </w:r>
    </w:p>
    <w:p w:rsidR="00BB54FD" w:rsidRPr="00023C44" w:rsidRDefault="00BB54FD" w:rsidP="00BB54FD">
      <w:pPr>
        <w:numPr>
          <w:ilvl w:val="0"/>
          <w:numId w:val="14"/>
        </w:numPr>
        <w:spacing w:before="100" w:beforeAutospacing="1" w:after="100" w:afterAutospacing="1"/>
        <w:jc w:val="both"/>
        <w:rPr>
          <w:rFonts w:cstheme="minorHAnsi"/>
          <w:sz w:val="24"/>
          <w:szCs w:val="24"/>
        </w:rPr>
      </w:pPr>
      <w:r w:rsidRPr="00023C44">
        <w:rPr>
          <w:rFonts w:cstheme="minorHAnsi"/>
          <w:sz w:val="24"/>
          <w:szCs w:val="24"/>
        </w:rPr>
        <w:t>Adverse media coverage or public concern about the organisation or the wider NHS.</w:t>
      </w:r>
    </w:p>
    <w:p w:rsidR="00BB54FD" w:rsidRDefault="00BB54FD" w:rsidP="00BB54FD">
      <w:pPr>
        <w:numPr>
          <w:ilvl w:val="0"/>
          <w:numId w:val="14"/>
        </w:numPr>
        <w:spacing w:before="100" w:beforeAutospacing="1" w:after="100" w:afterAutospacing="1"/>
        <w:jc w:val="both"/>
        <w:rPr>
          <w:rFonts w:cstheme="minorHAnsi"/>
          <w:sz w:val="24"/>
          <w:szCs w:val="24"/>
        </w:rPr>
      </w:pPr>
      <w:r w:rsidRPr="00023C44">
        <w:rPr>
          <w:rFonts w:cstheme="minorHAnsi"/>
          <w:sz w:val="24"/>
          <w:szCs w:val="24"/>
        </w:rPr>
        <w:t xml:space="preserve">One of the core set of Never Events </w:t>
      </w:r>
    </w:p>
    <w:p w:rsidR="00BB54FD" w:rsidRPr="00023C44" w:rsidRDefault="00BB54FD" w:rsidP="00BB54FD">
      <w:pPr>
        <w:spacing w:before="100" w:beforeAutospacing="1" w:after="100" w:afterAutospacing="1"/>
        <w:jc w:val="both"/>
        <w:rPr>
          <w:rFonts w:cstheme="minorHAnsi"/>
          <w:sz w:val="24"/>
          <w:szCs w:val="24"/>
        </w:rPr>
      </w:pPr>
      <w:r w:rsidRPr="00023C44">
        <w:rPr>
          <w:rFonts w:cstheme="minorHAnsi"/>
          <w:sz w:val="24"/>
          <w:szCs w:val="24"/>
        </w:rPr>
        <w:t>Resultant investigation reports are reviewed by the local Clinical Commissioning Group and, for the most serious cases, also reviewed by the NHS Trust Development Authority.</w:t>
      </w:r>
    </w:p>
    <w:p w:rsidR="00BB54FD" w:rsidRPr="00023C44" w:rsidRDefault="00BB54FD" w:rsidP="00BB54FD">
      <w:pPr>
        <w:spacing w:before="100" w:beforeAutospacing="1" w:after="100" w:afterAutospacing="1"/>
        <w:jc w:val="both"/>
        <w:rPr>
          <w:rFonts w:cstheme="minorHAnsi"/>
          <w:sz w:val="24"/>
          <w:szCs w:val="24"/>
        </w:rPr>
      </w:pPr>
      <w:r>
        <w:rPr>
          <w:rFonts w:ascii="Calibri" w:hAnsi="Calibri"/>
          <w:i/>
          <w:sz w:val="24"/>
          <w:szCs w:val="24"/>
        </w:rPr>
        <w:t>Figure 6</w:t>
      </w:r>
      <w:r w:rsidRPr="00023C44">
        <w:rPr>
          <w:rFonts w:ascii="Calibri" w:hAnsi="Calibri"/>
          <w:i/>
          <w:sz w:val="24"/>
          <w:szCs w:val="24"/>
        </w:rPr>
        <w:t xml:space="preserve"> </w:t>
      </w:r>
      <w:r w:rsidRPr="00023C44">
        <w:rPr>
          <w:rFonts w:ascii="Calibri" w:hAnsi="Calibri"/>
          <w:sz w:val="24"/>
          <w:szCs w:val="24"/>
        </w:rPr>
        <w:t xml:space="preserve">depicts the number of serious incidents reported to the Trust </w:t>
      </w:r>
    </w:p>
    <w:p w:rsidR="00B1775D" w:rsidRDefault="00B1775D" w:rsidP="00BB54FD">
      <w:pPr>
        <w:rPr>
          <w:b/>
        </w:rPr>
      </w:pPr>
    </w:p>
    <w:p w:rsidR="00B1775D" w:rsidRDefault="00B1775D" w:rsidP="00BB54FD">
      <w:pPr>
        <w:rPr>
          <w:b/>
        </w:rPr>
      </w:pPr>
    </w:p>
    <w:p w:rsidR="00B1775D" w:rsidRDefault="00B1775D" w:rsidP="00BB54FD">
      <w:pPr>
        <w:rPr>
          <w:b/>
        </w:rPr>
      </w:pPr>
    </w:p>
    <w:p w:rsidR="00B1775D" w:rsidRDefault="00B1775D" w:rsidP="00BB54FD">
      <w:pPr>
        <w:rPr>
          <w:b/>
        </w:rPr>
      </w:pPr>
    </w:p>
    <w:p w:rsidR="00B1775D" w:rsidRDefault="00B1775D" w:rsidP="00BB54FD">
      <w:pPr>
        <w:rPr>
          <w:b/>
        </w:rPr>
      </w:pPr>
    </w:p>
    <w:p w:rsidR="00B1775D" w:rsidRDefault="00B1775D" w:rsidP="00BB54FD">
      <w:pPr>
        <w:rPr>
          <w:b/>
        </w:rPr>
      </w:pPr>
    </w:p>
    <w:p w:rsidR="00BB54FD" w:rsidRPr="00DA773A" w:rsidRDefault="00BB54FD" w:rsidP="00BB54FD">
      <w:pPr>
        <w:rPr>
          <w:b/>
        </w:rPr>
      </w:pPr>
      <w:r>
        <w:rPr>
          <w:b/>
        </w:rPr>
        <w:lastRenderedPageBreak/>
        <w:t>Figure 6</w:t>
      </w:r>
      <w:r w:rsidRPr="00DA773A">
        <w:rPr>
          <w:b/>
        </w:rPr>
        <w:t>:</w:t>
      </w:r>
    </w:p>
    <w:p w:rsidR="00BB54FD" w:rsidRDefault="00177679" w:rsidP="00BB54FD">
      <w:pPr>
        <w:jc w:val="center"/>
        <w:rPr>
          <w:rFonts w:cstheme="minorHAnsi"/>
          <w:sz w:val="20"/>
        </w:rPr>
      </w:pPr>
      <w:r>
        <w:rPr>
          <w:noProof/>
        </w:rPr>
        <w:drawing>
          <wp:inline distT="0" distB="0" distL="0" distR="0">
            <wp:extent cx="5996940" cy="3749040"/>
            <wp:effectExtent l="19050" t="0" r="3810" b="0"/>
            <wp:docPr id="15" name="Picture 3" descr="cid:image003.png@01CFF749.C07C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CFF749.C07C5240"/>
                    <pic:cNvPicPr>
                      <a:picLocks noChangeAspect="1" noChangeArrowheads="1"/>
                    </pic:cNvPicPr>
                  </pic:nvPicPr>
                  <pic:blipFill>
                    <a:blip r:embed="rId25" r:link="rId26" cstate="print"/>
                    <a:srcRect/>
                    <a:stretch>
                      <a:fillRect/>
                    </a:stretch>
                  </pic:blipFill>
                  <pic:spPr bwMode="auto">
                    <a:xfrm>
                      <a:off x="0" y="0"/>
                      <a:ext cx="5996940" cy="3749040"/>
                    </a:xfrm>
                    <a:prstGeom prst="rect">
                      <a:avLst/>
                    </a:prstGeom>
                    <a:noFill/>
                    <a:ln w="9525">
                      <a:noFill/>
                      <a:miter lim="800000"/>
                      <a:headEnd/>
                      <a:tailEnd/>
                    </a:ln>
                  </pic:spPr>
                </pic:pic>
              </a:graphicData>
            </a:graphic>
          </wp:inline>
        </w:drawing>
      </w:r>
    </w:p>
    <w:p w:rsidR="00BB54FD" w:rsidRPr="00023C44" w:rsidRDefault="00BB54FD" w:rsidP="00BB54FD">
      <w:pPr>
        <w:jc w:val="both"/>
        <w:rPr>
          <w:rFonts w:cstheme="minorHAnsi"/>
          <w:sz w:val="24"/>
          <w:szCs w:val="24"/>
        </w:rPr>
      </w:pPr>
      <w:r w:rsidRPr="00023C44">
        <w:rPr>
          <w:rFonts w:cstheme="minorHAnsi"/>
          <w:sz w:val="24"/>
          <w:szCs w:val="24"/>
        </w:rPr>
        <w:t>Between the 1</w:t>
      </w:r>
      <w:r w:rsidRPr="00023C44">
        <w:rPr>
          <w:rFonts w:cstheme="minorHAnsi"/>
          <w:sz w:val="24"/>
          <w:szCs w:val="24"/>
          <w:vertAlign w:val="superscript"/>
        </w:rPr>
        <w:t>st</w:t>
      </w:r>
      <w:r w:rsidRPr="00023C44">
        <w:rPr>
          <w:rFonts w:cstheme="minorHAnsi"/>
          <w:sz w:val="24"/>
          <w:szCs w:val="24"/>
        </w:rPr>
        <w:t xml:space="preserve"> August and 30</w:t>
      </w:r>
      <w:r w:rsidRPr="00023C44">
        <w:rPr>
          <w:rFonts w:cstheme="minorHAnsi"/>
          <w:sz w:val="24"/>
          <w:szCs w:val="24"/>
          <w:vertAlign w:val="superscript"/>
        </w:rPr>
        <w:t>th</w:t>
      </w:r>
      <w:r w:rsidRPr="00023C44">
        <w:rPr>
          <w:rFonts w:cstheme="minorHAnsi"/>
          <w:sz w:val="24"/>
          <w:szCs w:val="24"/>
        </w:rPr>
        <w:t xml:space="preserve"> September 11 serious incidents (August 2 and September 9) were reported and an investigation commissioned.  </w:t>
      </w:r>
    </w:p>
    <w:p w:rsidR="00BB54FD" w:rsidRDefault="00BB54FD" w:rsidP="00BB54FD">
      <w:pPr>
        <w:rPr>
          <w:rFonts w:cstheme="minorHAnsi"/>
          <w:sz w:val="24"/>
          <w:szCs w:val="24"/>
        </w:rPr>
      </w:pPr>
      <w:r w:rsidRPr="00023C44">
        <w:rPr>
          <w:rFonts w:cstheme="minorHAnsi"/>
          <w:sz w:val="24"/>
          <w:szCs w:val="24"/>
        </w:rPr>
        <w:t>The 17 investigations are classified as follows:</w:t>
      </w:r>
    </w:p>
    <w:p w:rsidR="00BB54FD" w:rsidRPr="00C42AF8" w:rsidRDefault="00BB54FD" w:rsidP="00BB54FD">
      <w:pPr>
        <w:rPr>
          <w:rFonts w:cstheme="minorHAnsi"/>
          <w:b/>
          <w:sz w:val="24"/>
          <w:szCs w:val="24"/>
        </w:rPr>
      </w:pPr>
      <w:r>
        <w:rPr>
          <w:rFonts w:cstheme="minorHAnsi"/>
          <w:b/>
          <w:sz w:val="24"/>
          <w:szCs w:val="24"/>
        </w:rPr>
        <w:t>Figure 7:</w:t>
      </w:r>
    </w:p>
    <w:tbl>
      <w:tblPr>
        <w:tblStyle w:val="TableGrid"/>
        <w:tblW w:w="0" w:type="auto"/>
        <w:tblInd w:w="1635" w:type="dxa"/>
        <w:tblLook w:val="04A0"/>
      </w:tblPr>
      <w:tblGrid>
        <w:gridCol w:w="4934"/>
        <w:gridCol w:w="1220"/>
        <w:gridCol w:w="1220"/>
      </w:tblGrid>
      <w:tr w:rsidR="00BB54FD" w:rsidTr="00BB54FD">
        <w:trPr>
          <w:trHeight w:val="324"/>
        </w:trPr>
        <w:tc>
          <w:tcPr>
            <w:tcW w:w="4934" w:type="dxa"/>
          </w:tcPr>
          <w:p w:rsidR="00BB54FD" w:rsidRPr="00AA1C43" w:rsidRDefault="00BB54FD" w:rsidP="00BB54FD">
            <w:pPr>
              <w:rPr>
                <w:rFonts w:cstheme="minorHAnsi"/>
                <w:b/>
              </w:rPr>
            </w:pPr>
            <w:r w:rsidRPr="00AA1C43">
              <w:rPr>
                <w:rFonts w:cstheme="minorHAnsi"/>
                <w:b/>
              </w:rPr>
              <w:t>Category</w:t>
            </w:r>
          </w:p>
        </w:tc>
        <w:tc>
          <w:tcPr>
            <w:tcW w:w="1220" w:type="dxa"/>
          </w:tcPr>
          <w:p w:rsidR="00BB54FD" w:rsidRPr="00AA1C43" w:rsidRDefault="00BB54FD" w:rsidP="00BB54FD">
            <w:pPr>
              <w:rPr>
                <w:rFonts w:cstheme="minorHAnsi"/>
                <w:b/>
              </w:rPr>
            </w:pPr>
            <w:r w:rsidRPr="00AA1C43">
              <w:rPr>
                <w:rFonts w:cstheme="minorHAnsi"/>
                <w:b/>
              </w:rPr>
              <w:t>Grade 1</w:t>
            </w:r>
          </w:p>
        </w:tc>
        <w:tc>
          <w:tcPr>
            <w:tcW w:w="1220" w:type="dxa"/>
          </w:tcPr>
          <w:p w:rsidR="00BB54FD" w:rsidRPr="00AA1C43" w:rsidRDefault="00BB54FD" w:rsidP="00BB54FD">
            <w:pPr>
              <w:rPr>
                <w:rFonts w:cstheme="minorHAnsi"/>
                <w:b/>
              </w:rPr>
            </w:pPr>
            <w:r w:rsidRPr="00AA1C43">
              <w:rPr>
                <w:rFonts w:cstheme="minorHAnsi"/>
                <w:b/>
              </w:rPr>
              <w:t>Grade 2</w:t>
            </w:r>
          </w:p>
        </w:tc>
      </w:tr>
      <w:tr w:rsidR="00BB54FD" w:rsidRPr="00D20839" w:rsidTr="00BB54FD">
        <w:trPr>
          <w:trHeight w:val="324"/>
        </w:trPr>
        <w:tc>
          <w:tcPr>
            <w:tcW w:w="4934" w:type="dxa"/>
          </w:tcPr>
          <w:p w:rsidR="00BB54FD" w:rsidRPr="00D20839" w:rsidRDefault="00BB54FD" w:rsidP="00BB54FD">
            <w:pPr>
              <w:rPr>
                <w:rFonts w:cstheme="minorHAnsi"/>
              </w:rPr>
            </w:pPr>
            <w:r w:rsidRPr="00D20839">
              <w:rPr>
                <w:rFonts w:cstheme="minorHAnsi"/>
              </w:rPr>
              <w:t>Operational (e.g. unit closure)</w:t>
            </w:r>
          </w:p>
        </w:tc>
        <w:tc>
          <w:tcPr>
            <w:tcW w:w="1220" w:type="dxa"/>
          </w:tcPr>
          <w:p w:rsidR="00BB54FD" w:rsidRPr="00D20839" w:rsidRDefault="00BB54FD" w:rsidP="00BB54FD">
            <w:pPr>
              <w:jc w:val="center"/>
              <w:rPr>
                <w:rFonts w:cstheme="minorHAnsi"/>
              </w:rPr>
            </w:pPr>
            <w:r>
              <w:rPr>
                <w:rFonts w:cstheme="minorHAnsi"/>
              </w:rPr>
              <w:t>1</w:t>
            </w:r>
          </w:p>
        </w:tc>
        <w:tc>
          <w:tcPr>
            <w:tcW w:w="1220" w:type="dxa"/>
          </w:tcPr>
          <w:p w:rsidR="00BB54FD" w:rsidRPr="00D20839" w:rsidRDefault="00BB54FD" w:rsidP="00BB54FD">
            <w:pPr>
              <w:jc w:val="center"/>
              <w:rPr>
                <w:rFonts w:cstheme="minorHAnsi"/>
              </w:rPr>
            </w:pPr>
            <w:r w:rsidRPr="00D20839">
              <w:rPr>
                <w:rFonts w:cstheme="minorHAnsi"/>
              </w:rPr>
              <w:t>0</w:t>
            </w:r>
          </w:p>
        </w:tc>
      </w:tr>
      <w:tr w:rsidR="00BB54FD" w:rsidRPr="00D20839" w:rsidTr="00BB54FD">
        <w:trPr>
          <w:trHeight w:val="324"/>
        </w:trPr>
        <w:tc>
          <w:tcPr>
            <w:tcW w:w="4934" w:type="dxa"/>
          </w:tcPr>
          <w:p w:rsidR="00BB54FD" w:rsidRPr="00D20839" w:rsidRDefault="00BB54FD" w:rsidP="00BB54FD">
            <w:pPr>
              <w:rPr>
                <w:rFonts w:cstheme="minorHAnsi"/>
              </w:rPr>
            </w:pPr>
            <w:r w:rsidRPr="00D20839">
              <w:rPr>
                <w:rFonts w:cstheme="minorHAnsi"/>
              </w:rPr>
              <w:t>Adverse media attention</w:t>
            </w:r>
          </w:p>
        </w:tc>
        <w:tc>
          <w:tcPr>
            <w:tcW w:w="1220" w:type="dxa"/>
          </w:tcPr>
          <w:p w:rsidR="00BB54FD" w:rsidRPr="00D20839" w:rsidRDefault="00BB54FD" w:rsidP="00BB54FD">
            <w:pPr>
              <w:jc w:val="center"/>
              <w:rPr>
                <w:rFonts w:cstheme="minorHAnsi"/>
              </w:rPr>
            </w:pPr>
            <w:r>
              <w:rPr>
                <w:rFonts w:cstheme="minorHAnsi"/>
              </w:rPr>
              <w:t>1</w:t>
            </w:r>
          </w:p>
        </w:tc>
        <w:tc>
          <w:tcPr>
            <w:tcW w:w="1220" w:type="dxa"/>
          </w:tcPr>
          <w:p w:rsidR="00BB54FD" w:rsidRPr="00D20839" w:rsidRDefault="00BB54FD" w:rsidP="00BB54FD">
            <w:pPr>
              <w:jc w:val="center"/>
              <w:rPr>
                <w:rFonts w:cstheme="minorHAnsi"/>
              </w:rPr>
            </w:pPr>
            <w:r w:rsidRPr="00D20839">
              <w:rPr>
                <w:rFonts w:cstheme="minorHAnsi"/>
              </w:rPr>
              <w:t>0</w:t>
            </w:r>
          </w:p>
        </w:tc>
      </w:tr>
      <w:tr w:rsidR="00BB54FD" w:rsidRPr="00D20839" w:rsidTr="00BB54FD">
        <w:trPr>
          <w:trHeight w:val="324"/>
        </w:trPr>
        <w:tc>
          <w:tcPr>
            <w:tcW w:w="4934" w:type="dxa"/>
          </w:tcPr>
          <w:p w:rsidR="00BB54FD" w:rsidRPr="00D20839" w:rsidRDefault="00BB54FD" w:rsidP="00BB54FD">
            <w:pPr>
              <w:rPr>
                <w:rFonts w:cstheme="minorHAnsi"/>
              </w:rPr>
            </w:pPr>
            <w:r w:rsidRPr="00D20839">
              <w:rPr>
                <w:rFonts w:cstheme="minorHAnsi"/>
              </w:rPr>
              <w:t>Information Governance (e.g. loss of data)</w:t>
            </w:r>
          </w:p>
        </w:tc>
        <w:tc>
          <w:tcPr>
            <w:tcW w:w="1220" w:type="dxa"/>
          </w:tcPr>
          <w:p w:rsidR="00BB54FD" w:rsidRPr="00D20839" w:rsidRDefault="00BB54FD" w:rsidP="00BB54FD">
            <w:pPr>
              <w:jc w:val="center"/>
              <w:rPr>
                <w:rFonts w:cstheme="minorHAnsi"/>
              </w:rPr>
            </w:pPr>
            <w:r>
              <w:rPr>
                <w:rFonts w:cstheme="minorHAnsi"/>
              </w:rPr>
              <w:t>0</w:t>
            </w:r>
          </w:p>
        </w:tc>
        <w:tc>
          <w:tcPr>
            <w:tcW w:w="1220" w:type="dxa"/>
          </w:tcPr>
          <w:p w:rsidR="00BB54FD" w:rsidRPr="00D20839" w:rsidRDefault="00BB54FD" w:rsidP="00BB54FD">
            <w:pPr>
              <w:jc w:val="center"/>
              <w:rPr>
                <w:rFonts w:cstheme="minorHAnsi"/>
              </w:rPr>
            </w:pPr>
            <w:r w:rsidRPr="00D20839">
              <w:rPr>
                <w:rFonts w:cstheme="minorHAnsi"/>
              </w:rPr>
              <w:t>0</w:t>
            </w:r>
          </w:p>
        </w:tc>
      </w:tr>
      <w:tr w:rsidR="00BB54FD" w:rsidRPr="00D20839" w:rsidTr="00BB54FD">
        <w:trPr>
          <w:trHeight w:val="649"/>
        </w:trPr>
        <w:tc>
          <w:tcPr>
            <w:tcW w:w="4934" w:type="dxa"/>
          </w:tcPr>
          <w:p w:rsidR="00BB54FD" w:rsidRPr="00D20839" w:rsidRDefault="00BB54FD" w:rsidP="00BB54FD">
            <w:pPr>
              <w:rPr>
                <w:rFonts w:cstheme="minorHAnsi"/>
              </w:rPr>
            </w:pPr>
            <w:r w:rsidRPr="00D20839">
              <w:rPr>
                <w:rFonts w:cstheme="minorHAnsi"/>
              </w:rPr>
              <w:t>Clinical Care of patient (e.g. pressure ulcer, delayed diagnosis, avoidable severe harm)</w:t>
            </w:r>
          </w:p>
        </w:tc>
        <w:tc>
          <w:tcPr>
            <w:tcW w:w="1220" w:type="dxa"/>
          </w:tcPr>
          <w:p w:rsidR="00BB54FD" w:rsidRPr="00D20839" w:rsidRDefault="00BB54FD" w:rsidP="00BB54FD">
            <w:pPr>
              <w:jc w:val="center"/>
              <w:rPr>
                <w:rFonts w:cstheme="minorHAnsi"/>
              </w:rPr>
            </w:pPr>
            <w:r>
              <w:rPr>
                <w:rFonts w:cstheme="minorHAnsi"/>
              </w:rPr>
              <w:t>7</w:t>
            </w:r>
          </w:p>
        </w:tc>
        <w:tc>
          <w:tcPr>
            <w:tcW w:w="1220" w:type="dxa"/>
          </w:tcPr>
          <w:p w:rsidR="00BB54FD" w:rsidRPr="00D20839" w:rsidRDefault="00BB54FD" w:rsidP="00BB54FD">
            <w:pPr>
              <w:jc w:val="center"/>
              <w:rPr>
                <w:rFonts w:cstheme="minorHAnsi"/>
              </w:rPr>
            </w:pPr>
            <w:r>
              <w:rPr>
                <w:rFonts w:cstheme="minorHAnsi"/>
              </w:rPr>
              <w:t>0</w:t>
            </w:r>
          </w:p>
        </w:tc>
      </w:tr>
      <w:tr w:rsidR="00BB54FD" w:rsidRPr="00D20839" w:rsidTr="00BB54FD">
        <w:trPr>
          <w:trHeight w:val="324"/>
        </w:trPr>
        <w:tc>
          <w:tcPr>
            <w:tcW w:w="4934" w:type="dxa"/>
          </w:tcPr>
          <w:p w:rsidR="00BB54FD" w:rsidRPr="00D20839" w:rsidRDefault="00BB54FD" w:rsidP="00BB54FD">
            <w:pPr>
              <w:rPr>
                <w:rFonts w:cstheme="minorHAnsi"/>
              </w:rPr>
            </w:pPr>
            <w:r w:rsidRPr="00D20839">
              <w:rPr>
                <w:rFonts w:cstheme="minorHAnsi"/>
              </w:rPr>
              <w:t>Safeguarding (e.g. allegation of abuse)</w:t>
            </w:r>
          </w:p>
        </w:tc>
        <w:tc>
          <w:tcPr>
            <w:tcW w:w="1220" w:type="dxa"/>
          </w:tcPr>
          <w:p w:rsidR="00BB54FD" w:rsidRPr="00D20839" w:rsidRDefault="00BB54FD" w:rsidP="00BB54FD">
            <w:pPr>
              <w:jc w:val="center"/>
              <w:rPr>
                <w:rFonts w:cstheme="minorHAnsi"/>
              </w:rPr>
            </w:pPr>
            <w:r>
              <w:rPr>
                <w:rFonts w:cstheme="minorHAnsi"/>
              </w:rPr>
              <w:t>2</w:t>
            </w:r>
          </w:p>
        </w:tc>
        <w:tc>
          <w:tcPr>
            <w:tcW w:w="1220" w:type="dxa"/>
          </w:tcPr>
          <w:p w:rsidR="00BB54FD" w:rsidRPr="00D20839" w:rsidRDefault="00BB54FD" w:rsidP="00BB54FD">
            <w:pPr>
              <w:jc w:val="center"/>
              <w:rPr>
                <w:rFonts w:cstheme="minorHAnsi"/>
              </w:rPr>
            </w:pPr>
            <w:r>
              <w:rPr>
                <w:rFonts w:cstheme="minorHAnsi"/>
              </w:rPr>
              <w:t>0</w:t>
            </w:r>
          </w:p>
        </w:tc>
      </w:tr>
      <w:tr w:rsidR="00BB54FD" w:rsidRPr="00D20839" w:rsidTr="00BB54FD">
        <w:trPr>
          <w:trHeight w:val="345"/>
        </w:trPr>
        <w:tc>
          <w:tcPr>
            <w:tcW w:w="4934" w:type="dxa"/>
          </w:tcPr>
          <w:p w:rsidR="00BB54FD" w:rsidRPr="00D20839" w:rsidRDefault="00BB54FD" w:rsidP="00BB54FD">
            <w:pPr>
              <w:rPr>
                <w:rFonts w:cstheme="minorHAnsi"/>
              </w:rPr>
            </w:pPr>
            <w:r w:rsidRPr="00D20839">
              <w:rPr>
                <w:rFonts w:cstheme="minorHAnsi"/>
              </w:rPr>
              <w:t>Avoidable severe harm to staff</w:t>
            </w:r>
          </w:p>
        </w:tc>
        <w:tc>
          <w:tcPr>
            <w:tcW w:w="1220" w:type="dxa"/>
          </w:tcPr>
          <w:p w:rsidR="00BB54FD" w:rsidRPr="00D20839" w:rsidRDefault="00BB54FD" w:rsidP="00BB54FD">
            <w:pPr>
              <w:jc w:val="center"/>
              <w:rPr>
                <w:rFonts w:cstheme="minorHAnsi"/>
              </w:rPr>
            </w:pPr>
            <w:r>
              <w:rPr>
                <w:rFonts w:cstheme="minorHAnsi"/>
              </w:rPr>
              <w:t>0</w:t>
            </w:r>
          </w:p>
        </w:tc>
        <w:tc>
          <w:tcPr>
            <w:tcW w:w="1220" w:type="dxa"/>
          </w:tcPr>
          <w:p w:rsidR="00BB54FD" w:rsidRPr="00D20839" w:rsidRDefault="00BB54FD" w:rsidP="00BB54FD">
            <w:pPr>
              <w:jc w:val="center"/>
              <w:rPr>
                <w:rFonts w:cstheme="minorHAnsi"/>
              </w:rPr>
            </w:pPr>
            <w:r w:rsidRPr="00D20839">
              <w:rPr>
                <w:rFonts w:cstheme="minorHAnsi"/>
              </w:rPr>
              <w:t>0</w:t>
            </w:r>
          </w:p>
        </w:tc>
      </w:tr>
    </w:tbl>
    <w:p w:rsidR="00BB54FD" w:rsidRPr="0026783C" w:rsidRDefault="00BB54FD" w:rsidP="00BB54FD"/>
    <w:p w:rsidR="00BB54FD" w:rsidRPr="002B7250" w:rsidRDefault="00BB54FD" w:rsidP="00BB54FD">
      <w:pPr>
        <w:pStyle w:val="NoSpacing"/>
        <w:rPr>
          <w:sz w:val="8"/>
        </w:rPr>
      </w:pPr>
    </w:p>
    <w:p w:rsidR="00BB54FD" w:rsidRPr="002F6ED6" w:rsidRDefault="00BB54FD" w:rsidP="00BB54FD">
      <w:pPr>
        <w:jc w:val="both"/>
        <w:rPr>
          <w:sz w:val="24"/>
        </w:rPr>
      </w:pPr>
      <w:r>
        <w:rPr>
          <w:sz w:val="28"/>
        </w:rPr>
        <w:br w:type="page"/>
      </w:r>
    </w:p>
    <w:p w:rsidR="00BB54FD" w:rsidRDefault="00BB54FD" w:rsidP="00BB54FD">
      <w:pPr>
        <w:pStyle w:val="Heading2"/>
        <w:rPr>
          <w:sz w:val="28"/>
        </w:rPr>
      </w:pPr>
    </w:p>
    <w:p w:rsidR="00BB54FD" w:rsidRPr="0079070A" w:rsidRDefault="00BB54FD" w:rsidP="00BB54FD">
      <w:pPr>
        <w:rPr>
          <w:rFonts w:asciiTheme="majorHAnsi" w:eastAsiaTheme="majorEastAsia" w:hAnsiTheme="majorHAnsi" w:cstheme="majorBidi"/>
          <w:b/>
          <w:bCs/>
          <w:color w:val="1FADCD" w:themeColor="background2" w:themeShade="80"/>
          <w:sz w:val="26"/>
          <w:szCs w:val="26"/>
        </w:rPr>
      </w:pPr>
      <w:r w:rsidRPr="0079070A">
        <w:rPr>
          <w:b/>
          <w:color w:val="1FADCD" w:themeColor="background2" w:themeShade="80"/>
          <w:sz w:val="26"/>
          <w:szCs w:val="26"/>
        </w:rPr>
        <w:t>2.7 Patient Feedback</w:t>
      </w:r>
    </w:p>
    <w:p w:rsidR="00BB54FD" w:rsidRPr="00726CE2" w:rsidRDefault="00BB54FD" w:rsidP="00BB54FD">
      <w:pPr>
        <w:pStyle w:val="Heading3"/>
        <w:rPr>
          <w:sz w:val="24"/>
        </w:rPr>
      </w:pPr>
      <w:bookmarkStart w:id="14" w:name="_Toc362959126"/>
      <w:bookmarkStart w:id="15" w:name="_Toc381084857"/>
      <w:r w:rsidRPr="00726CE2">
        <w:rPr>
          <w:sz w:val="24"/>
        </w:rPr>
        <w:t>2.7.1 Complaints</w:t>
      </w:r>
      <w:bookmarkEnd w:id="14"/>
      <w:bookmarkEnd w:id="15"/>
      <w:r w:rsidRPr="00726CE2">
        <w:rPr>
          <w:sz w:val="24"/>
        </w:rPr>
        <w:t xml:space="preserve"> </w:t>
      </w:r>
    </w:p>
    <w:p w:rsidR="00BB54FD" w:rsidRPr="00023C44" w:rsidRDefault="00BB54FD" w:rsidP="00BB54FD">
      <w:pPr>
        <w:jc w:val="both"/>
        <w:rPr>
          <w:rFonts w:cstheme="minorHAnsi"/>
          <w:sz w:val="24"/>
          <w:szCs w:val="24"/>
        </w:rPr>
      </w:pPr>
      <w:r w:rsidRPr="00023C44">
        <w:rPr>
          <w:rFonts w:cstheme="minorHAnsi"/>
          <w:sz w:val="24"/>
          <w:szCs w:val="24"/>
        </w:rPr>
        <w:t xml:space="preserve">Complaints management is critical to ensuring the Trust not only responds to the complainant in a timely manner, but to ensure the learning from complaints is translated into action. Complaints data enables the Trust to determine if there are any trends in subject matter, location or personnel. </w:t>
      </w:r>
    </w:p>
    <w:p w:rsidR="00BB54FD" w:rsidRPr="00023C44" w:rsidRDefault="00BB54FD" w:rsidP="00BB54FD">
      <w:pPr>
        <w:jc w:val="both"/>
        <w:rPr>
          <w:rFonts w:cstheme="minorHAnsi"/>
          <w:sz w:val="24"/>
          <w:szCs w:val="24"/>
        </w:rPr>
      </w:pPr>
      <w:r w:rsidRPr="00023C44">
        <w:rPr>
          <w:rFonts w:cstheme="minorHAnsi"/>
          <w:i/>
          <w:sz w:val="24"/>
          <w:szCs w:val="24"/>
        </w:rPr>
        <w:t>Figure 8</w:t>
      </w:r>
      <w:r w:rsidRPr="00023C44">
        <w:rPr>
          <w:rFonts w:cstheme="minorHAnsi"/>
          <w:sz w:val="24"/>
          <w:szCs w:val="24"/>
        </w:rPr>
        <w:t xml:space="preserve"> portrays that the total number of complaints received in August and September was 25. The number of complaints received </w:t>
      </w:r>
      <w:r>
        <w:rPr>
          <w:rFonts w:cstheme="minorHAnsi"/>
          <w:color w:val="000000" w:themeColor="text1"/>
          <w:sz w:val="24"/>
          <w:szCs w:val="24"/>
        </w:rPr>
        <w:t xml:space="preserve">equate to </w:t>
      </w:r>
      <w:r w:rsidRPr="00023C44">
        <w:rPr>
          <w:rFonts w:cstheme="minorHAnsi"/>
          <w:color w:val="000000" w:themeColor="text1"/>
          <w:sz w:val="24"/>
          <w:szCs w:val="24"/>
        </w:rPr>
        <w:t>1.2% of all inpatients in over this period. This is against inpatient activity of 1,379, Emergency Department attendance of 4,730, Outpatient Department attendance of 8,864 and Day case activity of 1,140.</w:t>
      </w:r>
      <w:r w:rsidRPr="00023C44">
        <w:rPr>
          <w:rFonts w:cstheme="minorHAnsi"/>
          <w:color w:val="FF0000"/>
          <w:sz w:val="24"/>
          <w:szCs w:val="24"/>
        </w:rPr>
        <w:t xml:space="preserve"> </w:t>
      </w:r>
      <w:r w:rsidRPr="00023C44">
        <w:rPr>
          <w:rFonts w:cstheme="minorHAnsi"/>
          <w:sz w:val="24"/>
          <w:szCs w:val="24"/>
        </w:rPr>
        <w:t>The number of compliment letters during August and September was 187.</w:t>
      </w:r>
    </w:p>
    <w:p w:rsidR="00BB54FD" w:rsidRPr="00023C44" w:rsidRDefault="00BB54FD" w:rsidP="00BB54FD">
      <w:pPr>
        <w:jc w:val="both"/>
        <w:rPr>
          <w:rFonts w:cstheme="minorHAnsi"/>
          <w:sz w:val="24"/>
          <w:szCs w:val="24"/>
        </w:rPr>
      </w:pPr>
      <w:r w:rsidRPr="00023C44">
        <w:rPr>
          <w:rFonts w:cstheme="minorHAnsi"/>
          <w:sz w:val="24"/>
          <w:szCs w:val="24"/>
        </w:rPr>
        <w:t>All complainants are offered the opportunity to meet with relevant staff should they wish. Eight complaint resolution meetings were held in August and September resulting in satisfactory resolution for the complainant. Should complainants remain unsatisfied with the final response from the Trust, and all options for internal resolution have been exhausted, complainants are advised of the option to refer their complaint to the Complaints Ombudsman. No new complaints were referred to the Complaints Ombudsman in August or September.</w:t>
      </w:r>
      <w:r w:rsidRPr="00023C44">
        <w:rPr>
          <w:rFonts w:cstheme="minorHAnsi"/>
          <w:color w:val="FF0000"/>
          <w:sz w:val="24"/>
          <w:szCs w:val="24"/>
        </w:rPr>
        <w:t xml:space="preserve"> </w:t>
      </w:r>
    </w:p>
    <w:p w:rsidR="00BB54FD" w:rsidRPr="00964CA2" w:rsidRDefault="00BB54FD" w:rsidP="00BB54FD">
      <w:pPr>
        <w:jc w:val="both"/>
        <w:rPr>
          <w:rFonts w:cstheme="minorHAnsi"/>
        </w:rPr>
      </w:pPr>
    </w:p>
    <w:p w:rsidR="00BB54FD" w:rsidRPr="0093510F" w:rsidRDefault="00BB54FD" w:rsidP="00BB54FD">
      <w:pPr>
        <w:jc w:val="both"/>
        <w:rPr>
          <w:rFonts w:cstheme="minorHAnsi"/>
          <w:b/>
        </w:rPr>
      </w:pPr>
      <w:r w:rsidRPr="0093510F">
        <w:rPr>
          <w:rFonts w:cstheme="minorHAnsi"/>
          <w:b/>
        </w:rPr>
        <w:t>Figure 8:</w:t>
      </w:r>
    </w:p>
    <w:tbl>
      <w:tblPr>
        <w:tblStyle w:val="LightGrid-Accent11"/>
        <w:tblW w:w="10652" w:type="dxa"/>
        <w:tblLayout w:type="fixed"/>
        <w:tblLook w:val="04A0"/>
      </w:tblPr>
      <w:tblGrid>
        <w:gridCol w:w="2050"/>
        <w:gridCol w:w="694"/>
        <w:gridCol w:w="832"/>
        <w:gridCol w:w="833"/>
        <w:gridCol w:w="693"/>
        <w:gridCol w:w="694"/>
        <w:gridCol w:w="694"/>
        <w:gridCol w:w="555"/>
        <w:gridCol w:w="694"/>
        <w:gridCol w:w="832"/>
        <w:gridCol w:w="694"/>
        <w:gridCol w:w="694"/>
        <w:gridCol w:w="693"/>
      </w:tblGrid>
      <w:tr w:rsidR="00BB54FD" w:rsidRPr="00964CA2" w:rsidTr="00BB54FD">
        <w:trPr>
          <w:cnfStyle w:val="100000000000"/>
          <w:trHeight w:val="414"/>
        </w:trPr>
        <w:tc>
          <w:tcPr>
            <w:cnfStyle w:val="001000000000"/>
            <w:tcW w:w="2050" w:type="dxa"/>
          </w:tcPr>
          <w:p w:rsidR="00BB54FD" w:rsidRPr="00964CA2" w:rsidRDefault="00BB54FD" w:rsidP="00BB54FD">
            <w:pPr>
              <w:ind w:left="-250"/>
              <w:jc w:val="both"/>
              <w:rPr>
                <w:rFonts w:asciiTheme="minorHAnsi" w:hAnsiTheme="minorHAnsi" w:cstheme="minorHAnsi"/>
                <w:i/>
                <w:color w:val="000000"/>
              </w:rPr>
            </w:pPr>
          </w:p>
        </w:tc>
        <w:tc>
          <w:tcPr>
            <w:tcW w:w="694" w:type="dxa"/>
          </w:tcPr>
          <w:p w:rsidR="00BB54FD" w:rsidRPr="00964CA2" w:rsidRDefault="00BB54FD" w:rsidP="00BB54FD">
            <w:pPr>
              <w:jc w:val="both"/>
              <w:cnfStyle w:val="100000000000"/>
              <w:rPr>
                <w:rFonts w:asciiTheme="minorHAnsi" w:hAnsiTheme="minorHAnsi" w:cstheme="minorHAnsi"/>
                <w:color w:val="000000"/>
              </w:rPr>
            </w:pPr>
            <w:r w:rsidRPr="00964CA2">
              <w:rPr>
                <w:rFonts w:asciiTheme="minorHAnsi" w:hAnsiTheme="minorHAnsi" w:cstheme="minorHAnsi"/>
                <w:color w:val="000000"/>
              </w:rPr>
              <w:t>Jan</w:t>
            </w:r>
          </w:p>
        </w:tc>
        <w:tc>
          <w:tcPr>
            <w:tcW w:w="832" w:type="dxa"/>
          </w:tcPr>
          <w:p w:rsidR="00BB54FD" w:rsidRPr="00964CA2" w:rsidRDefault="00BB54FD" w:rsidP="00BB54FD">
            <w:pPr>
              <w:jc w:val="both"/>
              <w:cnfStyle w:val="100000000000"/>
              <w:rPr>
                <w:rFonts w:asciiTheme="minorHAnsi" w:hAnsiTheme="minorHAnsi" w:cstheme="minorHAnsi"/>
                <w:color w:val="000000"/>
              </w:rPr>
            </w:pPr>
            <w:r w:rsidRPr="00964CA2">
              <w:rPr>
                <w:rFonts w:asciiTheme="minorHAnsi" w:hAnsiTheme="minorHAnsi" w:cstheme="minorHAnsi"/>
                <w:color w:val="000000"/>
              </w:rPr>
              <w:t>Feb</w:t>
            </w:r>
          </w:p>
        </w:tc>
        <w:tc>
          <w:tcPr>
            <w:tcW w:w="833" w:type="dxa"/>
          </w:tcPr>
          <w:p w:rsidR="00BB54FD" w:rsidRPr="00964CA2" w:rsidRDefault="00BB54FD" w:rsidP="00BB54FD">
            <w:pPr>
              <w:jc w:val="both"/>
              <w:cnfStyle w:val="100000000000"/>
              <w:rPr>
                <w:rFonts w:asciiTheme="minorHAnsi" w:hAnsiTheme="minorHAnsi" w:cstheme="minorHAnsi"/>
                <w:color w:val="000000"/>
              </w:rPr>
            </w:pPr>
            <w:r w:rsidRPr="00964CA2">
              <w:rPr>
                <w:rFonts w:asciiTheme="minorHAnsi" w:hAnsiTheme="minorHAnsi" w:cstheme="minorHAnsi"/>
                <w:color w:val="000000"/>
              </w:rPr>
              <w:t>Mar</w:t>
            </w:r>
          </w:p>
        </w:tc>
        <w:tc>
          <w:tcPr>
            <w:tcW w:w="693" w:type="dxa"/>
          </w:tcPr>
          <w:p w:rsidR="00BB54FD" w:rsidRPr="00964CA2" w:rsidRDefault="00BB54FD" w:rsidP="00BB54FD">
            <w:pPr>
              <w:jc w:val="both"/>
              <w:cnfStyle w:val="100000000000"/>
              <w:rPr>
                <w:rFonts w:asciiTheme="minorHAnsi" w:hAnsiTheme="minorHAnsi" w:cstheme="minorHAnsi"/>
                <w:color w:val="000000"/>
              </w:rPr>
            </w:pPr>
            <w:r w:rsidRPr="00964CA2">
              <w:rPr>
                <w:rFonts w:asciiTheme="minorHAnsi" w:hAnsiTheme="minorHAnsi" w:cstheme="minorHAnsi"/>
                <w:color w:val="000000"/>
              </w:rPr>
              <w:t>Apr</w:t>
            </w:r>
          </w:p>
        </w:tc>
        <w:tc>
          <w:tcPr>
            <w:tcW w:w="694" w:type="dxa"/>
          </w:tcPr>
          <w:p w:rsidR="00BB54FD" w:rsidRPr="00964CA2" w:rsidRDefault="00BB54FD" w:rsidP="00BB54FD">
            <w:pPr>
              <w:jc w:val="both"/>
              <w:cnfStyle w:val="100000000000"/>
              <w:rPr>
                <w:rFonts w:asciiTheme="minorHAnsi" w:hAnsiTheme="minorHAnsi" w:cstheme="minorHAnsi"/>
                <w:color w:val="000000"/>
              </w:rPr>
            </w:pPr>
            <w:r w:rsidRPr="00964CA2">
              <w:rPr>
                <w:rFonts w:asciiTheme="minorHAnsi" w:hAnsiTheme="minorHAnsi" w:cstheme="minorHAnsi"/>
                <w:color w:val="000000"/>
              </w:rPr>
              <w:t>May</w:t>
            </w:r>
          </w:p>
        </w:tc>
        <w:tc>
          <w:tcPr>
            <w:tcW w:w="694" w:type="dxa"/>
          </w:tcPr>
          <w:p w:rsidR="00BB54FD" w:rsidRPr="00964CA2" w:rsidRDefault="00BB54FD" w:rsidP="00BB54FD">
            <w:pPr>
              <w:jc w:val="both"/>
              <w:cnfStyle w:val="100000000000"/>
              <w:rPr>
                <w:rFonts w:asciiTheme="minorHAnsi" w:hAnsiTheme="minorHAnsi" w:cstheme="minorHAnsi"/>
                <w:color w:val="000000"/>
              </w:rPr>
            </w:pPr>
            <w:r w:rsidRPr="00964CA2">
              <w:rPr>
                <w:rFonts w:asciiTheme="minorHAnsi" w:hAnsiTheme="minorHAnsi" w:cstheme="minorHAnsi"/>
                <w:color w:val="000000"/>
              </w:rPr>
              <w:t>Jun</w:t>
            </w:r>
          </w:p>
        </w:tc>
        <w:tc>
          <w:tcPr>
            <w:tcW w:w="555" w:type="dxa"/>
          </w:tcPr>
          <w:p w:rsidR="00BB54FD" w:rsidRPr="00964CA2" w:rsidRDefault="00BB54FD" w:rsidP="00BB54FD">
            <w:pPr>
              <w:jc w:val="both"/>
              <w:cnfStyle w:val="100000000000"/>
              <w:rPr>
                <w:rFonts w:asciiTheme="minorHAnsi" w:hAnsiTheme="minorHAnsi" w:cstheme="minorHAnsi"/>
                <w:color w:val="000000"/>
              </w:rPr>
            </w:pPr>
            <w:r w:rsidRPr="00964CA2">
              <w:rPr>
                <w:rFonts w:asciiTheme="minorHAnsi" w:hAnsiTheme="minorHAnsi" w:cstheme="minorHAnsi"/>
                <w:color w:val="000000"/>
              </w:rPr>
              <w:t>Jul</w:t>
            </w:r>
          </w:p>
        </w:tc>
        <w:tc>
          <w:tcPr>
            <w:tcW w:w="694" w:type="dxa"/>
          </w:tcPr>
          <w:p w:rsidR="00BB54FD" w:rsidRPr="00964CA2" w:rsidRDefault="00BB54FD" w:rsidP="00BB54FD">
            <w:pPr>
              <w:jc w:val="both"/>
              <w:cnfStyle w:val="100000000000"/>
              <w:rPr>
                <w:rFonts w:asciiTheme="minorHAnsi" w:hAnsiTheme="minorHAnsi" w:cstheme="minorHAnsi"/>
                <w:color w:val="000000"/>
              </w:rPr>
            </w:pPr>
            <w:r w:rsidRPr="00964CA2">
              <w:rPr>
                <w:rFonts w:asciiTheme="minorHAnsi" w:hAnsiTheme="minorHAnsi" w:cstheme="minorHAnsi"/>
                <w:color w:val="000000"/>
              </w:rPr>
              <w:t>Aug</w:t>
            </w:r>
          </w:p>
        </w:tc>
        <w:tc>
          <w:tcPr>
            <w:tcW w:w="832" w:type="dxa"/>
          </w:tcPr>
          <w:p w:rsidR="00BB54FD" w:rsidRPr="00964CA2" w:rsidRDefault="00BB54FD" w:rsidP="00BB54FD">
            <w:pPr>
              <w:jc w:val="both"/>
              <w:cnfStyle w:val="100000000000"/>
              <w:rPr>
                <w:rFonts w:asciiTheme="minorHAnsi" w:hAnsiTheme="minorHAnsi" w:cstheme="minorHAnsi"/>
                <w:color w:val="000000"/>
              </w:rPr>
            </w:pPr>
            <w:r w:rsidRPr="00964CA2">
              <w:rPr>
                <w:rFonts w:asciiTheme="minorHAnsi" w:hAnsiTheme="minorHAnsi" w:cstheme="minorHAnsi"/>
                <w:color w:val="000000"/>
              </w:rPr>
              <w:t>Sept</w:t>
            </w:r>
          </w:p>
        </w:tc>
        <w:tc>
          <w:tcPr>
            <w:tcW w:w="694" w:type="dxa"/>
          </w:tcPr>
          <w:p w:rsidR="00BB54FD" w:rsidRPr="00964CA2" w:rsidRDefault="00BB54FD" w:rsidP="00BB54FD">
            <w:pPr>
              <w:jc w:val="both"/>
              <w:cnfStyle w:val="100000000000"/>
              <w:rPr>
                <w:rFonts w:asciiTheme="minorHAnsi" w:hAnsiTheme="minorHAnsi" w:cstheme="minorHAnsi"/>
                <w:color w:val="000000"/>
              </w:rPr>
            </w:pPr>
            <w:r w:rsidRPr="00964CA2">
              <w:rPr>
                <w:rFonts w:asciiTheme="minorHAnsi" w:hAnsiTheme="minorHAnsi" w:cstheme="minorHAnsi"/>
                <w:color w:val="000000"/>
              </w:rPr>
              <w:t>Oct</w:t>
            </w:r>
          </w:p>
        </w:tc>
        <w:tc>
          <w:tcPr>
            <w:tcW w:w="694" w:type="dxa"/>
          </w:tcPr>
          <w:p w:rsidR="00BB54FD" w:rsidRPr="00964CA2" w:rsidRDefault="00BB54FD" w:rsidP="00BB54FD">
            <w:pPr>
              <w:jc w:val="both"/>
              <w:cnfStyle w:val="100000000000"/>
              <w:rPr>
                <w:rFonts w:asciiTheme="minorHAnsi" w:hAnsiTheme="minorHAnsi" w:cstheme="minorHAnsi"/>
                <w:color w:val="000000"/>
              </w:rPr>
            </w:pPr>
            <w:r w:rsidRPr="00964CA2">
              <w:rPr>
                <w:rFonts w:asciiTheme="minorHAnsi" w:hAnsiTheme="minorHAnsi" w:cstheme="minorHAnsi"/>
                <w:color w:val="000000"/>
              </w:rPr>
              <w:t>Nov</w:t>
            </w:r>
          </w:p>
        </w:tc>
        <w:tc>
          <w:tcPr>
            <w:tcW w:w="693" w:type="dxa"/>
          </w:tcPr>
          <w:p w:rsidR="00BB54FD" w:rsidRPr="00964CA2" w:rsidRDefault="00BB54FD" w:rsidP="00BB54FD">
            <w:pPr>
              <w:jc w:val="both"/>
              <w:cnfStyle w:val="100000000000"/>
              <w:rPr>
                <w:rFonts w:asciiTheme="minorHAnsi" w:hAnsiTheme="minorHAnsi" w:cstheme="minorHAnsi"/>
                <w:color w:val="000000"/>
              </w:rPr>
            </w:pPr>
            <w:r w:rsidRPr="00964CA2">
              <w:rPr>
                <w:rFonts w:asciiTheme="minorHAnsi" w:hAnsiTheme="minorHAnsi" w:cstheme="minorHAnsi"/>
                <w:color w:val="000000"/>
              </w:rPr>
              <w:t>Dec</w:t>
            </w:r>
          </w:p>
        </w:tc>
      </w:tr>
      <w:tr w:rsidR="00BB54FD" w:rsidRPr="00964CA2" w:rsidTr="00BB54FD">
        <w:trPr>
          <w:cnfStyle w:val="000000100000"/>
          <w:trHeight w:val="523"/>
        </w:trPr>
        <w:tc>
          <w:tcPr>
            <w:cnfStyle w:val="001000000000"/>
            <w:tcW w:w="2050" w:type="dxa"/>
            <w:vAlign w:val="center"/>
          </w:tcPr>
          <w:p w:rsidR="00BB54FD" w:rsidRPr="00964CA2" w:rsidRDefault="00BB54FD" w:rsidP="00BB54FD">
            <w:pPr>
              <w:jc w:val="both"/>
              <w:rPr>
                <w:rFonts w:asciiTheme="minorHAnsi" w:hAnsiTheme="minorHAnsi" w:cstheme="minorHAnsi"/>
                <w:color w:val="000000"/>
              </w:rPr>
            </w:pPr>
            <w:r w:rsidRPr="00964CA2">
              <w:rPr>
                <w:rFonts w:asciiTheme="minorHAnsi" w:hAnsiTheme="minorHAnsi" w:cstheme="minorHAnsi"/>
                <w:color w:val="000000"/>
              </w:rPr>
              <w:t>2013</w:t>
            </w:r>
          </w:p>
        </w:tc>
        <w:tc>
          <w:tcPr>
            <w:tcW w:w="694" w:type="dxa"/>
            <w:vAlign w:val="center"/>
          </w:tcPr>
          <w:p w:rsidR="00BB54FD" w:rsidRPr="00964CA2" w:rsidRDefault="00BB54FD" w:rsidP="00BB54FD">
            <w:pPr>
              <w:jc w:val="both"/>
              <w:cnfStyle w:val="000000100000"/>
              <w:rPr>
                <w:rFonts w:cstheme="minorHAnsi"/>
                <w:color w:val="000000"/>
              </w:rPr>
            </w:pPr>
            <w:r w:rsidRPr="00964CA2">
              <w:rPr>
                <w:rFonts w:cstheme="minorHAnsi"/>
                <w:color w:val="000000"/>
              </w:rPr>
              <w:t>17</w:t>
            </w:r>
          </w:p>
        </w:tc>
        <w:tc>
          <w:tcPr>
            <w:tcW w:w="832" w:type="dxa"/>
            <w:vAlign w:val="center"/>
          </w:tcPr>
          <w:p w:rsidR="00BB54FD" w:rsidRPr="00964CA2" w:rsidRDefault="00BB54FD" w:rsidP="00BB54FD">
            <w:pPr>
              <w:jc w:val="both"/>
              <w:cnfStyle w:val="000000100000"/>
              <w:rPr>
                <w:rFonts w:cstheme="minorHAnsi"/>
                <w:color w:val="000000"/>
              </w:rPr>
            </w:pPr>
            <w:r w:rsidRPr="00964CA2">
              <w:rPr>
                <w:rFonts w:cstheme="minorHAnsi"/>
                <w:color w:val="000000"/>
              </w:rPr>
              <w:t>22</w:t>
            </w:r>
          </w:p>
        </w:tc>
        <w:tc>
          <w:tcPr>
            <w:tcW w:w="833" w:type="dxa"/>
            <w:vAlign w:val="center"/>
          </w:tcPr>
          <w:p w:rsidR="00BB54FD" w:rsidRPr="00964CA2" w:rsidRDefault="00BB54FD" w:rsidP="00BB54FD">
            <w:pPr>
              <w:jc w:val="both"/>
              <w:cnfStyle w:val="000000100000"/>
              <w:rPr>
                <w:rFonts w:cstheme="minorHAnsi"/>
                <w:color w:val="000000"/>
              </w:rPr>
            </w:pPr>
            <w:r w:rsidRPr="00964CA2">
              <w:rPr>
                <w:rFonts w:cstheme="minorHAnsi"/>
                <w:color w:val="000000"/>
              </w:rPr>
              <w:t>21</w:t>
            </w:r>
          </w:p>
        </w:tc>
        <w:tc>
          <w:tcPr>
            <w:tcW w:w="693" w:type="dxa"/>
            <w:vAlign w:val="center"/>
          </w:tcPr>
          <w:p w:rsidR="00BB54FD" w:rsidRPr="00964CA2" w:rsidRDefault="00BB54FD" w:rsidP="00BB54FD">
            <w:pPr>
              <w:jc w:val="both"/>
              <w:cnfStyle w:val="000000100000"/>
              <w:rPr>
                <w:rFonts w:cstheme="minorHAnsi"/>
                <w:color w:val="000000"/>
              </w:rPr>
            </w:pPr>
            <w:r w:rsidRPr="00964CA2">
              <w:rPr>
                <w:rFonts w:cstheme="minorHAnsi"/>
                <w:color w:val="000000"/>
              </w:rPr>
              <w:t>19</w:t>
            </w:r>
          </w:p>
        </w:tc>
        <w:tc>
          <w:tcPr>
            <w:tcW w:w="694" w:type="dxa"/>
            <w:vAlign w:val="center"/>
          </w:tcPr>
          <w:p w:rsidR="00BB54FD" w:rsidRPr="00964CA2" w:rsidRDefault="00BB54FD" w:rsidP="00BB54FD">
            <w:pPr>
              <w:jc w:val="both"/>
              <w:cnfStyle w:val="000000100000"/>
              <w:rPr>
                <w:rFonts w:cstheme="minorHAnsi"/>
                <w:color w:val="000000"/>
              </w:rPr>
            </w:pPr>
            <w:r w:rsidRPr="00964CA2">
              <w:rPr>
                <w:rFonts w:cstheme="minorHAnsi"/>
                <w:color w:val="000000"/>
              </w:rPr>
              <w:t>11</w:t>
            </w:r>
          </w:p>
        </w:tc>
        <w:tc>
          <w:tcPr>
            <w:tcW w:w="694" w:type="dxa"/>
            <w:vAlign w:val="center"/>
          </w:tcPr>
          <w:p w:rsidR="00BB54FD" w:rsidRPr="00964CA2" w:rsidRDefault="00BB54FD" w:rsidP="00BB54FD">
            <w:pPr>
              <w:jc w:val="both"/>
              <w:cnfStyle w:val="000000100000"/>
              <w:rPr>
                <w:rFonts w:cstheme="minorHAnsi"/>
                <w:color w:val="000000"/>
              </w:rPr>
            </w:pPr>
            <w:r w:rsidRPr="00964CA2">
              <w:rPr>
                <w:rFonts w:cstheme="minorHAnsi"/>
                <w:color w:val="000000"/>
              </w:rPr>
              <w:t>14</w:t>
            </w:r>
          </w:p>
        </w:tc>
        <w:tc>
          <w:tcPr>
            <w:tcW w:w="555" w:type="dxa"/>
            <w:vAlign w:val="center"/>
          </w:tcPr>
          <w:p w:rsidR="00BB54FD" w:rsidRPr="00964CA2" w:rsidRDefault="00BB54FD" w:rsidP="00BB54FD">
            <w:pPr>
              <w:jc w:val="both"/>
              <w:cnfStyle w:val="000000100000"/>
              <w:rPr>
                <w:rFonts w:cstheme="minorHAnsi"/>
                <w:color w:val="000000"/>
              </w:rPr>
            </w:pPr>
            <w:r w:rsidRPr="00964CA2">
              <w:rPr>
                <w:rFonts w:cstheme="minorHAnsi"/>
                <w:color w:val="000000"/>
              </w:rPr>
              <w:t>17</w:t>
            </w:r>
          </w:p>
        </w:tc>
        <w:tc>
          <w:tcPr>
            <w:tcW w:w="694" w:type="dxa"/>
            <w:vAlign w:val="center"/>
          </w:tcPr>
          <w:p w:rsidR="00BB54FD" w:rsidRPr="00964CA2" w:rsidRDefault="00BB54FD" w:rsidP="00BB54FD">
            <w:pPr>
              <w:jc w:val="both"/>
              <w:cnfStyle w:val="000000100000"/>
              <w:rPr>
                <w:rFonts w:cstheme="minorHAnsi"/>
                <w:color w:val="000000"/>
              </w:rPr>
            </w:pPr>
            <w:r w:rsidRPr="00964CA2">
              <w:rPr>
                <w:rFonts w:cstheme="minorHAnsi"/>
                <w:color w:val="000000"/>
              </w:rPr>
              <w:t>21</w:t>
            </w:r>
          </w:p>
        </w:tc>
        <w:tc>
          <w:tcPr>
            <w:tcW w:w="832" w:type="dxa"/>
            <w:vAlign w:val="center"/>
          </w:tcPr>
          <w:p w:rsidR="00BB54FD" w:rsidRPr="00964CA2" w:rsidRDefault="00BB54FD" w:rsidP="00BB54FD">
            <w:pPr>
              <w:jc w:val="both"/>
              <w:cnfStyle w:val="000000100000"/>
              <w:rPr>
                <w:rFonts w:cstheme="minorHAnsi"/>
                <w:color w:val="000000"/>
              </w:rPr>
            </w:pPr>
            <w:r w:rsidRPr="00964CA2">
              <w:rPr>
                <w:rFonts w:cstheme="minorHAnsi"/>
                <w:color w:val="000000"/>
              </w:rPr>
              <w:t>12</w:t>
            </w:r>
          </w:p>
        </w:tc>
        <w:tc>
          <w:tcPr>
            <w:tcW w:w="694" w:type="dxa"/>
            <w:vAlign w:val="center"/>
          </w:tcPr>
          <w:p w:rsidR="00BB54FD" w:rsidRPr="00964CA2" w:rsidRDefault="00BB54FD" w:rsidP="00BB54FD">
            <w:pPr>
              <w:jc w:val="both"/>
              <w:cnfStyle w:val="000000100000"/>
              <w:rPr>
                <w:rFonts w:cstheme="minorHAnsi"/>
                <w:color w:val="000000"/>
              </w:rPr>
            </w:pPr>
            <w:r w:rsidRPr="00964CA2">
              <w:rPr>
                <w:rFonts w:cstheme="minorHAnsi"/>
                <w:color w:val="000000"/>
              </w:rPr>
              <w:t>24</w:t>
            </w:r>
          </w:p>
        </w:tc>
        <w:tc>
          <w:tcPr>
            <w:tcW w:w="694" w:type="dxa"/>
            <w:vAlign w:val="center"/>
          </w:tcPr>
          <w:p w:rsidR="00BB54FD" w:rsidRPr="00964CA2" w:rsidRDefault="00BB54FD" w:rsidP="00BB54FD">
            <w:pPr>
              <w:jc w:val="both"/>
              <w:cnfStyle w:val="000000100000"/>
              <w:rPr>
                <w:rFonts w:cstheme="minorHAnsi"/>
                <w:color w:val="000000"/>
              </w:rPr>
            </w:pPr>
            <w:r w:rsidRPr="00964CA2">
              <w:rPr>
                <w:rFonts w:cstheme="minorHAnsi"/>
                <w:color w:val="000000"/>
              </w:rPr>
              <w:t>12</w:t>
            </w:r>
          </w:p>
        </w:tc>
        <w:tc>
          <w:tcPr>
            <w:tcW w:w="693" w:type="dxa"/>
            <w:vAlign w:val="center"/>
          </w:tcPr>
          <w:p w:rsidR="00BB54FD" w:rsidRPr="00964CA2" w:rsidRDefault="00BB54FD" w:rsidP="00BB54FD">
            <w:pPr>
              <w:jc w:val="both"/>
              <w:cnfStyle w:val="000000100000"/>
              <w:rPr>
                <w:rFonts w:cstheme="minorHAnsi"/>
                <w:color w:val="000000"/>
              </w:rPr>
            </w:pPr>
            <w:r w:rsidRPr="00964CA2">
              <w:rPr>
                <w:rFonts w:cstheme="minorHAnsi"/>
                <w:color w:val="000000"/>
              </w:rPr>
              <w:t>18</w:t>
            </w:r>
          </w:p>
        </w:tc>
      </w:tr>
      <w:tr w:rsidR="00BB54FD" w:rsidRPr="00964CA2" w:rsidTr="00BB54FD">
        <w:trPr>
          <w:cnfStyle w:val="000000010000"/>
          <w:trHeight w:val="556"/>
        </w:trPr>
        <w:tc>
          <w:tcPr>
            <w:cnfStyle w:val="001000000000"/>
            <w:tcW w:w="2050" w:type="dxa"/>
            <w:vAlign w:val="center"/>
          </w:tcPr>
          <w:p w:rsidR="00BB54FD" w:rsidRPr="00964CA2" w:rsidRDefault="00BB54FD" w:rsidP="00BB54FD">
            <w:pPr>
              <w:jc w:val="both"/>
              <w:rPr>
                <w:rFonts w:asciiTheme="minorHAnsi" w:hAnsiTheme="minorHAnsi" w:cstheme="minorHAnsi"/>
                <w:color w:val="000000"/>
              </w:rPr>
            </w:pPr>
            <w:r w:rsidRPr="00964CA2">
              <w:rPr>
                <w:rFonts w:asciiTheme="minorHAnsi" w:hAnsiTheme="minorHAnsi" w:cstheme="minorHAnsi"/>
                <w:color w:val="000000"/>
              </w:rPr>
              <w:t>2014</w:t>
            </w:r>
          </w:p>
        </w:tc>
        <w:tc>
          <w:tcPr>
            <w:tcW w:w="694" w:type="dxa"/>
            <w:vAlign w:val="center"/>
          </w:tcPr>
          <w:p w:rsidR="00BB54FD" w:rsidRPr="00964CA2" w:rsidRDefault="00BB54FD" w:rsidP="00BB54FD">
            <w:pPr>
              <w:jc w:val="both"/>
              <w:cnfStyle w:val="000000010000"/>
              <w:rPr>
                <w:rFonts w:cstheme="minorHAnsi"/>
                <w:color w:val="000000"/>
              </w:rPr>
            </w:pPr>
            <w:r w:rsidRPr="00964CA2">
              <w:rPr>
                <w:rFonts w:cstheme="minorHAnsi"/>
                <w:color w:val="000000"/>
              </w:rPr>
              <w:t>16</w:t>
            </w:r>
          </w:p>
        </w:tc>
        <w:tc>
          <w:tcPr>
            <w:tcW w:w="832" w:type="dxa"/>
            <w:vAlign w:val="center"/>
          </w:tcPr>
          <w:p w:rsidR="00BB54FD" w:rsidRPr="00964CA2" w:rsidRDefault="00BB54FD" w:rsidP="00BB54FD">
            <w:pPr>
              <w:jc w:val="both"/>
              <w:cnfStyle w:val="000000010000"/>
              <w:rPr>
                <w:rFonts w:cstheme="minorHAnsi"/>
                <w:color w:val="000000"/>
              </w:rPr>
            </w:pPr>
            <w:r w:rsidRPr="00964CA2">
              <w:rPr>
                <w:rFonts w:cstheme="minorHAnsi"/>
                <w:color w:val="000000"/>
              </w:rPr>
              <w:t>22</w:t>
            </w:r>
          </w:p>
        </w:tc>
        <w:tc>
          <w:tcPr>
            <w:tcW w:w="833" w:type="dxa"/>
            <w:vAlign w:val="center"/>
          </w:tcPr>
          <w:p w:rsidR="00BB54FD" w:rsidRPr="00964CA2" w:rsidRDefault="00BB54FD" w:rsidP="00BB54FD">
            <w:pPr>
              <w:jc w:val="both"/>
              <w:cnfStyle w:val="000000010000"/>
              <w:rPr>
                <w:rFonts w:cstheme="minorHAnsi"/>
                <w:color w:val="000000"/>
              </w:rPr>
            </w:pPr>
            <w:r w:rsidRPr="00964CA2">
              <w:rPr>
                <w:rFonts w:cstheme="minorHAnsi"/>
                <w:color w:val="000000"/>
              </w:rPr>
              <w:t>38</w:t>
            </w:r>
          </w:p>
        </w:tc>
        <w:tc>
          <w:tcPr>
            <w:tcW w:w="693" w:type="dxa"/>
            <w:vAlign w:val="center"/>
          </w:tcPr>
          <w:p w:rsidR="00BB54FD" w:rsidRPr="00964CA2" w:rsidRDefault="00BB54FD" w:rsidP="00BB54FD">
            <w:pPr>
              <w:jc w:val="both"/>
              <w:cnfStyle w:val="000000010000"/>
              <w:rPr>
                <w:rFonts w:cstheme="minorHAnsi"/>
                <w:color w:val="000000"/>
              </w:rPr>
            </w:pPr>
            <w:r w:rsidRPr="00964CA2">
              <w:rPr>
                <w:rFonts w:cstheme="minorHAnsi"/>
                <w:color w:val="000000"/>
              </w:rPr>
              <w:t>15</w:t>
            </w:r>
          </w:p>
        </w:tc>
        <w:tc>
          <w:tcPr>
            <w:tcW w:w="694" w:type="dxa"/>
            <w:vAlign w:val="center"/>
          </w:tcPr>
          <w:p w:rsidR="00BB54FD" w:rsidRPr="00964CA2" w:rsidRDefault="00BB54FD" w:rsidP="00BB54FD">
            <w:pPr>
              <w:jc w:val="both"/>
              <w:cnfStyle w:val="000000010000"/>
              <w:rPr>
                <w:rFonts w:cstheme="minorHAnsi"/>
                <w:color w:val="000000"/>
              </w:rPr>
            </w:pPr>
            <w:r w:rsidRPr="00964CA2">
              <w:rPr>
                <w:rFonts w:cstheme="minorHAnsi"/>
                <w:color w:val="000000"/>
              </w:rPr>
              <w:t>27</w:t>
            </w:r>
          </w:p>
        </w:tc>
        <w:tc>
          <w:tcPr>
            <w:tcW w:w="694" w:type="dxa"/>
            <w:vAlign w:val="center"/>
          </w:tcPr>
          <w:p w:rsidR="00BB54FD" w:rsidRPr="00964CA2" w:rsidRDefault="00BB54FD" w:rsidP="00BB54FD">
            <w:pPr>
              <w:jc w:val="both"/>
              <w:cnfStyle w:val="000000010000"/>
              <w:rPr>
                <w:rFonts w:cstheme="minorHAnsi"/>
                <w:color w:val="000000"/>
              </w:rPr>
            </w:pPr>
            <w:r w:rsidRPr="00964CA2">
              <w:rPr>
                <w:rFonts w:cstheme="minorHAnsi"/>
                <w:color w:val="000000"/>
              </w:rPr>
              <w:t>23</w:t>
            </w:r>
          </w:p>
        </w:tc>
        <w:tc>
          <w:tcPr>
            <w:tcW w:w="555" w:type="dxa"/>
            <w:vAlign w:val="center"/>
          </w:tcPr>
          <w:p w:rsidR="00BB54FD" w:rsidRPr="00964CA2" w:rsidRDefault="00BB54FD" w:rsidP="00BB54FD">
            <w:pPr>
              <w:jc w:val="both"/>
              <w:cnfStyle w:val="000000010000"/>
              <w:rPr>
                <w:rFonts w:cstheme="minorHAnsi"/>
                <w:color w:val="000000"/>
              </w:rPr>
            </w:pPr>
            <w:r>
              <w:rPr>
                <w:rFonts w:cstheme="minorHAnsi"/>
                <w:color w:val="000000"/>
              </w:rPr>
              <w:t>23</w:t>
            </w:r>
          </w:p>
        </w:tc>
        <w:tc>
          <w:tcPr>
            <w:tcW w:w="694" w:type="dxa"/>
            <w:vAlign w:val="center"/>
          </w:tcPr>
          <w:p w:rsidR="00BB54FD" w:rsidRPr="00964CA2" w:rsidRDefault="00BB54FD" w:rsidP="00BB54FD">
            <w:pPr>
              <w:jc w:val="both"/>
              <w:cnfStyle w:val="000000010000"/>
              <w:rPr>
                <w:rFonts w:cstheme="minorHAnsi"/>
                <w:color w:val="000000"/>
              </w:rPr>
            </w:pPr>
            <w:r>
              <w:rPr>
                <w:rFonts w:cstheme="minorHAnsi"/>
                <w:color w:val="000000"/>
              </w:rPr>
              <w:t>20</w:t>
            </w:r>
          </w:p>
        </w:tc>
        <w:tc>
          <w:tcPr>
            <w:tcW w:w="832" w:type="dxa"/>
            <w:vAlign w:val="center"/>
          </w:tcPr>
          <w:p w:rsidR="00BB54FD" w:rsidRPr="00964CA2" w:rsidRDefault="00BB54FD" w:rsidP="00BB54FD">
            <w:pPr>
              <w:jc w:val="both"/>
              <w:cnfStyle w:val="000000010000"/>
              <w:rPr>
                <w:rFonts w:cstheme="minorHAnsi"/>
                <w:color w:val="000000"/>
              </w:rPr>
            </w:pPr>
            <w:r>
              <w:rPr>
                <w:rFonts w:cstheme="minorHAnsi"/>
                <w:color w:val="000000"/>
              </w:rPr>
              <w:t>5</w:t>
            </w:r>
          </w:p>
        </w:tc>
        <w:tc>
          <w:tcPr>
            <w:tcW w:w="694" w:type="dxa"/>
            <w:vAlign w:val="center"/>
          </w:tcPr>
          <w:p w:rsidR="00BB54FD" w:rsidRPr="00964CA2" w:rsidRDefault="00BB54FD" w:rsidP="00BB54FD">
            <w:pPr>
              <w:jc w:val="both"/>
              <w:cnfStyle w:val="000000010000"/>
              <w:rPr>
                <w:rFonts w:cstheme="minorHAnsi"/>
                <w:color w:val="000000"/>
              </w:rPr>
            </w:pPr>
          </w:p>
        </w:tc>
        <w:tc>
          <w:tcPr>
            <w:tcW w:w="694" w:type="dxa"/>
            <w:vAlign w:val="center"/>
          </w:tcPr>
          <w:p w:rsidR="00BB54FD" w:rsidRPr="00964CA2" w:rsidRDefault="00BB54FD" w:rsidP="00BB54FD">
            <w:pPr>
              <w:jc w:val="both"/>
              <w:cnfStyle w:val="000000010000"/>
              <w:rPr>
                <w:rFonts w:cstheme="minorHAnsi"/>
                <w:color w:val="000000"/>
              </w:rPr>
            </w:pPr>
          </w:p>
        </w:tc>
        <w:tc>
          <w:tcPr>
            <w:tcW w:w="693" w:type="dxa"/>
            <w:vAlign w:val="center"/>
          </w:tcPr>
          <w:p w:rsidR="00BB54FD" w:rsidRPr="00964CA2" w:rsidRDefault="00BB54FD" w:rsidP="00BB54FD">
            <w:pPr>
              <w:jc w:val="both"/>
              <w:cnfStyle w:val="000000010000"/>
              <w:rPr>
                <w:rFonts w:cstheme="minorHAnsi"/>
                <w:color w:val="000000"/>
              </w:rPr>
            </w:pPr>
          </w:p>
        </w:tc>
      </w:tr>
    </w:tbl>
    <w:p w:rsidR="00BB54FD" w:rsidRPr="00964CA2" w:rsidRDefault="00BB54FD" w:rsidP="00BB54FD">
      <w:pPr>
        <w:pStyle w:val="Default"/>
        <w:jc w:val="both"/>
        <w:rPr>
          <w:rFonts w:asciiTheme="minorHAnsi" w:hAnsiTheme="minorHAnsi" w:cstheme="minorHAnsi"/>
          <w:sz w:val="22"/>
          <w:szCs w:val="22"/>
        </w:rPr>
      </w:pPr>
    </w:p>
    <w:p w:rsidR="00BB54FD" w:rsidRPr="00964CA2" w:rsidRDefault="00BB54FD" w:rsidP="00BB54FD">
      <w:pPr>
        <w:jc w:val="both"/>
        <w:rPr>
          <w:rFonts w:eastAsia="Times New Roman" w:cstheme="minorHAnsi"/>
          <w:color w:val="000000"/>
        </w:rPr>
      </w:pPr>
      <w:r w:rsidRPr="00964CA2">
        <w:rPr>
          <w:rFonts w:cstheme="minorHAnsi"/>
        </w:rPr>
        <w:br w:type="page"/>
      </w:r>
    </w:p>
    <w:p w:rsidR="00BB54FD" w:rsidRPr="004969F7" w:rsidRDefault="00BB54FD" w:rsidP="00BB54FD">
      <w:pPr>
        <w:pStyle w:val="Default"/>
        <w:spacing w:line="276" w:lineRule="auto"/>
        <w:jc w:val="both"/>
        <w:rPr>
          <w:rFonts w:asciiTheme="minorHAnsi" w:hAnsiTheme="minorHAnsi" w:cstheme="minorHAnsi"/>
          <w:b/>
          <w:sz w:val="22"/>
          <w:szCs w:val="22"/>
        </w:rPr>
      </w:pPr>
      <w:r w:rsidRPr="004969F7">
        <w:rPr>
          <w:rFonts w:asciiTheme="minorHAnsi" w:hAnsiTheme="minorHAnsi" w:cstheme="minorHAnsi"/>
          <w:b/>
          <w:sz w:val="22"/>
          <w:szCs w:val="22"/>
        </w:rPr>
        <w:lastRenderedPageBreak/>
        <w:t>Figure 9:</w:t>
      </w:r>
    </w:p>
    <w:p w:rsidR="00BB54FD" w:rsidRPr="00964CA2" w:rsidRDefault="00BB54FD" w:rsidP="00BB54FD">
      <w:pPr>
        <w:pStyle w:val="Default"/>
        <w:spacing w:line="276" w:lineRule="auto"/>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37088" behindDoc="0" locked="0" layoutInCell="1" allowOverlap="1">
            <wp:simplePos x="0" y="0"/>
            <wp:positionH relativeFrom="margin">
              <wp:posOffset>762000</wp:posOffset>
            </wp:positionH>
            <wp:positionV relativeFrom="margin">
              <wp:posOffset>412115</wp:posOffset>
            </wp:positionV>
            <wp:extent cx="4686300" cy="2228850"/>
            <wp:effectExtent l="38100" t="19050" r="38100" b="19050"/>
            <wp:wrapSquare wrapText="bothSides"/>
            <wp:docPr id="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BB54FD" w:rsidRPr="00964CA2" w:rsidRDefault="00BB54FD" w:rsidP="00BB54FD">
      <w:pPr>
        <w:pStyle w:val="Default"/>
        <w:spacing w:line="276" w:lineRule="auto"/>
        <w:jc w:val="both"/>
        <w:rPr>
          <w:rFonts w:asciiTheme="minorHAnsi" w:hAnsiTheme="minorHAnsi" w:cstheme="minorHAnsi"/>
          <w:sz w:val="22"/>
          <w:szCs w:val="22"/>
        </w:rPr>
      </w:pPr>
    </w:p>
    <w:p w:rsidR="00BB54FD" w:rsidRPr="00964CA2" w:rsidRDefault="00BB54FD" w:rsidP="00BB54FD">
      <w:pPr>
        <w:pStyle w:val="Default"/>
        <w:spacing w:line="276" w:lineRule="auto"/>
        <w:jc w:val="both"/>
        <w:rPr>
          <w:rFonts w:asciiTheme="minorHAnsi" w:hAnsiTheme="minorHAnsi" w:cstheme="minorHAnsi"/>
          <w:sz w:val="22"/>
          <w:szCs w:val="22"/>
        </w:rPr>
      </w:pPr>
    </w:p>
    <w:p w:rsidR="00BB54FD" w:rsidRPr="00964CA2" w:rsidRDefault="00BB54FD" w:rsidP="00BB54FD">
      <w:pPr>
        <w:pStyle w:val="Default"/>
        <w:spacing w:line="276" w:lineRule="auto"/>
        <w:jc w:val="both"/>
        <w:rPr>
          <w:rFonts w:asciiTheme="minorHAnsi" w:hAnsiTheme="minorHAnsi" w:cstheme="minorHAnsi"/>
          <w:sz w:val="22"/>
          <w:szCs w:val="22"/>
        </w:rPr>
      </w:pPr>
    </w:p>
    <w:p w:rsidR="00BB54FD" w:rsidRPr="00964CA2" w:rsidRDefault="00BB54FD" w:rsidP="00BB54FD">
      <w:pPr>
        <w:pStyle w:val="Default"/>
        <w:spacing w:line="276" w:lineRule="auto"/>
        <w:jc w:val="both"/>
        <w:rPr>
          <w:rFonts w:asciiTheme="minorHAnsi" w:hAnsiTheme="minorHAnsi" w:cstheme="minorHAnsi"/>
          <w:sz w:val="22"/>
          <w:szCs w:val="22"/>
        </w:rPr>
      </w:pPr>
    </w:p>
    <w:p w:rsidR="00BB54FD" w:rsidRPr="00964CA2" w:rsidRDefault="00BB54FD" w:rsidP="00BB54FD">
      <w:pPr>
        <w:pStyle w:val="Default"/>
        <w:spacing w:line="276" w:lineRule="auto"/>
        <w:jc w:val="both"/>
        <w:rPr>
          <w:rFonts w:asciiTheme="minorHAnsi" w:hAnsiTheme="minorHAnsi" w:cstheme="minorHAnsi"/>
          <w:sz w:val="22"/>
          <w:szCs w:val="22"/>
        </w:rPr>
      </w:pPr>
    </w:p>
    <w:p w:rsidR="00BB54FD" w:rsidRPr="00964CA2" w:rsidRDefault="00BB54FD" w:rsidP="00BB54FD">
      <w:pPr>
        <w:pStyle w:val="Default"/>
        <w:spacing w:line="276" w:lineRule="auto"/>
        <w:jc w:val="both"/>
        <w:rPr>
          <w:rFonts w:asciiTheme="minorHAnsi" w:hAnsiTheme="minorHAnsi" w:cstheme="minorHAnsi"/>
          <w:sz w:val="22"/>
          <w:szCs w:val="22"/>
        </w:rPr>
      </w:pPr>
    </w:p>
    <w:p w:rsidR="00BB54FD" w:rsidRPr="00964CA2" w:rsidRDefault="00BB54FD" w:rsidP="00BB54FD">
      <w:pPr>
        <w:pStyle w:val="Default"/>
        <w:spacing w:line="276" w:lineRule="auto"/>
        <w:jc w:val="both"/>
        <w:rPr>
          <w:rFonts w:asciiTheme="minorHAnsi" w:hAnsiTheme="minorHAnsi" w:cstheme="minorHAnsi"/>
          <w:sz w:val="22"/>
          <w:szCs w:val="22"/>
        </w:rPr>
      </w:pPr>
    </w:p>
    <w:p w:rsidR="00BB54FD" w:rsidRPr="00964CA2" w:rsidRDefault="00BB54FD" w:rsidP="00BB54FD">
      <w:pPr>
        <w:pStyle w:val="Default"/>
        <w:spacing w:line="276" w:lineRule="auto"/>
        <w:jc w:val="both"/>
        <w:rPr>
          <w:rFonts w:asciiTheme="minorHAnsi" w:hAnsiTheme="minorHAnsi" w:cstheme="minorHAnsi"/>
          <w:sz w:val="22"/>
          <w:szCs w:val="22"/>
        </w:rPr>
      </w:pPr>
    </w:p>
    <w:p w:rsidR="00BB54FD" w:rsidRPr="00023C44" w:rsidRDefault="00BB54FD" w:rsidP="00BB54FD">
      <w:pPr>
        <w:pStyle w:val="Default"/>
        <w:spacing w:line="276" w:lineRule="auto"/>
        <w:jc w:val="both"/>
        <w:rPr>
          <w:rFonts w:asciiTheme="minorHAnsi" w:hAnsiTheme="minorHAnsi" w:cstheme="minorHAnsi"/>
        </w:rPr>
      </w:pPr>
    </w:p>
    <w:p w:rsidR="00BB54FD" w:rsidRPr="00023C44" w:rsidRDefault="00BB54FD" w:rsidP="00BB54FD">
      <w:pPr>
        <w:pStyle w:val="Default"/>
        <w:spacing w:line="276" w:lineRule="auto"/>
        <w:jc w:val="both"/>
        <w:rPr>
          <w:rFonts w:asciiTheme="minorHAnsi" w:hAnsiTheme="minorHAnsi" w:cstheme="minorHAnsi"/>
        </w:rPr>
      </w:pPr>
    </w:p>
    <w:p w:rsidR="00BB54FD" w:rsidRPr="00023C44" w:rsidRDefault="00BB54FD" w:rsidP="00BB54FD">
      <w:pPr>
        <w:pStyle w:val="Default"/>
        <w:spacing w:line="276" w:lineRule="auto"/>
        <w:jc w:val="both"/>
        <w:rPr>
          <w:rFonts w:asciiTheme="minorHAnsi" w:hAnsiTheme="minorHAnsi" w:cstheme="minorHAnsi"/>
          <w:color w:val="auto"/>
        </w:rPr>
      </w:pPr>
      <w:r w:rsidRPr="00023C44">
        <w:rPr>
          <w:rFonts w:asciiTheme="minorHAnsi" w:hAnsiTheme="minorHAnsi" w:cstheme="minorHAnsi"/>
        </w:rPr>
        <w:t xml:space="preserve">The Trust aims to provide a full response to all complainants within 30 working days. The response time to complaints as demonstrated in </w:t>
      </w:r>
      <w:r w:rsidRPr="00023C44">
        <w:rPr>
          <w:rFonts w:asciiTheme="minorHAnsi" w:hAnsiTheme="minorHAnsi" w:cstheme="minorHAnsi"/>
          <w:i/>
        </w:rPr>
        <w:t xml:space="preserve">Figure 10 </w:t>
      </w:r>
      <w:r w:rsidRPr="00023C44">
        <w:rPr>
          <w:rFonts w:asciiTheme="minorHAnsi" w:hAnsiTheme="minorHAnsi" w:cstheme="minorHAnsi"/>
        </w:rPr>
        <w:t xml:space="preserve">demonstrates the commitment of the Trust to resolve complaints in a timely manner.  The response rate of 82% in July and 90% August achieved by the Trust, met the 80% standard required. </w:t>
      </w:r>
      <w:r w:rsidRPr="00023C44">
        <w:rPr>
          <w:rFonts w:asciiTheme="minorHAnsi" w:hAnsiTheme="minorHAnsi" w:cstheme="minorHAnsi"/>
          <w:color w:val="auto"/>
        </w:rPr>
        <w:t xml:space="preserve">The Divisions are continuing to make improvements in this area. </w:t>
      </w:r>
    </w:p>
    <w:p w:rsidR="00BB54FD" w:rsidRPr="00023C44" w:rsidRDefault="00BB54FD" w:rsidP="00BB54FD">
      <w:pPr>
        <w:pStyle w:val="Default"/>
        <w:spacing w:line="276" w:lineRule="auto"/>
        <w:jc w:val="both"/>
        <w:rPr>
          <w:rFonts w:asciiTheme="minorHAnsi" w:hAnsiTheme="minorHAnsi" w:cstheme="minorHAnsi"/>
          <w:color w:val="auto"/>
        </w:rPr>
      </w:pPr>
    </w:p>
    <w:p w:rsidR="00BB54FD" w:rsidRPr="00023C44" w:rsidRDefault="00BB54FD" w:rsidP="00BB54FD">
      <w:pPr>
        <w:spacing w:after="0" w:line="240" w:lineRule="auto"/>
        <w:jc w:val="both"/>
        <w:rPr>
          <w:rFonts w:cstheme="minorHAnsi"/>
          <w:sz w:val="24"/>
          <w:szCs w:val="24"/>
        </w:rPr>
      </w:pPr>
      <w:r w:rsidRPr="00023C44">
        <w:rPr>
          <w:rFonts w:cstheme="minorHAnsi"/>
          <w:sz w:val="24"/>
          <w:szCs w:val="24"/>
        </w:rPr>
        <w:t>Training sessions have</w:t>
      </w:r>
      <w:r>
        <w:rPr>
          <w:rFonts w:cstheme="minorHAnsi"/>
          <w:sz w:val="24"/>
          <w:szCs w:val="24"/>
        </w:rPr>
        <w:t xml:space="preserve"> been</w:t>
      </w:r>
      <w:r w:rsidRPr="00023C44">
        <w:rPr>
          <w:rFonts w:cstheme="minorHAnsi"/>
          <w:sz w:val="24"/>
          <w:szCs w:val="24"/>
        </w:rPr>
        <w:t xml:space="preserve"> delivered in October for Cancer Services staff and a further session has been scheduled as part of the Sisters Development Day in the Planned Care Division which will help achieve an improvement in the management of complaints. </w:t>
      </w:r>
    </w:p>
    <w:p w:rsidR="00BB54FD" w:rsidRDefault="00BB54FD" w:rsidP="00BB54FD">
      <w:pPr>
        <w:spacing w:line="240" w:lineRule="auto"/>
        <w:jc w:val="both"/>
        <w:rPr>
          <w:rFonts w:cstheme="minorHAnsi"/>
        </w:rPr>
      </w:pPr>
    </w:p>
    <w:p w:rsidR="00BB54FD" w:rsidRPr="004969F7" w:rsidRDefault="00BB54FD" w:rsidP="00BB54FD">
      <w:pPr>
        <w:spacing w:line="240" w:lineRule="auto"/>
        <w:jc w:val="both"/>
        <w:rPr>
          <w:rFonts w:cstheme="minorHAnsi"/>
          <w:b/>
        </w:rPr>
      </w:pPr>
      <w:r w:rsidRPr="004969F7">
        <w:rPr>
          <w:rFonts w:cstheme="minorHAnsi"/>
          <w:b/>
        </w:rPr>
        <w:t>Figure 10:</w:t>
      </w:r>
    </w:p>
    <w:p w:rsidR="00BB54FD" w:rsidRPr="00964CA2" w:rsidRDefault="00BB54FD" w:rsidP="00BB54FD">
      <w:pPr>
        <w:spacing w:line="240" w:lineRule="auto"/>
        <w:jc w:val="center"/>
        <w:rPr>
          <w:rFonts w:cstheme="minorHAnsi"/>
        </w:rPr>
      </w:pPr>
      <w:r w:rsidRPr="009E0F61">
        <w:rPr>
          <w:noProof/>
        </w:rPr>
        <w:drawing>
          <wp:inline distT="0" distB="0" distL="0" distR="0">
            <wp:extent cx="5095875" cy="3116418"/>
            <wp:effectExtent l="19050" t="0" r="9525" b="0"/>
            <wp:docPr id="5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srcRect/>
                    <a:stretch>
                      <a:fillRect/>
                    </a:stretch>
                  </pic:blipFill>
                  <pic:spPr bwMode="auto">
                    <a:xfrm>
                      <a:off x="0" y="0"/>
                      <a:ext cx="5097902" cy="3117657"/>
                    </a:xfrm>
                    <a:prstGeom prst="rect">
                      <a:avLst/>
                    </a:prstGeom>
                    <a:noFill/>
                    <a:ln w="9525">
                      <a:noFill/>
                      <a:miter lim="800000"/>
                      <a:headEnd/>
                      <a:tailEnd/>
                    </a:ln>
                  </pic:spPr>
                </pic:pic>
              </a:graphicData>
            </a:graphic>
          </wp:inline>
        </w:drawing>
      </w:r>
    </w:p>
    <w:p w:rsidR="00BB54FD" w:rsidRPr="00023C44" w:rsidRDefault="00BB54FD" w:rsidP="00BB54FD">
      <w:pPr>
        <w:pStyle w:val="Default"/>
        <w:jc w:val="both"/>
        <w:rPr>
          <w:rFonts w:asciiTheme="minorHAnsi" w:hAnsiTheme="minorHAnsi" w:cstheme="minorHAnsi"/>
          <w:color w:val="auto"/>
        </w:rPr>
      </w:pPr>
    </w:p>
    <w:p w:rsidR="00BB54FD" w:rsidRPr="00023C44" w:rsidRDefault="00BB54FD" w:rsidP="00BB54FD">
      <w:pPr>
        <w:jc w:val="both"/>
        <w:rPr>
          <w:sz w:val="24"/>
          <w:szCs w:val="24"/>
        </w:rPr>
      </w:pPr>
      <w:r w:rsidRPr="00023C44">
        <w:rPr>
          <w:sz w:val="24"/>
          <w:szCs w:val="24"/>
        </w:rPr>
        <w:t>The management of complaints across the Trust has recently undergone a period of change brought into effect by the Director of Nursing to improve the patient experience.   With the effect from the 8</w:t>
      </w:r>
      <w:r w:rsidRPr="00023C44">
        <w:rPr>
          <w:sz w:val="24"/>
          <w:szCs w:val="24"/>
          <w:vertAlign w:val="superscript"/>
        </w:rPr>
        <w:t>th</w:t>
      </w:r>
      <w:r w:rsidRPr="00023C44">
        <w:rPr>
          <w:sz w:val="24"/>
          <w:szCs w:val="24"/>
        </w:rPr>
        <w:t xml:space="preserve"> September the Trust has been trialling a process where concerns raised by members of the public are logged by the Patient Advice and Liaison Service and sent to the local area for immediate resolution.  The intention is that the concerns raised are resolved in a much speedier manner and addressed to the patient’s satisfaction.  If this cannot be achieved the expectation is that the Senior Sister escalates to the Matron/Head of Nursing/Departmental Manager for resolution within a 48 hour timescale.  If resolution is still not achievable the concerns are escalated to the Director of Nursing for a decision on how the complaint will be monitored and resolved.  </w:t>
      </w:r>
    </w:p>
    <w:p w:rsidR="00BB54FD" w:rsidRPr="00023C44" w:rsidRDefault="00BB54FD" w:rsidP="00BB54FD">
      <w:pPr>
        <w:spacing w:after="100" w:afterAutospacing="1" w:line="240" w:lineRule="auto"/>
        <w:jc w:val="both"/>
        <w:rPr>
          <w:rFonts w:cstheme="minorHAnsi"/>
          <w:sz w:val="24"/>
          <w:szCs w:val="24"/>
        </w:rPr>
      </w:pPr>
      <w:r w:rsidRPr="00023C44">
        <w:rPr>
          <w:rFonts w:cstheme="minorHAnsi"/>
          <w:noProof/>
          <w:sz w:val="24"/>
          <w:szCs w:val="24"/>
        </w:rPr>
        <w:t>There were no compla</w:t>
      </w:r>
      <w:r>
        <w:rPr>
          <w:rFonts w:cstheme="minorHAnsi"/>
          <w:noProof/>
          <w:sz w:val="24"/>
          <w:szCs w:val="24"/>
        </w:rPr>
        <w:t xml:space="preserve">ints linked to safety incidents.  </w:t>
      </w:r>
      <w:r w:rsidRPr="006E6A04">
        <w:rPr>
          <w:sz w:val="24"/>
          <w:szCs w:val="24"/>
        </w:rPr>
        <w:t>Following receipt of their response 6 complainants have contacted the Trust to ask further questions or seek further information relating to the questions already raised. It should be noted that the complainants who have contacted the Trust received their initial response in varying months from May through to September 2014.</w:t>
      </w:r>
      <w:r w:rsidRPr="006E6A04">
        <w:rPr>
          <w:rFonts w:cstheme="minorHAnsi"/>
          <w:sz w:val="24"/>
          <w:szCs w:val="24"/>
        </w:rPr>
        <w:t xml:space="preserve"> </w:t>
      </w:r>
      <w:r w:rsidRPr="00023C44">
        <w:rPr>
          <w:rFonts w:cstheme="minorHAnsi"/>
          <w:sz w:val="24"/>
          <w:szCs w:val="24"/>
        </w:rPr>
        <w:t>Eight local resolution meetings took place;</w:t>
      </w:r>
      <w:r>
        <w:rPr>
          <w:rFonts w:cstheme="minorHAnsi"/>
          <w:sz w:val="24"/>
          <w:szCs w:val="24"/>
        </w:rPr>
        <w:t xml:space="preserve"> two for Planned Care Division six</w:t>
      </w:r>
      <w:r w:rsidRPr="00023C44">
        <w:rPr>
          <w:rFonts w:cstheme="minorHAnsi"/>
          <w:sz w:val="24"/>
          <w:szCs w:val="24"/>
        </w:rPr>
        <w:t xml:space="preserve"> for the Emergency Division.</w:t>
      </w:r>
    </w:p>
    <w:p w:rsidR="00BB54FD" w:rsidRDefault="00BB54FD" w:rsidP="00BB54FD">
      <w:pPr>
        <w:jc w:val="both"/>
        <w:rPr>
          <w:rFonts w:cstheme="minorHAnsi"/>
        </w:rPr>
      </w:pPr>
    </w:p>
    <w:p w:rsidR="00BB54FD" w:rsidRPr="00964CA2" w:rsidRDefault="00BB54FD" w:rsidP="00BB54FD">
      <w:pPr>
        <w:jc w:val="both"/>
        <w:rPr>
          <w:rFonts w:cstheme="minorHAnsi"/>
          <w:u w:val="single"/>
        </w:rPr>
      </w:pPr>
      <w:r w:rsidRPr="004969F7">
        <w:rPr>
          <w:rFonts w:cstheme="minorHAnsi"/>
          <w:b/>
        </w:rPr>
        <w:t>Figure 11:</w:t>
      </w:r>
      <w:r w:rsidRPr="00964CA2">
        <w:rPr>
          <w:rFonts w:cstheme="minorHAnsi"/>
        </w:rPr>
        <w:t xml:space="preserve"> </w:t>
      </w:r>
      <w:r w:rsidRPr="00964CA2">
        <w:rPr>
          <w:rFonts w:cstheme="minorHAnsi"/>
          <w:u w:val="single"/>
        </w:rPr>
        <w:t xml:space="preserve">Key themes identified from the </w:t>
      </w:r>
      <w:r>
        <w:rPr>
          <w:rFonts w:cstheme="minorHAnsi"/>
          <w:u w:val="single"/>
        </w:rPr>
        <w:t>25</w:t>
      </w:r>
      <w:r w:rsidRPr="00964CA2">
        <w:rPr>
          <w:rFonts w:cstheme="minorHAnsi"/>
          <w:u w:val="single"/>
        </w:rPr>
        <w:t xml:space="preserve"> Complaints received in </w:t>
      </w:r>
      <w:r>
        <w:rPr>
          <w:rFonts w:cstheme="minorHAnsi"/>
          <w:u w:val="single"/>
        </w:rPr>
        <w:t>August and September</w:t>
      </w:r>
      <w:r w:rsidRPr="00964CA2">
        <w:rPr>
          <w:rFonts w:cstheme="minorHAnsi"/>
          <w:u w:val="single"/>
        </w:rPr>
        <w:t xml:space="preserve"> 2014: </w:t>
      </w:r>
    </w:p>
    <w:p w:rsidR="00BB54FD" w:rsidRPr="00964CA2" w:rsidRDefault="00BB54FD" w:rsidP="00BB54FD">
      <w:pPr>
        <w:pStyle w:val="Default"/>
        <w:jc w:val="both"/>
        <w:rPr>
          <w:rFonts w:asciiTheme="minorHAnsi" w:hAnsiTheme="minorHAnsi" w:cstheme="minorHAnsi"/>
          <w:i/>
          <w:color w:val="auto"/>
          <w:sz w:val="22"/>
          <w:szCs w:val="22"/>
        </w:rPr>
      </w:pPr>
      <w:r w:rsidRPr="00964CA2">
        <w:rPr>
          <w:rFonts w:asciiTheme="minorHAnsi" w:hAnsiTheme="minorHAnsi" w:cstheme="minorHAnsi"/>
          <w:i/>
          <w:color w:val="auto"/>
          <w:sz w:val="22"/>
          <w:szCs w:val="22"/>
        </w:rPr>
        <w:t>* -The pie chart depicts the number of themes expressed in each of the complaints.</w:t>
      </w:r>
    </w:p>
    <w:p w:rsidR="00BB54FD" w:rsidRPr="00964CA2" w:rsidRDefault="00BB54FD" w:rsidP="00BB54FD">
      <w:pPr>
        <w:jc w:val="both"/>
        <w:rPr>
          <w:rFonts w:cstheme="minorHAnsi"/>
        </w:rPr>
      </w:pPr>
    </w:p>
    <w:p w:rsidR="00BB54FD" w:rsidRPr="00964CA2" w:rsidRDefault="00BB54FD" w:rsidP="00BB54FD">
      <w:pPr>
        <w:jc w:val="center"/>
        <w:rPr>
          <w:rFonts w:cstheme="minorHAnsi"/>
        </w:rPr>
      </w:pPr>
      <w:r w:rsidRPr="009E0F61">
        <w:rPr>
          <w:noProof/>
        </w:rPr>
        <w:drawing>
          <wp:inline distT="0" distB="0" distL="0" distR="0">
            <wp:extent cx="4791075" cy="2476500"/>
            <wp:effectExtent l="19050" t="0" r="9525" b="0"/>
            <wp:docPr id="5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4790477" cy="2476191"/>
                    </a:xfrm>
                    <a:prstGeom prst="rect">
                      <a:avLst/>
                    </a:prstGeom>
                  </pic:spPr>
                </pic:pic>
              </a:graphicData>
            </a:graphic>
          </wp:inline>
        </w:drawing>
      </w:r>
    </w:p>
    <w:p w:rsidR="00BB54FD" w:rsidRPr="006D68CE" w:rsidRDefault="00BB54FD" w:rsidP="00BB54FD">
      <w:pPr>
        <w:pStyle w:val="NoSpacing"/>
        <w:jc w:val="both"/>
        <w:rPr>
          <w:i/>
        </w:rPr>
      </w:pPr>
      <w:r w:rsidRPr="006D68CE">
        <w:rPr>
          <w:i/>
        </w:rPr>
        <w:lastRenderedPageBreak/>
        <w:t xml:space="preserve">Medical Treatment – 11 = 44% </w:t>
      </w:r>
    </w:p>
    <w:p w:rsidR="00BB54FD" w:rsidRPr="00AA4334" w:rsidRDefault="00BB54FD" w:rsidP="00BB54FD">
      <w:pPr>
        <w:pStyle w:val="NoSpacing"/>
        <w:jc w:val="both"/>
      </w:pPr>
      <w:r w:rsidRPr="00AA4334">
        <w:t>Medical treatment was a significant theme for complaints this month. 11 out of the 25 complaints mentioned medical treatment. 5 of the complaints related to concern that the clinician had not given appropriate treatment. 2 related to concerns about the treatment given to a patient that subsequently died. Further themes identified from complaints relate to; missed diagnosis of fracture, delay in treatment.</w:t>
      </w:r>
    </w:p>
    <w:p w:rsidR="00BB54FD" w:rsidRDefault="00BB54FD" w:rsidP="00BB54FD">
      <w:pPr>
        <w:pStyle w:val="NoSpacing"/>
        <w:jc w:val="both"/>
      </w:pPr>
      <w:r w:rsidRPr="00AA4334">
        <w:t>The</w:t>
      </w:r>
      <w:r>
        <w:t xml:space="preserve"> current use of locum doctors in the</w:t>
      </w:r>
      <w:r w:rsidRPr="00AA4334">
        <w:t xml:space="preserve"> Emergency Department </w:t>
      </w:r>
      <w:r>
        <w:t>is contributing to the level of complaints related to medical treatment</w:t>
      </w:r>
      <w:r w:rsidRPr="00AA4334">
        <w:t>. The d</w:t>
      </w:r>
      <w:r>
        <w:t>etails of any complaints</w:t>
      </w:r>
      <w:r w:rsidRPr="00AA4334">
        <w:t xml:space="preserve"> are shared with the appropriate agency to promote learning. There is also an active campaign to recruit more permanent doctors to the Department.</w:t>
      </w:r>
    </w:p>
    <w:p w:rsidR="00BB54FD" w:rsidRDefault="00BB54FD" w:rsidP="00BB54FD">
      <w:pPr>
        <w:pStyle w:val="NoSpacing"/>
        <w:jc w:val="both"/>
      </w:pPr>
      <w:r w:rsidRPr="004969F7">
        <w:rPr>
          <w:rStyle w:val="Strong"/>
          <w:rFonts w:cstheme="minorHAnsi"/>
          <w:b w:val="0"/>
        </w:rPr>
        <w:t>The Divisional Director for Planned Care is reviewing all complaints received with the Divisional Management Team and making</w:t>
      </w:r>
      <w:r w:rsidRPr="00AA4334">
        <w:rPr>
          <w:rStyle w:val="Strong"/>
          <w:rFonts w:cstheme="minorHAnsi"/>
        </w:rPr>
        <w:t xml:space="preserve"> </w:t>
      </w:r>
      <w:r w:rsidRPr="00AA4334">
        <w:t>teams aware of the findings from the reviews to focus change on improving the treatment of patients.</w:t>
      </w:r>
    </w:p>
    <w:p w:rsidR="00BB54FD" w:rsidRPr="0035215A" w:rsidRDefault="00BB54FD" w:rsidP="00BB54FD">
      <w:pPr>
        <w:pStyle w:val="NoSpacing"/>
        <w:jc w:val="both"/>
        <w:rPr>
          <w:color w:val="333333"/>
        </w:rPr>
      </w:pPr>
      <w:r w:rsidRPr="0035215A">
        <w:t xml:space="preserve">A teaching session for Doctors has been planned for February 2015 to share the themes of complaints and encourage doctors to identify </w:t>
      </w:r>
      <w:r w:rsidRPr="0035215A">
        <w:rPr>
          <w:color w:val="333333"/>
        </w:rPr>
        <w:t>what went wrong and</w:t>
      </w:r>
      <w:r>
        <w:rPr>
          <w:color w:val="333333"/>
        </w:rPr>
        <w:t xml:space="preserve"> how they can work differently to reduce complaints</w:t>
      </w:r>
      <w:r w:rsidRPr="0035215A">
        <w:rPr>
          <w:color w:val="333333"/>
        </w:rPr>
        <w:t>.</w:t>
      </w:r>
    </w:p>
    <w:p w:rsidR="00BB54FD" w:rsidRPr="00AA4334" w:rsidRDefault="00BB54FD" w:rsidP="00BB54FD">
      <w:pPr>
        <w:pStyle w:val="NoSpacing"/>
        <w:jc w:val="both"/>
      </w:pPr>
    </w:p>
    <w:p w:rsidR="00BB54FD" w:rsidRPr="006D68CE" w:rsidRDefault="00BB54FD" w:rsidP="00BB54FD">
      <w:pPr>
        <w:pStyle w:val="NoSpacing"/>
        <w:jc w:val="both"/>
        <w:rPr>
          <w:i/>
        </w:rPr>
      </w:pPr>
      <w:r w:rsidRPr="006D68CE">
        <w:rPr>
          <w:i/>
        </w:rPr>
        <w:t xml:space="preserve">Communication – 9 = 36% </w:t>
      </w:r>
    </w:p>
    <w:p w:rsidR="00BB54FD" w:rsidRPr="0035215A" w:rsidRDefault="00BB54FD" w:rsidP="00BB54FD">
      <w:pPr>
        <w:pStyle w:val="NoSpacing"/>
        <w:jc w:val="both"/>
      </w:pPr>
      <w:r w:rsidRPr="0035215A">
        <w:t xml:space="preserve">The number of complaints linked to communication was a main theme this month: 9 out of the 25 complaints mentioned communication. Hutton ward received two complaints related to communication. No other area received more than one complaint related to communication. </w:t>
      </w:r>
    </w:p>
    <w:p w:rsidR="00BB54FD" w:rsidRPr="0035215A" w:rsidRDefault="00BB54FD" w:rsidP="00BB54FD">
      <w:pPr>
        <w:pStyle w:val="NoSpacing"/>
        <w:jc w:val="both"/>
      </w:pPr>
      <w:r w:rsidRPr="0035215A">
        <w:t>Patients have raised concerns with lack of clear information about patient treatment for family members in 2 complaints. The lack of information provided by the medical team was a concern in 2 complaints. One patient felt the doctor did not listen to them.</w:t>
      </w:r>
    </w:p>
    <w:p w:rsidR="00BB54FD" w:rsidRDefault="00BB54FD" w:rsidP="00BB54FD">
      <w:pPr>
        <w:pStyle w:val="NoSpacing"/>
        <w:jc w:val="both"/>
      </w:pPr>
      <w:r w:rsidRPr="0035215A">
        <w:t xml:space="preserve">The number of concerns raised linked to communication has fallen for three consecutive months. In July the number was 50% less than in June 2014 and in </w:t>
      </w:r>
      <w:r>
        <w:t xml:space="preserve">September </w:t>
      </w:r>
      <w:r w:rsidRPr="0035215A">
        <w:t xml:space="preserve">the number has continued to fall. </w:t>
      </w:r>
    </w:p>
    <w:p w:rsidR="00BB54FD" w:rsidRDefault="00BB54FD" w:rsidP="00BB54FD">
      <w:pPr>
        <w:pStyle w:val="NoSpacing"/>
        <w:jc w:val="both"/>
      </w:pPr>
    </w:p>
    <w:p w:rsidR="00BB54FD" w:rsidRPr="006D68CE" w:rsidRDefault="00BB54FD" w:rsidP="00BB54FD">
      <w:pPr>
        <w:pStyle w:val="NoSpacing"/>
        <w:jc w:val="both"/>
        <w:rPr>
          <w:i/>
        </w:rPr>
      </w:pPr>
      <w:r w:rsidRPr="006D68CE">
        <w:rPr>
          <w:i/>
        </w:rPr>
        <w:t>Discharge – 3  = 12%</w:t>
      </w:r>
    </w:p>
    <w:p w:rsidR="00BB54FD" w:rsidRPr="00432157" w:rsidRDefault="00BB54FD" w:rsidP="00BB54FD">
      <w:pPr>
        <w:pStyle w:val="NoSpacing"/>
        <w:jc w:val="both"/>
      </w:pPr>
      <w:r w:rsidRPr="00432157">
        <w:t xml:space="preserve">The theme of complaints relating to discharge has decreased over the past two months. Concerns however were raised relating to the appropriateness of a discharge plan for a patient with dementia. Two complaints highlighted that there was no communication with carers when the discharge plan was changed. </w:t>
      </w:r>
    </w:p>
    <w:p w:rsidR="00BB54FD" w:rsidRPr="00432157" w:rsidRDefault="00BB54FD" w:rsidP="00BB54FD">
      <w:pPr>
        <w:pStyle w:val="NoSpacing"/>
        <w:jc w:val="both"/>
      </w:pPr>
      <w:r w:rsidRPr="00432157">
        <w:lastRenderedPageBreak/>
        <w:t xml:space="preserve">The new discharge policy </w:t>
      </w:r>
      <w:r>
        <w:t xml:space="preserve">including a detailed checklist </w:t>
      </w:r>
      <w:r w:rsidRPr="00432157">
        <w:t xml:space="preserve">is being followed with </w:t>
      </w:r>
      <w:r>
        <w:t>the</w:t>
      </w:r>
      <w:r w:rsidRPr="00432157">
        <w:t xml:space="preserve"> focus on safe and appropriate discharge.</w:t>
      </w:r>
    </w:p>
    <w:p w:rsidR="00BB54FD" w:rsidRPr="00EF4AD1" w:rsidRDefault="00BB54FD" w:rsidP="00BB54FD">
      <w:pPr>
        <w:pStyle w:val="NoSpacing"/>
        <w:jc w:val="both"/>
        <w:rPr>
          <w:color w:val="FF0000"/>
        </w:rPr>
      </w:pPr>
    </w:p>
    <w:p w:rsidR="00BB54FD" w:rsidRPr="006D68CE" w:rsidRDefault="00BB54FD" w:rsidP="00BB54FD">
      <w:pPr>
        <w:pStyle w:val="NoSpacing"/>
        <w:jc w:val="both"/>
        <w:rPr>
          <w:i/>
        </w:rPr>
      </w:pPr>
      <w:r w:rsidRPr="006D68CE">
        <w:rPr>
          <w:i/>
        </w:rPr>
        <w:t>Dignity - 6 = 24%</w:t>
      </w:r>
    </w:p>
    <w:p w:rsidR="00BB54FD" w:rsidRPr="00842AF6" w:rsidRDefault="00BB54FD" w:rsidP="00BB54FD">
      <w:pPr>
        <w:pStyle w:val="NoSpacing"/>
        <w:jc w:val="both"/>
      </w:pPr>
      <w:r w:rsidRPr="00842AF6">
        <w:t xml:space="preserve">There has been an increase in the number of complaints highlighting dignity as a concern for </w:t>
      </w:r>
      <w:r>
        <w:t xml:space="preserve">the </w:t>
      </w:r>
      <w:r w:rsidRPr="00842AF6">
        <w:t xml:space="preserve">last three months. </w:t>
      </w:r>
    </w:p>
    <w:p w:rsidR="00B1775D" w:rsidRDefault="00B1775D" w:rsidP="00BB54FD">
      <w:pPr>
        <w:pStyle w:val="NoSpacing"/>
        <w:jc w:val="both"/>
      </w:pPr>
    </w:p>
    <w:p w:rsidR="00BB54FD" w:rsidRDefault="00BB54FD" w:rsidP="00BB54FD">
      <w:pPr>
        <w:pStyle w:val="NoSpacing"/>
        <w:jc w:val="both"/>
      </w:pPr>
      <w:r w:rsidRPr="00842AF6">
        <w:t>Three complaints were received in Hutton ward. The Trust Lead for dignity is work</w:t>
      </w:r>
      <w:r>
        <w:t>ing</w:t>
      </w:r>
      <w:r w:rsidRPr="00842AF6">
        <w:t xml:space="preserve"> with the ward Sister and the Dignity Champion to improve the way patients and their family members feel about the way they are being treated. </w:t>
      </w:r>
    </w:p>
    <w:p w:rsidR="00BB54FD" w:rsidRPr="00842AF6" w:rsidRDefault="00BB54FD" w:rsidP="00BB54FD">
      <w:pPr>
        <w:pStyle w:val="NoSpacing"/>
        <w:jc w:val="both"/>
      </w:pPr>
    </w:p>
    <w:p w:rsidR="00BB54FD" w:rsidRPr="00842AF6" w:rsidRDefault="00BB54FD" w:rsidP="00BB54FD">
      <w:pPr>
        <w:pStyle w:val="NoSpacing"/>
        <w:jc w:val="both"/>
      </w:pPr>
      <w:r w:rsidRPr="00842AF6">
        <w:t>Two complaints related to the way patients were made to feel by the doctor, they did not feel that they had been treated in a respectful way. The Trust Lead for dignity</w:t>
      </w:r>
      <w:r>
        <w:t xml:space="preserve"> </w:t>
      </w:r>
      <w:r w:rsidRPr="00842AF6">
        <w:t>has been made aware of these complaints</w:t>
      </w:r>
      <w:r>
        <w:t xml:space="preserve"> and has asked the Executive Medical Director to nominate a person to join the group and also to join in with the Dignity Day that is being planned for 2</w:t>
      </w:r>
      <w:r w:rsidRPr="0035215A">
        <w:rPr>
          <w:vertAlign w:val="superscript"/>
        </w:rPr>
        <w:t>nd</w:t>
      </w:r>
      <w:r>
        <w:t xml:space="preserve"> February 2015.</w:t>
      </w:r>
    </w:p>
    <w:p w:rsidR="00BB54FD" w:rsidRPr="00842AF6" w:rsidRDefault="00BB54FD" w:rsidP="00BB54FD">
      <w:pPr>
        <w:pStyle w:val="NoSpacing"/>
        <w:jc w:val="both"/>
      </w:pPr>
    </w:p>
    <w:p w:rsidR="00BB54FD" w:rsidRPr="00842AF6" w:rsidRDefault="00BB54FD" w:rsidP="00BB54FD">
      <w:pPr>
        <w:pStyle w:val="NoSpacing"/>
        <w:jc w:val="both"/>
      </w:pPr>
      <w:r w:rsidRPr="00842AF6">
        <w:t xml:space="preserve">The patient feedback received by the Trust through the exit cards for August </w:t>
      </w:r>
      <w:r>
        <w:t>and September demonstrates</w:t>
      </w:r>
      <w:r w:rsidRPr="00842AF6">
        <w:t xml:space="preserve"> </w:t>
      </w:r>
      <w:r>
        <w:t xml:space="preserve">that those </w:t>
      </w:r>
      <w:r w:rsidRPr="00842AF6">
        <w:t>patients</w:t>
      </w:r>
      <w:r>
        <w:t xml:space="preserve"> who gave feedback</w:t>
      </w:r>
      <w:r w:rsidRPr="00842AF6">
        <w:t xml:space="preserve"> feel they are being treated with dignity and respect across the Trust.</w:t>
      </w:r>
      <w:r>
        <w:t xml:space="preserve"> (August 95.3% of 121 patients and September 96.3% of 308 patients)</w:t>
      </w:r>
    </w:p>
    <w:p w:rsidR="00BB54FD" w:rsidRPr="00842AF6" w:rsidRDefault="00BB54FD" w:rsidP="00BB54FD">
      <w:pPr>
        <w:pStyle w:val="NoSpacing"/>
        <w:jc w:val="both"/>
        <w:rPr>
          <w:color w:val="FF0000"/>
        </w:rPr>
      </w:pPr>
    </w:p>
    <w:p w:rsidR="00BB54FD" w:rsidRPr="006D68CE" w:rsidRDefault="00BB54FD" w:rsidP="00BB54FD">
      <w:pPr>
        <w:pStyle w:val="NoSpacing"/>
        <w:jc w:val="both"/>
        <w:rPr>
          <w:i/>
          <w:lang w:eastAsia="en-US"/>
        </w:rPr>
      </w:pPr>
      <w:r w:rsidRPr="006D68CE">
        <w:rPr>
          <w:rFonts w:eastAsiaTheme="minorHAnsi"/>
          <w:i/>
          <w:lang w:eastAsia="en-US"/>
        </w:rPr>
        <w:t xml:space="preserve">Nursing Care – 3 = 12% </w:t>
      </w:r>
    </w:p>
    <w:p w:rsidR="00BB54FD" w:rsidRPr="005742A4" w:rsidRDefault="00BB54FD" w:rsidP="00BB54FD">
      <w:pPr>
        <w:pStyle w:val="NoSpacing"/>
        <w:jc w:val="both"/>
      </w:pPr>
      <w:r w:rsidRPr="005742A4">
        <w:t xml:space="preserve">The number of complaints linked to nursing care increased slightly in August but remains low. </w:t>
      </w:r>
    </w:p>
    <w:p w:rsidR="00B1775D" w:rsidRDefault="00B1775D" w:rsidP="00BB54FD">
      <w:pPr>
        <w:pStyle w:val="NoSpacing"/>
        <w:jc w:val="both"/>
      </w:pPr>
    </w:p>
    <w:p w:rsidR="00BB54FD" w:rsidRDefault="00BB54FD" w:rsidP="00BB54FD">
      <w:pPr>
        <w:pStyle w:val="NoSpacing"/>
        <w:jc w:val="both"/>
      </w:pPr>
      <w:r w:rsidRPr="005742A4">
        <w:t>Hutton ward received 2 complaints linked to the nursing care of a dementia patient and a further complaint related to a patient with limited hearing. The Complex Needs Sister has commenced training for staff on the ward specifically aimed at patients with dementia or a learning disability such as pain relief and end of life care. The Complex Needs Sister is also offering one to one support to ward staff on a daily basis.</w:t>
      </w:r>
    </w:p>
    <w:p w:rsidR="00BB54FD" w:rsidRDefault="00BB54FD" w:rsidP="00BB54FD">
      <w:pPr>
        <w:pStyle w:val="NoSpacing"/>
        <w:jc w:val="both"/>
      </w:pPr>
    </w:p>
    <w:p w:rsidR="00B1775D" w:rsidRDefault="00B1775D" w:rsidP="00BB54FD">
      <w:pPr>
        <w:pStyle w:val="NoSpacing"/>
        <w:jc w:val="both"/>
      </w:pPr>
    </w:p>
    <w:p w:rsidR="00B1775D" w:rsidRDefault="00B1775D" w:rsidP="00BB54FD">
      <w:pPr>
        <w:pStyle w:val="NoSpacing"/>
        <w:jc w:val="both"/>
      </w:pPr>
    </w:p>
    <w:p w:rsidR="00BB54FD" w:rsidRDefault="00BB54FD" w:rsidP="00BB54FD">
      <w:pPr>
        <w:pStyle w:val="NoSpacing"/>
        <w:jc w:val="both"/>
      </w:pPr>
      <w:r w:rsidRPr="005742A4">
        <w:lastRenderedPageBreak/>
        <w:t>There is a new ward Sister in post on Hutton who has introduced a number of initiatives such as a new hand over system, a safety brief at the beginning of each shift to highlight the dependency of each patient which includes if a patient has dementia, or communication problem. The safety brief is displayed on a white board for all staff to inform multi professions of the needs of each patient, alarmed cushions for patients have also been introduced. Training incentives are being offered to staff to ensure that they are up to date with training including dignity training.</w:t>
      </w:r>
    </w:p>
    <w:p w:rsidR="00BB54FD" w:rsidRPr="005742A4" w:rsidRDefault="00BB54FD" w:rsidP="00BB54FD">
      <w:pPr>
        <w:pStyle w:val="NoSpacing"/>
        <w:jc w:val="both"/>
      </w:pPr>
    </w:p>
    <w:p w:rsidR="00BB54FD" w:rsidRPr="006D68CE" w:rsidRDefault="00BB54FD" w:rsidP="00BB54FD">
      <w:pPr>
        <w:pStyle w:val="NoSpacing"/>
        <w:jc w:val="both"/>
        <w:rPr>
          <w:i/>
        </w:rPr>
      </w:pPr>
      <w:r w:rsidRPr="006D68CE">
        <w:rPr>
          <w:i/>
        </w:rPr>
        <w:t>Attitude – 7 = 28%</w:t>
      </w:r>
    </w:p>
    <w:p w:rsidR="00BB54FD" w:rsidRDefault="00BB54FD" w:rsidP="00BB54FD">
      <w:pPr>
        <w:pStyle w:val="NoSpacing"/>
      </w:pPr>
      <w:r w:rsidRPr="003F4213">
        <w:t xml:space="preserve">The number of complaints linked to the attitude of staff was the highest in August since March 2014. </w:t>
      </w:r>
      <w:r>
        <w:t>I</w:t>
      </w:r>
      <w:r w:rsidRPr="003F4213">
        <w:t>t has been highlighted that the Emergency Department has received the most complaints linked to this theme during 2014. The Emergency Department Matron and a Consultant in Emergency Medicine will make this theme the focus at the next Department meeting and through discussion with staff exp</w:t>
      </w:r>
      <w:r>
        <w:t xml:space="preserve">lore what changes could be made </w:t>
      </w:r>
      <w:r w:rsidRPr="003F4213">
        <w:t>to improve the patient experience.</w:t>
      </w:r>
    </w:p>
    <w:p w:rsidR="00BB54FD" w:rsidRDefault="00BB54FD" w:rsidP="00BB54FD">
      <w:pPr>
        <w:pStyle w:val="NoSpacing"/>
      </w:pPr>
    </w:p>
    <w:p w:rsidR="00BB54FD" w:rsidRDefault="00BB54FD" w:rsidP="00BB54FD">
      <w:pPr>
        <w:pStyle w:val="NoSpacing"/>
      </w:pPr>
    </w:p>
    <w:p w:rsidR="00BB54FD" w:rsidRDefault="00BB54FD" w:rsidP="00BB54FD">
      <w:pPr>
        <w:pStyle w:val="NoSpacing"/>
      </w:pPr>
    </w:p>
    <w:p w:rsidR="00BB54FD" w:rsidRDefault="00BB54FD" w:rsidP="00BB54FD">
      <w:pPr>
        <w:pStyle w:val="NoSpacing"/>
      </w:pPr>
    </w:p>
    <w:p w:rsidR="00BB54FD" w:rsidRDefault="00BB54FD" w:rsidP="00BB54FD">
      <w:pPr>
        <w:pStyle w:val="NoSpacing"/>
      </w:pPr>
    </w:p>
    <w:p w:rsidR="00BB54FD" w:rsidRDefault="00BB54FD" w:rsidP="00BB54FD">
      <w:pPr>
        <w:pStyle w:val="NoSpacing"/>
      </w:pPr>
    </w:p>
    <w:p w:rsidR="00BB54FD" w:rsidRDefault="00BB54FD" w:rsidP="00BB54FD">
      <w:pPr>
        <w:pStyle w:val="NoSpacing"/>
      </w:pPr>
    </w:p>
    <w:p w:rsidR="00BB54FD" w:rsidRDefault="00BB54FD" w:rsidP="00BB54FD">
      <w:pPr>
        <w:pStyle w:val="NoSpacing"/>
      </w:pPr>
    </w:p>
    <w:p w:rsidR="00BB54FD" w:rsidRPr="009E0F61" w:rsidRDefault="00BB54FD" w:rsidP="00BB54FD">
      <w:pPr>
        <w:pStyle w:val="NoSpacing"/>
        <w:sectPr w:rsidR="00BB54FD" w:rsidRPr="009E0F61" w:rsidSect="00CE7C0C">
          <w:pgSz w:w="11906" w:h="16838"/>
          <w:pgMar w:top="720" w:right="720" w:bottom="720" w:left="720" w:header="708" w:footer="708" w:gutter="0"/>
          <w:cols w:space="708"/>
          <w:docGrid w:linePitch="360"/>
        </w:sectPr>
      </w:pPr>
    </w:p>
    <w:p w:rsidR="00BB54FD" w:rsidRPr="00976874" w:rsidRDefault="00BB54FD" w:rsidP="00BB54FD">
      <w:pPr>
        <w:rPr>
          <w:rFonts w:cstheme="minorHAnsi"/>
          <w:szCs w:val="20"/>
          <w:highlight w:val="yellow"/>
        </w:rPr>
        <w:sectPr w:rsidR="00BB54FD" w:rsidRPr="00976874" w:rsidSect="009E0F61">
          <w:pgSz w:w="16838" w:h="11906" w:orient="landscape"/>
          <w:pgMar w:top="720" w:right="720" w:bottom="720" w:left="720" w:header="709" w:footer="709" w:gutter="0"/>
          <w:cols w:space="708"/>
          <w:docGrid w:linePitch="360"/>
        </w:sectPr>
      </w:pPr>
      <w:r w:rsidRPr="009E0F61">
        <w:rPr>
          <w:noProof/>
        </w:rPr>
        <w:lastRenderedPageBreak/>
        <w:drawing>
          <wp:inline distT="0" distB="0" distL="0" distR="0">
            <wp:extent cx="9267825" cy="5324475"/>
            <wp:effectExtent l="19050" t="0" r="9525" b="0"/>
            <wp:docPr id="5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9267825" cy="5324475"/>
                    </a:xfrm>
                    <a:prstGeom prst="rect">
                      <a:avLst/>
                    </a:prstGeom>
                  </pic:spPr>
                </pic:pic>
              </a:graphicData>
            </a:graphic>
          </wp:inline>
        </w:drawing>
      </w:r>
    </w:p>
    <w:p w:rsidR="00BB54FD" w:rsidRDefault="00BB54FD" w:rsidP="00BB54FD">
      <w:bookmarkStart w:id="16" w:name="_Toc365455637"/>
      <w:bookmarkStart w:id="17" w:name="_Toc381084858"/>
      <w:r w:rsidRPr="00025DAD">
        <w:rPr>
          <w:rFonts w:asciiTheme="majorHAnsi" w:hAnsiTheme="majorHAnsi" w:cstheme="majorHAnsi"/>
          <w:b/>
          <w:color w:val="21798E" w:themeColor="accent1" w:themeShade="BF"/>
          <w:sz w:val="24"/>
        </w:rPr>
        <w:lastRenderedPageBreak/>
        <w:t>2.7.2 Compliments</w:t>
      </w:r>
      <w:bookmarkEnd w:id="16"/>
      <w:bookmarkEnd w:id="17"/>
      <w:r w:rsidRPr="00025DAD">
        <w:rPr>
          <w:rFonts w:asciiTheme="majorHAnsi" w:hAnsiTheme="majorHAnsi" w:cstheme="majorHAnsi"/>
          <w:b/>
          <w:color w:val="21798E" w:themeColor="accent1" w:themeShade="BF"/>
          <w:sz w:val="24"/>
        </w:rPr>
        <w:t xml:space="preserve">   </w:t>
      </w:r>
      <w:r w:rsidRPr="005803C7">
        <w:tab/>
      </w:r>
    </w:p>
    <w:p w:rsidR="00BB54FD" w:rsidRPr="00023C44" w:rsidRDefault="00BB54FD" w:rsidP="00BB54FD">
      <w:pPr>
        <w:jc w:val="both"/>
        <w:rPr>
          <w:rFonts w:cstheme="minorHAnsi"/>
          <w:sz w:val="24"/>
          <w:szCs w:val="24"/>
        </w:rPr>
      </w:pPr>
      <w:r w:rsidRPr="00023C44">
        <w:rPr>
          <w:rFonts w:cstheme="minorHAnsi"/>
          <w:sz w:val="24"/>
          <w:szCs w:val="24"/>
        </w:rPr>
        <w:t xml:space="preserve">The number of compliments received in August and September was 187. </w:t>
      </w:r>
    </w:p>
    <w:p w:rsidR="00BB54FD" w:rsidRPr="00023C44" w:rsidRDefault="00BB54FD" w:rsidP="00BB54FD">
      <w:pPr>
        <w:jc w:val="both"/>
        <w:rPr>
          <w:rFonts w:cstheme="minorHAnsi"/>
          <w:color w:val="FF0000"/>
          <w:sz w:val="24"/>
          <w:szCs w:val="24"/>
        </w:rPr>
      </w:pPr>
      <w:r w:rsidRPr="00023C44">
        <w:rPr>
          <w:rFonts w:cstheme="minorHAnsi"/>
          <w:sz w:val="24"/>
          <w:szCs w:val="24"/>
        </w:rPr>
        <w:t xml:space="preserve">Wards are continuing to focus on gathering patient feedback and it is hoped that reviewing the exit cards weekly will encourage staff to make sure patients are given the opportunity to provide feedback before leaving the hospital. The Compliments formally recorded are received via email or letter. </w:t>
      </w:r>
      <w:r w:rsidRPr="00023C44">
        <w:rPr>
          <w:rFonts w:cstheme="minorHAnsi"/>
          <w:i/>
          <w:sz w:val="24"/>
          <w:szCs w:val="24"/>
        </w:rPr>
        <w:t>Figure 12</w:t>
      </w:r>
      <w:r w:rsidRPr="00023C44">
        <w:rPr>
          <w:rFonts w:cstheme="minorHAnsi"/>
          <w:sz w:val="24"/>
          <w:szCs w:val="24"/>
        </w:rPr>
        <w:t xml:space="preserve"> depicts three examples of compliments received by the Trust in August and September. Where appropriate each compliment receives a letter to thank the individual for taking time to comment. </w:t>
      </w:r>
    </w:p>
    <w:p w:rsidR="00BB54FD" w:rsidRPr="006D68CE" w:rsidRDefault="00BB54FD" w:rsidP="00BB54FD">
      <w:pPr>
        <w:jc w:val="both"/>
        <w:rPr>
          <w:rFonts w:cstheme="minorHAnsi"/>
          <w:b/>
        </w:rPr>
      </w:pPr>
      <w:r w:rsidRPr="006D68CE">
        <w:rPr>
          <w:rFonts w:cstheme="minorHAnsi"/>
          <w:b/>
        </w:rPr>
        <w:t>Figure 12:</w:t>
      </w:r>
    </w:p>
    <w:tbl>
      <w:tblPr>
        <w:tblStyle w:val="LightGrid-Accent12"/>
        <w:tblW w:w="0" w:type="auto"/>
        <w:tblLook w:val="04A0"/>
      </w:tblPr>
      <w:tblGrid>
        <w:gridCol w:w="2201"/>
        <w:gridCol w:w="8481"/>
      </w:tblGrid>
      <w:tr w:rsidR="00BB54FD" w:rsidRPr="00964CA2" w:rsidTr="00BB54FD">
        <w:trPr>
          <w:cnfStyle w:val="100000000000"/>
          <w:trHeight w:val="324"/>
        </w:trPr>
        <w:tc>
          <w:tcPr>
            <w:cnfStyle w:val="001000000000"/>
            <w:tcW w:w="12441" w:type="dxa"/>
            <w:gridSpan w:val="2"/>
          </w:tcPr>
          <w:p w:rsidR="00BB54FD" w:rsidRPr="00964CA2" w:rsidRDefault="00BB54FD" w:rsidP="00BB54FD">
            <w:pPr>
              <w:jc w:val="both"/>
              <w:rPr>
                <w:rFonts w:asciiTheme="minorHAnsi" w:hAnsiTheme="minorHAnsi" w:cstheme="minorHAnsi"/>
              </w:rPr>
            </w:pPr>
            <w:r w:rsidRPr="00964CA2">
              <w:rPr>
                <w:rFonts w:asciiTheme="minorHAnsi" w:hAnsiTheme="minorHAnsi" w:cstheme="minorHAnsi"/>
              </w:rPr>
              <w:t>COMPLIMENTS</w:t>
            </w:r>
          </w:p>
        </w:tc>
      </w:tr>
      <w:tr w:rsidR="00BB54FD" w:rsidRPr="00964CA2" w:rsidTr="00BB54FD">
        <w:trPr>
          <w:cnfStyle w:val="000000100000"/>
          <w:trHeight w:val="664"/>
        </w:trPr>
        <w:tc>
          <w:tcPr>
            <w:cnfStyle w:val="001000000000"/>
            <w:tcW w:w="2376" w:type="dxa"/>
            <w:vAlign w:val="center"/>
          </w:tcPr>
          <w:p w:rsidR="00BB54FD" w:rsidRPr="00964CA2" w:rsidRDefault="00BB54FD" w:rsidP="00BB54FD">
            <w:pPr>
              <w:pStyle w:val="PlainText"/>
              <w:rPr>
                <w:rFonts w:asciiTheme="minorHAnsi" w:hAnsiTheme="minorHAnsi" w:cstheme="minorHAnsi"/>
                <w:sz w:val="22"/>
                <w:szCs w:val="22"/>
              </w:rPr>
            </w:pPr>
            <w:r w:rsidRPr="00964CA2">
              <w:rPr>
                <w:rFonts w:asciiTheme="minorHAnsi" w:hAnsiTheme="minorHAnsi" w:cstheme="minorHAnsi"/>
                <w:sz w:val="22"/>
                <w:szCs w:val="22"/>
              </w:rPr>
              <w:t xml:space="preserve">A thank you from </w:t>
            </w:r>
            <w:r>
              <w:rPr>
                <w:rFonts w:asciiTheme="minorHAnsi" w:hAnsiTheme="minorHAnsi" w:cstheme="minorHAnsi"/>
                <w:sz w:val="22"/>
                <w:szCs w:val="22"/>
              </w:rPr>
              <w:t>the daughter of a patient cared for on Uphill ward</w:t>
            </w:r>
          </w:p>
        </w:tc>
        <w:tc>
          <w:tcPr>
            <w:tcW w:w="10065" w:type="dxa"/>
            <w:vAlign w:val="center"/>
          </w:tcPr>
          <w:p w:rsidR="00BB54FD" w:rsidRDefault="00BB54FD" w:rsidP="00BB54FD">
            <w:pPr>
              <w:pStyle w:val="PlainText"/>
              <w:jc w:val="both"/>
              <w:cnfStyle w:val="000000100000"/>
              <w:rPr>
                <w:rFonts w:asciiTheme="minorHAnsi" w:hAnsiTheme="minorHAnsi" w:cstheme="minorHAnsi"/>
                <w:color w:val="0070C0"/>
                <w:sz w:val="22"/>
                <w:szCs w:val="22"/>
              </w:rPr>
            </w:pPr>
            <w:r>
              <w:rPr>
                <w:rFonts w:asciiTheme="minorHAnsi" w:hAnsiTheme="minorHAnsi" w:cstheme="minorHAnsi"/>
                <w:color w:val="0070C0"/>
                <w:sz w:val="22"/>
                <w:szCs w:val="22"/>
              </w:rPr>
              <w:t>I wanted to write and tell you what an amazing ward Uphill is. The nurses there were really cheerful and really helpful to my mother and myself as her carer.</w:t>
            </w:r>
          </w:p>
          <w:p w:rsidR="00BB54FD" w:rsidRPr="009A2B90" w:rsidRDefault="00BB54FD" w:rsidP="00BB54FD">
            <w:pPr>
              <w:pStyle w:val="PlainText"/>
              <w:jc w:val="both"/>
              <w:cnfStyle w:val="000000100000"/>
              <w:rPr>
                <w:rFonts w:asciiTheme="minorHAnsi" w:hAnsiTheme="minorHAnsi" w:cstheme="minorHAnsi"/>
                <w:color w:val="0070C0"/>
                <w:sz w:val="22"/>
                <w:szCs w:val="22"/>
              </w:rPr>
            </w:pPr>
            <w:r>
              <w:rPr>
                <w:rFonts w:asciiTheme="minorHAnsi" w:hAnsiTheme="minorHAnsi" w:cstheme="minorHAnsi"/>
                <w:color w:val="0070C0"/>
                <w:sz w:val="22"/>
                <w:szCs w:val="22"/>
              </w:rPr>
              <w:t>I also wanted to say that the doctor sat down with me and discussed what he was going to do for my mother. He then asked for my input and actually listened to what I said and said it was helpful to him. I have never had a doctor sit with me and let me know what is going on. He is a credit to the hospital and deserved acknowledgment for what he has done.</w:t>
            </w:r>
          </w:p>
        </w:tc>
      </w:tr>
      <w:tr w:rsidR="00BB54FD" w:rsidRPr="00964CA2" w:rsidTr="00BB54FD">
        <w:trPr>
          <w:cnfStyle w:val="000000010000"/>
        </w:trPr>
        <w:tc>
          <w:tcPr>
            <w:cnfStyle w:val="001000000000"/>
            <w:tcW w:w="2376" w:type="dxa"/>
            <w:vAlign w:val="center"/>
          </w:tcPr>
          <w:p w:rsidR="00BB54FD" w:rsidRPr="00964CA2" w:rsidRDefault="00BB54FD" w:rsidP="00BB54FD">
            <w:pPr>
              <w:rPr>
                <w:rFonts w:asciiTheme="minorHAnsi" w:hAnsiTheme="minorHAnsi" w:cstheme="minorHAnsi"/>
                <w:color w:val="0033CC"/>
              </w:rPr>
            </w:pPr>
            <w:r w:rsidRPr="00964CA2">
              <w:rPr>
                <w:rFonts w:asciiTheme="minorHAnsi" w:hAnsiTheme="minorHAnsi" w:cstheme="minorHAnsi"/>
                <w:color w:val="0033CC"/>
              </w:rPr>
              <w:t xml:space="preserve">A thank you </w:t>
            </w:r>
            <w:r>
              <w:rPr>
                <w:rFonts w:asciiTheme="minorHAnsi" w:hAnsiTheme="minorHAnsi" w:cstheme="minorHAnsi"/>
                <w:color w:val="0033CC"/>
              </w:rPr>
              <w:t>from a Medical Assessment Unit patient</w:t>
            </w:r>
          </w:p>
        </w:tc>
        <w:tc>
          <w:tcPr>
            <w:tcW w:w="10065" w:type="dxa"/>
            <w:vAlign w:val="center"/>
          </w:tcPr>
          <w:p w:rsidR="00BB54FD" w:rsidRPr="009A2B90" w:rsidRDefault="00BB54FD" w:rsidP="00BB54FD">
            <w:pPr>
              <w:jc w:val="both"/>
              <w:cnfStyle w:val="000000010000"/>
              <w:rPr>
                <w:rFonts w:cstheme="minorHAnsi"/>
                <w:color w:val="0070C0"/>
              </w:rPr>
            </w:pPr>
            <w:r>
              <w:rPr>
                <w:rFonts w:cstheme="minorHAnsi"/>
                <w:color w:val="0070C0"/>
              </w:rPr>
              <w:t>I would like to say a big thank you for the brilliant professional care given to me in September. After a heart scare during a race along Weston Prom it was reassuring to know I was in very good hands.</w:t>
            </w:r>
          </w:p>
        </w:tc>
      </w:tr>
      <w:tr w:rsidR="00BB54FD" w:rsidRPr="00964CA2" w:rsidTr="00BB54FD">
        <w:trPr>
          <w:cnfStyle w:val="000000100000"/>
        </w:trPr>
        <w:tc>
          <w:tcPr>
            <w:cnfStyle w:val="001000000000"/>
            <w:tcW w:w="2376" w:type="dxa"/>
            <w:vAlign w:val="center"/>
          </w:tcPr>
          <w:p w:rsidR="00BB54FD" w:rsidRPr="00964CA2" w:rsidRDefault="00BB54FD" w:rsidP="00BB54FD">
            <w:pPr>
              <w:pStyle w:val="PlainText"/>
              <w:rPr>
                <w:rFonts w:asciiTheme="minorHAnsi" w:hAnsiTheme="minorHAnsi" w:cstheme="minorHAnsi"/>
                <w:color w:val="0033CC"/>
                <w:sz w:val="22"/>
                <w:szCs w:val="22"/>
              </w:rPr>
            </w:pPr>
            <w:r w:rsidRPr="00964CA2">
              <w:rPr>
                <w:rFonts w:asciiTheme="minorHAnsi" w:hAnsiTheme="minorHAnsi" w:cstheme="minorHAnsi"/>
                <w:color w:val="0033CC"/>
                <w:sz w:val="22"/>
                <w:szCs w:val="22"/>
              </w:rPr>
              <w:t xml:space="preserve"> </w:t>
            </w:r>
            <w:r>
              <w:rPr>
                <w:rFonts w:asciiTheme="minorHAnsi" w:hAnsiTheme="minorHAnsi" w:cstheme="minorHAnsi"/>
                <w:color w:val="0033CC"/>
                <w:sz w:val="22"/>
                <w:szCs w:val="22"/>
              </w:rPr>
              <w:t>For the Midwives and Team on Ashcombe</w:t>
            </w:r>
          </w:p>
        </w:tc>
        <w:tc>
          <w:tcPr>
            <w:tcW w:w="10065" w:type="dxa"/>
            <w:vAlign w:val="center"/>
          </w:tcPr>
          <w:p w:rsidR="00BB54FD" w:rsidRPr="009A2B90" w:rsidRDefault="00BB54FD" w:rsidP="00BB54FD">
            <w:pPr>
              <w:pStyle w:val="PlainText"/>
              <w:jc w:val="both"/>
              <w:cnfStyle w:val="000000100000"/>
              <w:rPr>
                <w:rFonts w:asciiTheme="minorHAnsi" w:hAnsiTheme="minorHAnsi" w:cstheme="minorHAnsi"/>
                <w:color w:val="0070C0"/>
                <w:sz w:val="22"/>
                <w:szCs w:val="22"/>
              </w:rPr>
            </w:pPr>
            <w:r>
              <w:rPr>
                <w:rFonts w:asciiTheme="minorHAnsi" w:hAnsiTheme="minorHAnsi" w:cstheme="minorHAnsi"/>
                <w:color w:val="0070C0"/>
                <w:sz w:val="22"/>
                <w:szCs w:val="22"/>
              </w:rPr>
              <w:t>We can’t express how thankful we both are for your amazing care and for the support you have given us in bringing our little angel into the world. You really have been amazing. A special thanks to one member of the management team for the fantastic support in the delivery of our son.</w:t>
            </w:r>
          </w:p>
        </w:tc>
      </w:tr>
    </w:tbl>
    <w:p w:rsidR="00BB54FD" w:rsidRPr="00964CA2" w:rsidRDefault="00BB54FD" w:rsidP="00BB54FD">
      <w:pPr>
        <w:pStyle w:val="Heading3"/>
        <w:jc w:val="both"/>
        <w:rPr>
          <w:rFonts w:asciiTheme="minorHAnsi" w:hAnsiTheme="minorHAnsi" w:cstheme="minorHAnsi"/>
        </w:rPr>
      </w:pPr>
    </w:p>
    <w:p w:rsidR="00BB54FD" w:rsidRPr="000C3924" w:rsidRDefault="00BB54FD" w:rsidP="00BB54FD">
      <w:pPr>
        <w:jc w:val="both"/>
        <w:rPr>
          <w:rFonts w:asciiTheme="majorHAnsi" w:eastAsiaTheme="majorEastAsia" w:hAnsiTheme="majorHAnsi" w:cstheme="majorHAnsi"/>
          <w:b/>
          <w:bCs/>
          <w:color w:val="21798E" w:themeColor="accent1" w:themeShade="BF"/>
          <w:highlight w:val="yellow"/>
        </w:rPr>
      </w:pPr>
      <w:r w:rsidRPr="005803C7">
        <w:tab/>
      </w:r>
      <w:r w:rsidRPr="005803C7">
        <w:tab/>
      </w:r>
      <w:r w:rsidRPr="005803C7">
        <w:tab/>
      </w:r>
      <w:r w:rsidRPr="005803C7">
        <w:tab/>
      </w:r>
      <w:r w:rsidRPr="005803C7">
        <w:tab/>
      </w:r>
      <w:r w:rsidRPr="005803C7">
        <w:tab/>
      </w:r>
      <w:r w:rsidRPr="005803C7">
        <w:tab/>
      </w:r>
      <w:r w:rsidRPr="005803C7">
        <w:tab/>
      </w:r>
      <w:r w:rsidRPr="005803C7">
        <w:tab/>
      </w:r>
    </w:p>
    <w:p w:rsidR="00BB54FD" w:rsidRDefault="00BB54FD" w:rsidP="00BB54FD">
      <w:pPr>
        <w:pStyle w:val="Heading2"/>
        <w:rPr>
          <w:sz w:val="28"/>
        </w:rPr>
      </w:pPr>
      <w:bookmarkStart w:id="18" w:name="_Toc381084859"/>
    </w:p>
    <w:p w:rsidR="00BB54FD" w:rsidRDefault="00BB54FD" w:rsidP="00BB54FD">
      <w:pPr>
        <w:pStyle w:val="Heading2"/>
        <w:rPr>
          <w:sz w:val="28"/>
        </w:rPr>
      </w:pPr>
    </w:p>
    <w:p w:rsidR="00BB54FD" w:rsidRDefault="00BB54FD" w:rsidP="00BB54FD">
      <w:pPr>
        <w:pStyle w:val="Heading2"/>
        <w:rPr>
          <w:sz w:val="4"/>
        </w:rPr>
      </w:pPr>
    </w:p>
    <w:p w:rsidR="00BB54FD" w:rsidRPr="006D68CE" w:rsidRDefault="00BB54FD" w:rsidP="00BB54FD"/>
    <w:p w:rsidR="00BB54FD" w:rsidRPr="0079070A" w:rsidRDefault="00BB54FD" w:rsidP="00BB54FD">
      <w:pPr>
        <w:pStyle w:val="Heading2"/>
      </w:pPr>
      <w:r w:rsidRPr="0079070A">
        <w:lastRenderedPageBreak/>
        <w:t>2.8 Patient Feedback</w:t>
      </w:r>
      <w:bookmarkEnd w:id="18"/>
      <w:r w:rsidRPr="0079070A">
        <w:t xml:space="preserve"> </w:t>
      </w:r>
    </w:p>
    <w:p w:rsidR="00BB54FD" w:rsidRPr="006C26C4" w:rsidRDefault="00BB54FD" w:rsidP="00BB54FD">
      <w:pPr>
        <w:jc w:val="both"/>
        <w:rPr>
          <w:sz w:val="24"/>
          <w:szCs w:val="24"/>
        </w:rPr>
      </w:pPr>
      <w:r w:rsidRPr="006C26C4">
        <w:rPr>
          <w:sz w:val="24"/>
          <w:szCs w:val="24"/>
        </w:rPr>
        <w:t>As a national requirement Weston Area Health NHS Trust is engaging in the delivery of the Friends and Family Test (FFT).  This test has been implemented successfully across all areas.  The Friends and Family Test is a single question survey which asks patients whether they would recommend the NHS service they have received to friends and family who need similar treatment or care. </w:t>
      </w:r>
    </w:p>
    <w:p w:rsidR="00BB54FD" w:rsidRPr="006C26C4" w:rsidRDefault="00BB54FD" w:rsidP="00BB54FD">
      <w:pPr>
        <w:jc w:val="both"/>
        <w:rPr>
          <w:sz w:val="24"/>
          <w:szCs w:val="24"/>
        </w:rPr>
      </w:pPr>
      <w:r>
        <w:rPr>
          <w:sz w:val="24"/>
          <w:szCs w:val="24"/>
        </w:rPr>
        <w:t>The FFT</w:t>
      </w:r>
      <w:r w:rsidRPr="006C26C4">
        <w:rPr>
          <w:sz w:val="24"/>
          <w:szCs w:val="24"/>
        </w:rPr>
        <w:t xml:space="preserve"> is offered to all patients at the point of discharge and when patients attend the Emergency Department. </w:t>
      </w:r>
    </w:p>
    <w:p w:rsidR="00BB54FD" w:rsidRPr="006C26C4" w:rsidRDefault="00BB54FD" w:rsidP="00BB54FD">
      <w:pPr>
        <w:jc w:val="both"/>
        <w:rPr>
          <w:sz w:val="24"/>
          <w:szCs w:val="24"/>
        </w:rPr>
      </w:pPr>
      <w:r w:rsidRPr="006C26C4">
        <w:rPr>
          <w:sz w:val="24"/>
          <w:szCs w:val="24"/>
        </w:rPr>
        <w:t xml:space="preserve">Each Division and all wards receive a breakdown of the outcome of their survey results to ensure they can take relevant action to sustain improvements already made and proactively develop actions to deliver further improvement.  </w:t>
      </w:r>
      <w:r w:rsidRPr="000C3924">
        <w:rPr>
          <w:i/>
          <w:sz w:val="24"/>
          <w:szCs w:val="24"/>
        </w:rPr>
        <w:t>Figure 1</w:t>
      </w:r>
      <w:r>
        <w:rPr>
          <w:i/>
          <w:sz w:val="24"/>
          <w:szCs w:val="24"/>
        </w:rPr>
        <w:t>3</w:t>
      </w:r>
      <w:r w:rsidRPr="006C26C4">
        <w:rPr>
          <w:i/>
          <w:sz w:val="24"/>
          <w:szCs w:val="24"/>
        </w:rPr>
        <w:t xml:space="preserve"> </w:t>
      </w:r>
      <w:r w:rsidRPr="006C26C4">
        <w:rPr>
          <w:sz w:val="24"/>
          <w:szCs w:val="24"/>
        </w:rPr>
        <w:t>provides a det</w:t>
      </w:r>
      <w:r>
        <w:rPr>
          <w:sz w:val="24"/>
          <w:szCs w:val="24"/>
        </w:rPr>
        <w:t>ailed report of September</w:t>
      </w:r>
      <w:r w:rsidRPr="006C26C4">
        <w:rPr>
          <w:sz w:val="24"/>
          <w:szCs w:val="24"/>
        </w:rPr>
        <w:t xml:space="preserve">’s Friends &amp; Family Test results. </w:t>
      </w:r>
    </w:p>
    <w:p w:rsidR="00BB54FD" w:rsidRDefault="00BB54FD" w:rsidP="00BB54FD">
      <w:pPr>
        <w:rPr>
          <w:b/>
        </w:rPr>
      </w:pPr>
      <w:r w:rsidRPr="00AA6A74">
        <w:rPr>
          <w:b/>
        </w:rPr>
        <w:t>Figure 1</w:t>
      </w:r>
      <w:r>
        <w:rPr>
          <w:b/>
        </w:rPr>
        <w:t>3</w:t>
      </w:r>
      <w:r w:rsidRPr="00AA6A74">
        <w:rPr>
          <w:b/>
        </w:rPr>
        <w:t>:</w:t>
      </w:r>
    </w:p>
    <w:p w:rsidR="00BB54FD" w:rsidRDefault="00BB54FD" w:rsidP="00BB54FD">
      <w:pPr>
        <w:jc w:val="center"/>
        <w:rPr>
          <w:i/>
          <w:sz w:val="16"/>
        </w:rPr>
      </w:pPr>
      <w:r w:rsidRPr="001779B4">
        <w:rPr>
          <w:noProof/>
        </w:rPr>
        <w:drawing>
          <wp:inline distT="0" distB="0" distL="0" distR="0">
            <wp:extent cx="6645910" cy="1653467"/>
            <wp:effectExtent l="19050" t="0" r="2540" b="0"/>
            <wp:docPr id="5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srcRect/>
                    <a:stretch>
                      <a:fillRect/>
                    </a:stretch>
                  </pic:blipFill>
                  <pic:spPr bwMode="auto">
                    <a:xfrm>
                      <a:off x="0" y="0"/>
                      <a:ext cx="6645910" cy="1653467"/>
                    </a:xfrm>
                    <a:prstGeom prst="rect">
                      <a:avLst/>
                    </a:prstGeom>
                    <a:noFill/>
                    <a:ln w="9525">
                      <a:noFill/>
                      <a:miter lim="800000"/>
                      <a:headEnd/>
                      <a:tailEnd/>
                    </a:ln>
                  </pic:spPr>
                </pic:pic>
              </a:graphicData>
            </a:graphic>
          </wp:inline>
        </w:drawing>
      </w:r>
      <w:r w:rsidRPr="001779B4">
        <w:rPr>
          <w:i/>
          <w:sz w:val="16"/>
        </w:rPr>
        <w:t xml:space="preserve"> </w:t>
      </w:r>
      <w:r w:rsidRPr="001779B4">
        <w:rPr>
          <w:noProof/>
        </w:rPr>
        <w:drawing>
          <wp:inline distT="0" distB="0" distL="0" distR="0">
            <wp:extent cx="6645910" cy="884412"/>
            <wp:effectExtent l="19050" t="0" r="2540" b="0"/>
            <wp:docPr id="5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cstate="print"/>
                    <a:srcRect/>
                    <a:stretch>
                      <a:fillRect/>
                    </a:stretch>
                  </pic:blipFill>
                  <pic:spPr bwMode="auto">
                    <a:xfrm>
                      <a:off x="0" y="0"/>
                      <a:ext cx="6645910" cy="884412"/>
                    </a:xfrm>
                    <a:prstGeom prst="rect">
                      <a:avLst/>
                    </a:prstGeom>
                    <a:noFill/>
                    <a:ln w="9525">
                      <a:noFill/>
                      <a:miter lim="800000"/>
                      <a:headEnd/>
                      <a:tailEnd/>
                    </a:ln>
                  </pic:spPr>
                </pic:pic>
              </a:graphicData>
            </a:graphic>
          </wp:inline>
        </w:drawing>
      </w:r>
      <w:r w:rsidRPr="001779B4">
        <w:rPr>
          <w:i/>
          <w:sz w:val="16"/>
        </w:rPr>
        <w:t xml:space="preserve"> </w:t>
      </w:r>
      <w:r w:rsidRPr="001779B4">
        <w:rPr>
          <w:noProof/>
        </w:rPr>
        <w:drawing>
          <wp:inline distT="0" distB="0" distL="0" distR="0">
            <wp:extent cx="6645910" cy="1012588"/>
            <wp:effectExtent l="19050" t="0" r="2540" b="0"/>
            <wp:docPr id="5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srcRect/>
                    <a:stretch>
                      <a:fillRect/>
                    </a:stretch>
                  </pic:blipFill>
                  <pic:spPr bwMode="auto">
                    <a:xfrm>
                      <a:off x="0" y="0"/>
                      <a:ext cx="6645910" cy="1012588"/>
                    </a:xfrm>
                    <a:prstGeom prst="rect">
                      <a:avLst/>
                    </a:prstGeom>
                    <a:noFill/>
                    <a:ln w="9525">
                      <a:noFill/>
                      <a:miter lim="800000"/>
                      <a:headEnd/>
                      <a:tailEnd/>
                    </a:ln>
                  </pic:spPr>
                </pic:pic>
              </a:graphicData>
            </a:graphic>
          </wp:inline>
        </w:drawing>
      </w:r>
    </w:p>
    <w:p w:rsidR="00BB54FD" w:rsidRPr="00023C44" w:rsidRDefault="00BB54FD" w:rsidP="00BB54FD">
      <w:pPr>
        <w:jc w:val="both"/>
        <w:rPr>
          <w:sz w:val="24"/>
          <w:szCs w:val="24"/>
        </w:rPr>
      </w:pPr>
      <w:r w:rsidRPr="00023C44">
        <w:rPr>
          <w:sz w:val="24"/>
          <w:szCs w:val="24"/>
        </w:rPr>
        <w:t xml:space="preserve">The FFT yielded a disappointingly low response rate across the </w:t>
      </w:r>
      <w:r>
        <w:rPr>
          <w:sz w:val="24"/>
          <w:szCs w:val="24"/>
        </w:rPr>
        <w:t>Trust</w:t>
      </w:r>
      <w:r w:rsidRPr="00023C44">
        <w:rPr>
          <w:sz w:val="24"/>
          <w:szCs w:val="24"/>
        </w:rPr>
        <w:t xml:space="preserve"> for the month of August with an average</w:t>
      </w:r>
      <w:r>
        <w:rPr>
          <w:sz w:val="24"/>
          <w:szCs w:val="24"/>
        </w:rPr>
        <w:t xml:space="preserve"> reduction in response rate of </w:t>
      </w:r>
      <w:r w:rsidRPr="00023C44">
        <w:rPr>
          <w:sz w:val="24"/>
          <w:szCs w:val="24"/>
        </w:rPr>
        <w:t xml:space="preserve">8.35% across </w:t>
      </w:r>
      <w:r>
        <w:rPr>
          <w:sz w:val="24"/>
          <w:szCs w:val="24"/>
        </w:rPr>
        <w:t>all areas from the previous month</w:t>
      </w:r>
      <w:r w:rsidRPr="00023C44">
        <w:rPr>
          <w:sz w:val="24"/>
          <w:szCs w:val="24"/>
        </w:rPr>
        <w:t>.</w:t>
      </w:r>
    </w:p>
    <w:p w:rsidR="00BB54FD" w:rsidRPr="00023C44" w:rsidRDefault="00BB54FD" w:rsidP="00BB54FD">
      <w:pPr>
        <w:jc w:val="both"/>
        <w:rPr>
          <w:sz w:val="24"/>
          <w:szCs w:val="24"/>
        </w:rPr>
      </w:pPr>
      <w:r w:rsidRPr="00023C44">
        <w:rPr>
          <w:sz w:val="24"/>
          <w:szCs w:val="24"/>
        </w:rPr>
        <w:lastRenderedPageBreak/>
        <w:t>Break down of decrease in response rates from July to August:</w:t>
      </w:r>
    </w:p>
    <w:p w:rsidR="00BB54FD" w:rsidRPr="00C839CC" w:rsidRDefault="00BB54FD" w:rsidP="00BB54FD">
      <w:pPr>
        <w:pStyle w:val="ListParagraph"/>
        <w:numPr>
          <w:ilvl w:val="0"/>
          <w:numId w:val="45"/>
        </w:numPr>
        <w:jc w:val="both"/>
        <w:rPr>
          <w:sz w:val="24"/>
          <w:szCs w:val="24"/>
        </w:rPr>
      </w:pPr>
      <w:r w:rsidRPr="00C839CC">
        <w:rPr>
          <w:sz w:val="24"/>
          <w:szCs w:val="24"/>
        </w:rPr>
        <w:t>Acute Wards response rate was down by 9.3%</w:t>
      </w:r>
    </w:p>
    <w:p w:rsidR="00BB54FD" w:rsidRPr="00C839CC" w:rsidRDefault="00BB54FD" w:rsidP="00BB54FD">
      <w:pPr>
        <w:pStyle w:val="ListParagraph"/>
        <w:numPr>
          <w:ilvl w:val="0"/>
          <w:numId w:val="45"/>
        </w:numPr>
        <w:jc w:val="both"/>
        <w:rPr>
          <w:sz w:val="24"/>
          <w:szCs w:val="24"/>
        </w:rPr>
      </w:pPr>
      <w:r w:rsidRPr="00C839CC">
        <w:rPr>
          <w:sz w:val="24"/>
          <w:szCs w:val="24"/>
        </w:rPr>
        <w:t>Emergency Care response rate was down by 9.4%</w:t>
      </w:r>
    </w:p>
    <w:p w:rsidR="00BB54FD" w:rsidRPr="00C839CC" w:rsidRDefault="00BB54FD" w:rsidP="00BB54FD">
      <w:pPr>
        <w:pStyle w:val="ListParagraph"/>
        <w:numPr>
          <w:ilvl w:val="0"/>
          <w:numId w:val="45"/>
        </w:numPr>
        <w:jc w:val="both"/>
        <w:rPr>
          <w:sz w:val="24"/>
          <w:szCs w:val="24"/>
        </w:rPr>
      </w:pPr>
      <w:r w:rsidRPr="00C839CC">
        <w:rPr>
          <w:sz w:val="24"/>
          <w:szCs w:val="24"/>
        </w:rPr>
        <w:t>Maternity response rate was down by 6.3%</w:t>
      </w:r>
    </w:p>
    <w:p w:rsidR="00BB54FD" w:rsidRDefault="00BB54FD" w:rsidP="00BB54FD">
      <w:pPr>
        <w:jc w:val="both"/>
        <w:rPr>
          <w:sz w:val="24"/>
          <w:szCs w:val="24"/>
        </w:rPr>
      </w:pPr>
      <w:r>
        <w:rPr>
          <w:sz w:val="24"/>
          <w:szCs w:val="24"/>
        </w:rPr>
        <w:t>The increased use of temporary nursing staff is likely to have contributed to the lower scores as a</w:t>
      </w:r>
      <w:r w:rsidRPr="00023C44">
        <w:rPr>
          <w:sz w:val="24"/>
          <w:szCs w:val="24"/>
        </w:rPr>
        <w:t xml:space="preserve"> mini audit suggests that temporary staff have a lower awareness of FFT, so would be unlikely to seek patient feedback in this way and offer cards to appropriate patients.</w:t>
      </w:r>
    </w:p>
    <w:p w:rsidR="00BB54FD" w:rsidRPr="00023C44" w:rsidRDefault="00BB54FD" w:rsidP="00BB54FD">
      <w:pPr>
        <w:jc w:val="both"/>
        <w:rPr>
          <w:sz w:val="24"/>
          <w:szCs w:val="24"/>
        </w:rPr>
      </w:pPr>
      <w:r>
        <w:rPr>
          <w:sz w:val="24"/>
          <w:szCs w:val="24"/>
        </w:rPr>
        <w:t>The T</w:t>
      </w:r>
      <w:r w:rsidRPr="00023C44">
        <w:rPr>
          <w:sz w:val="24"/>
          <w:szCs w:val="24"/>
        </w:rPr>
        <w:t>r</w:t>
      </w:r>
      <w:r>
        <w:rPr>
          <w:sz w:val="24"/>
          <w:szCs w:val="24"/>
        </w:rPr>
        <w:t xml:space="preserve">ust Lead for FFT </w:t>
      </w:r>
      <w:r w:rsidRPr="00023C44">
        <w:rPr>
          <w:sz w:val="24"/>
          <w:szCs w:val="24"/>
        </w:rPr>
        <w:t xml:space="preserve">will work with the Temporary Staff Bank Office to address this issue and offer awareness sessions for this group of staff. </w:t>
      </w:r>
    </w:p>
    <w:p w:rsidR="00BB54FD" w:rsidRPr="00023C44" w:rsidRDefault="00BB54FD" w:rsidP="00BB54FD">
      <w:pPr>
        <w:jc w:val="both"/>
        <w:rPr>
          <w:sz w:val="24"/>
          <w:szCs w:val="24"/>
        </w:rPr>
      </w:pPr>
      <w:r w:rsidRPr="00023C44">
        <w:rPr>
          <w:sz w:val="24"/>
          <w:szCs w:val="24"/>
        </w:rPr>
        <w:t>Part of this will be a training session offered called “Friends and Family FAQ’s”</w:t>
      </w:r>
      <w:r>
        <w:rPr>
          <w:sz w:val="24"/>
          <w:szCs w:val="24"/>
        </w:rPr>
        <w:t xml:space="preserve">.  </w:t>
      </w:r>
      <w:r w:rsidRPr="00023C44">
        <w:rPr>
          <w:sz w:val="24"/>
          <w:szCs w:val="24"/>
        </w:rPr>
        <w:t>A recovery plan for all areas has been drafted, as well as individual action plans for those areas where performance has been particularly low.</w:t>
      </w:r>
    </w:p>
    <w:p w:rsidR="00BB54FD" w:rsidRPr="00023C44" w:rsidRDefault="00BB54FD" w:rsidP="00BB54FD">
      <w:pPr>
        <w:jc w:val="both"/>
        <w:rPr>
          <w:sz w:val="24"/>
          <w:szCs w:val="24"/>
        </w:rPr>
      </w:pPr>
      <w:r w:rsidRPr="00023C44">
        <w:rPr>
          <w:sz w:val="24"/>
          <w:szCs w:val="24"/>
        </w:rPr>
        <w:t>Analysis shows that the poorest performing areas for response rate in each section were:</w:t>
      </w:r>
    </w:p>
    <w:p w:rsidR="00BB54FD" w:rsidRPr="00C839CC" w:rsidRDefault="00BB54FD" w:rsidP="00BB54FD">
      <w:pPr>
        <w:pStyle w:val="ListParagraph"/>
        <w:numPr>
          <w:ilvl w:val="0"/>
          <w:numId w:val="46"/>
        </w:numPr>
        <w:jc w:val="both"/>
        <w:rPr>
          <w:sz w:val="24"/>
          <w:szCs w:val="24"/>
        </w:rPr>
      </w:pPr>
      <w:r w:rsidRPr="00C839CC">
        <w:rPr>
          <w:sz w:val="24"/>
          <w:szCs w:val="24"/>
        </w:rPr>
        <w:t xml:space="preserve">Acute Wards- Kewstoke Ward (2.4%);  </w:t>
      </w:r>
    </w:p>
    <w:p w:rsidR="00BB54FD" w:rsidRPr="00C839CC" w:rsidRDefault="00BB54FD" w:rsidP="00BB54FD">
      <w:pPr>
        <w:pStyle w:val="ListParagraph"/>
        <w:numPr>
          <w:ilvl w:val="0"/>
          <w:numId w:val="46"/>
        </w:numPr>
        <w:jc w:val="both"/>
        <w:rPr>
          <w:sz w:val="24"/>
          <w:szCs w:val="24"/>
        </w:rPr>
      </w:pPr>
      <w:r w:rsidRPr="00C839CC">
        <w:rPr>
          <w:sz w:val="24"/>
          <w:szCs w:val="24"/>
        </w:rPr>
        <w:t xml:space="preserve">Cheddar was opened as a temporary ward and also yielded a low response rate of 4.5% </w:t>
      </w:r>
    </w:p>
    <w:p w:rsidR="00BB54FD" w:rsidRPr="00C839CC" w:rsidRDefault="00BB54FD" w:rsidP="00BB54FD">
      <w:pPr>
        <w:pStyle w:val="ListParagraph"/>
        <w:numPr>
          <w:ilvl w:val="0"/>
          <w:numId w:val="46"/>
        </w:numPr>
        <w:jc w:val="both"/>
        <w:rPr>
          <w:sz w:val="24"/>
          <w:szCs w:val="24"/>
        </w:rPr>
      </w:pPr>
      <w:r w:rsidRPr="00C839CC">
        <w:rPr>
          <w:sz w:val="24"/>
          <w:szCs w:val="24"/>
        </w:rPr>
        <w:t>Emergency Care-CDU /SAU (1%);</w:t>
      </w:r>
    </w:p>
    <w:p w:rsidR="00BB54FD" w:rsidRPr="00C839CC" w:rsidRDefault="00BB54FD" w:rsidP="00BB54FD">
      <w:pPr>
        <w:pStyle w:val="ListParagraph"/>
        <w:numPr>
          <w:ilvl w:val="0"/>
          <w:numId w:val="46"/>
        </w:numPr>
        <w:jc w:val="both"/>
        <w:rPr>
          <w:sz w:val="24"/>
          <w:szCs w:val="24"/>
        </w:rPr>
      </w:pPr>
      <w:r w:rsidRPr="00C839CC">
        <w:rPr>
          <w:sz w:val="24"/>
          <w:szCs w:val="24"/>
        </w:rPr>
        <w:t>Maternity – Ashcombe Antenatal Care (4.5%)</w:t>
      </w:r>
    </w:p>
    <w:p w:rsidR="00BB54FD" w:rsidRPr="00023C44" w:rsidRDefault="00BB54FD" w:rsidP="00BB54FD">
      <w:pPr>
        <w:jc w:val="both"/>
        <w:rPr>
          <w:sz w:val="24"/>
          <w:szCs w:val="24"/>
        </w:rPr>
      </w:pPr>
      <w:r w:rsidRPr="00023C44">
        <w:rPr>
          <w:sz w:val="24"/>
          <w:szCs w:val="24"/>
        </w:rPr>
        <w:t>Following raised awareness, action planning and presenting results to senior nursing staff, the picture for response rates from August - September has improved as follows:</w:t>
      </w:r>
    </w:p>
    <w:p w:rsidR="00BB54FD" w:rsidRPr="00C839CC" w:rsidRDefault="00BB54FD" w:rsidP="00BB54FD">
      <w:pPr>
        <w:pStyle w:val="ListParagraph"/>
        <w:numPr>
          <w:ilvl w:val="0"/>
          <w:numId w:val="47"/>
        </w:numPr>
        <w:jc w:val="both"/>
        <w:rPr>
          <w:sz w:val="24"/>
          <w:szCs w:val="24"/>
        </w:rPr>
      </w:pPr>
      <w:r w:rsidRPr="00C839CC">
        <w:rPr>
          <w:sz w:val="24"/>
          <w:szCs w:val="24"/>
        </w:rPr>
        <w:t>Acute Wards response rate has increased by 12.4%</w:t>
      </w:r>
    </w:p>
    <w:p w:rsidR="00BB54FD" w:rsidRPr="00C839CC" w:rsidRDefault="00BB54FD" w:rsidP="00BB54FD">
      <w:pPr>
        <w:pStyle w:val="ListParagraph"/>
        <w:numPr>
          <w:ilvl w:val="0"/>
          <w:numId w:val="47"/>
        </w:numPr>
        <w:jc w:val="both"/>
        <w:rPr>
          <w:sz w:val="24"/>
          <w:szCs w:val="24"/>
        </w:rPr>
      </w:pPr>
      <w:r w:rsidRPr="00C839CC">
        <w:rPr>
          <w:sz w:val="24"/>
          <w:szCs w:val="24"/>
        </w:rPr>
        <w:t>Emergency Care response rate has increased by 12.6%</w:t>
      </w:r>
    </w:p>
    <w:p w:rsidR="00BB54FD" w:rsidRPr="00C839CC" w:rsidRDefault="00BB54FD" w:rsidP="00BB54FD">
      <w:pPr>
        <w:pStyle w:val="ListParagraph"/>
        <w:numPr>
          <w:ilvl w:val="0"/>
          <w:numId w:val="47"/>
        </w:numPr>
        <w:jc w:val="both"/>
        <w:rPr>
          <w:sz w:val="24"/>
          <w:szCs w:val="24"/>
        </w:rPr>
      </w:pPr>
      <w:r w:rsidRPr="00C839CC">
        <w:rPr>
          <w:sz w:val="24"/>
          <w:szCs w:val="24"/>
        </w:rPr>
        <w:t>Maternity Care response rate has increase by 10.6%</w:t>
      </w:r>
    </w:p>
    <w:p w:rsidR="00BB54FD" w:rsidRPr="00C933FA" w:rsidRDefault="00BB54FD" w:rsidP="00BB54FD">
      <w:pPr>
        <w:jc w:val="both"/>
        <w:rPr>
          <w:b/>
          <w:i/>
          <w:color w:val="000000" w:themeColor="text1"/>
          <w:sz w:val="24"/>
          <w:szCs w:val="24"/>
        </w:rPr>
      </w:pPr>
      <w:r w:rsidRPr="00C933FA">
        <w:rPr>
          <w:b/>
          <w:i/>
          <w:color w:val="000000" w:themeColor="text1"/>
          <w:sz w:val="24"/>
          <w:szCs w:val="24"/>
        </w:rPr>
        <w:t>Net Promoter August – September</w:t>
      </w:r>
    </w:p>
    <w:p w:rsidR="00BB54FD" w:rsidRPr="00023C44" w:rsidRDefault="00BB54FD" w:rsidP="00BB54FD">
      <w:pPr>
        <w:jc w:val="both"/>
        <w:rPr>
          <w:sz w:val="24"/>
          <w:szCs w:val="24"/>
        </w:rPr>
      </w:pPr>
      <w:r w:rsidRPr="00023C44">
        <w:rPr>
          <w:sz w:val="24"/>
          <w:szCs w:val="24"/>
        </w:rPr>
        <w:t>Acute Wards net promoter remained static at 59</w:t>
      </w:r>
    </w:p>
    <w:p w:rsidR="001E283F" w:rsidRDefault="001E283F" w:rsidP="00BB54FD">
      <w:pPr>
        <w:jc w:val="both"/>
        <w:rPr>
          <w:sz w:val="24"/>
          <w:szCs w:val="24"/>
        </w:rPr>
      </w:pPr>
    </w:p>
    <w:p w:rsidR="00BB54FD" w:rsidRPr="00023C44" w:rsidRDefault="00BB54FD" w:rsidP="00BB54FD">
      <w:pPr>
        <w:jc w:val="both"/>
        <w:rPr>
          <w:sz w:val="24"/>
          <w:szCs w:val="24"/>
        </w:rPr>
      </w:pPr>
      <w:r w:rsidRPr="00023C44">
        <w:rPr>
          <w:sz w:val="24"/>
          <w:szCs w:val="24"/>
        </w:rPr>
        <w:lastRenderedPageBreak/>
        <w:t>In August, one patient across the acute wards (on Harptree) indicated that it was “extremely unlikely” that they would recommend the hospital to friends and family. No other wards reported an “extremely unlikely” in August.</w:t>
      </w:r>
      <w:r>
        <w:rPr>
          <w:sz w:val="24"/>
          <w:szCs w:val="24"/>
        </w:rPr>
        <w:t xml:space="preserve">  </w:t>
      </w:r>
      <w:r w:rsidRPr="00023C44">
        <w:rPr>
          <w:sz w:val="24"/>
          <w:szCs w:val="24"/>
        </w:rPr>
        <w:t>In September, four patients indicated that they were “extremely unlikely” to recommend the hospital to friends and family (one patient on Harptree, one patient on Cheddar, two patients on Berrow)</w:t>
      </w:r>
      <w:r>
        <w:rPr>
          <w:sz w:val="24"/>
          <w:szCs w:val="24"/>
        </w:rPr>
        <w:t xml:space="preserve">.  </w:t>
      </w:r>
      <w:r w:rsidRPr="00023C44">
        <w:rPr>
          <w:sz w:val="24"/>
          <w:szCs w:val="24"/>
        </w:rPr>
        <w:t xml:space="preserve">Staff are being encouraged to scrutinise these cards to address any themes, </w:t>
      </w:r>
      <w:r>
        <w:rPr>
          <w:sz w:val="24"/>
          <w:szCs w:val="24"/>
        </w:rPr>
        <w:t>around the free text</w:t>
      </w:r>
      <w:r w:rsidRPr="00023C44">
        <w:rPr>
          <w:sz w:val="24"/>
          <w:szCs w:val="24"/>
        </w:rPr>
        <w:t xml:space="preserve"> that these patients may have offered.</w:t>
      </w:r>
      <w:r>
        <w:rPr>
          <w:sz w:val="24"/>
          <w:szCs w:val="24"/>
        </w:rPr>
        <w:t xml:space="preserve">  </w:t>
      </w:r>
      <w:r w:rsidRPr="00023C44">
        <w:rPr>
          <w:sz w:val="24"/>
          <w:szCs w:val="24"/>
        </w:rPr>
        <w:t>In October, the “Exit card” containing the FFT question will be slightly amended to encourage patients to write free text at the beginning of the card.</w:t>
      </w:r>
      <w:r>
        <w:rPr>
          <w:sz w:val="24"/>
          <w:szCs w:val="24"/>
        </w:rPr>
        <w:t xml:space="preserve">  </w:t>
      </w:r>
      <w:r w:rsidRPr="00023C44">
        <w:rPr>
          <w:sz w:val="24"/>
          <w:szCs w:val="24"/>
        </w:rPr>
        <w:t>This is in line with suggestions made by NHS England who visited the Trust on October 8th to meet with the new Trust Lead for FFT.</w:t>
      </w:r>
    </w:p>
    <w:p w:rsidR="00BB54FD" w:rsidRPr="00C933FA" w:rsidRDefault="00BB54FD" w:rsidP="00BB54FD">
      <w:pPr>
        <w:jc w:val="both"/>
        <w:rPr>
          <w:b/>
          <w:i/>
          <w:color w:val="000000" w:themeColor="text1"/>
          <w:sz w:val="24"/>
          <w:szCs w:val="24"/>
        </w:rPr>
      </w:pPr>
      <w:r w:rsidRPr="00C933FA">
        <w:rPr>
          <w:b/>
          <w:i/>
          <w:color w:val="000000" w:themeColor="text1"/>
          <w:sz w:val="24"/>
          <w:szCs w:val="24"/>
        </w:rPr>
        <w:t>Next Steps</w:t>
      </w:r>
    </w:p>
    <w:p w:rsidR="00BB54FD" w:rsidRPr="00023C44" w:rsidRDefault="00BB54FD" w:rsidP="00BB54FD">
      <w:pPr>
        <w:jc w:val="both"/>
        <w:rPr>
          <w:sz w:val="24"/>
          <w:szCs w:val="24"/>
        </w:rPr>
      </w:pPr>
      <w:r w:rsidRPr="00023C44">
        <w:rPr>
          <w:sz w:val="24"/>
          <w:szCs w:val="24"/>
        </w:rPr>
        <w:t xml:space="preserve">Individual action plans for areas of poor performance will indicate the number of cards needed to distributed and returned to reach their target. </w:t>
      </w:r>
    </w:p>
    <w:p w:rsidR="00BB54FD" w:rsidRPr="00023C44" w:rsidRDefault="00BB54FD" w:rsidP="00BB54FD">
      <w:pPr>
        <w:jc w:val="both"/>
        <w:rPr>
          <w:sz w:val="24"/>
          <w:szCs w:val="24"/>
        </w:rPr>
      </w:pPr>
      <w:r w:rsidRPr="00023C44">
        <w:rPr>
          <w:sz w:val="24"/>
          <w:szCs w:val="24"/>
        </w:rPr>
        <w:t>Day Case, Out Patients and Endoscopy have all engaged with the process for submitting data for FFT, in readiness for their “Go Live “date at the end of October.</w:t>
      </w:r>
    </w:p>
    <w:p w:rsidR="00BB54FD" w:rsidRPr="00023C44" w:rsidRDefault="00BB54FD" w:rsidP="00BB54FD">
      <w:pPr>
        <w:jc w:val="both"/>
        <w:rPr>
          <w:sz w:val="24"/>
          <w:szCs w:val="24"/>
        </w:rPr>
      </w:pPr>
      <w:r w:rsidRPr="00023C44">
        <w:rPr>
          <w:sz w:val="24"/>
          <w:szCs w:val="24"/>
        </w:rPr>
        <w:t>Monthly meetings are being set up to allow leads for Exit Cards from all areas to network and share ideas and best practice.</w:t>
      </w:r>
    </w:p>
    <w:p w:rsidR="00BB54FD" w:rsidRPr="00023C44" w:rsidRDefault="00BB54FD" w:rsidP="00BB54FD">
      <w:pPr>
        <w:jc w:val="both"/>
        <w:rPr>
          <w:sz w:val="24"/>
          <w:szCs w:val="24"/>
        </w:rPr>
      </w:pPr>
      <w:r w:rsidRPr="00023C44">
        <w:rPr>
          <w:sz w:val="24"/>
          <w:szCs w:val="24"/>
        </w:rPr>
        <w:t>“Mob</w:t>
      </w:r>
      <w:r>
        <w:rPr>
          <w:sz w:val="24"/>
          <w:szCs w:val="24"/>
        </w:rPr>
        <w:t>ile boxes” exist</w:t>
      </w:r>
      <w:r w:rsidRPr="00023C44">
        <w:rPr>
          <w:sz w:val="24"/>
          <w:szCs w:val="24"/>
        </w:rPr>
        <w:t xml:space="preserve"> in some areas but are being standardised to give a recognisable “brand” and greater visibility for FFT. Trust volunteers are helping with this.</w:t>
      </w:r>
    </w:p>
    <w:p w:rsidR="00BB54FD" w:rsidRDefault="00BB54FD" w:rsidP="00BB54FD">
      <w:pPr>
        <w:rPr>
          <w:b/>
          <w:sz w:val="24"/>
        </w:rPr>
      </w:pPr>
      <w:r>
        <w:rPr>
          <w:b/>
          <w:sz w:val="24"/>
        </w:rPr>
        <w:br w:type="page"/>
      </w:r>
    </w:p>
    <w:p w:rsidR="00BB54FD" w:rsidRPr="00CB6B2F" w:rsidRDefault="00BB54FD" w:rsidP="00BB54FD">
      <w:pPr>
        <w:jc w:val="both"/>
        <w:rPr>
          <w:b/>
          <w:sz w:val="24"/>
        </w:rPr>
      </w:pPr>
      <w:r>
        <w:rPr>
          <w:b/>
          <w:sz w:val="24"/>
        </w:rPr>
        <w:lastRenderedPageBreak/>
        <w:t>Figure 14:</w:t>
      </w:r>
    </w:p>
    <w:p w:rsidR="00BB54FD" w:rsidRDefault="00BB54FD" w:rsidP="00BB54FD">
      <w:pPr>
        <w:jc w:val="center"/>
      </w:pPr>
      <w:r w:rsidRPr="00BE6E3E">
        <w:rPr>
          <w:noProof/>
        </w:rPr>
        <w:drawing>
          <wp:inline distT="0" distB="0" distL="0" distR="0">
            <wp:extent cx="6640742" cy="4552950"/>
            <wp:effectExtent l="19050" t="0" r="7708" b="0"/>
            <wp:docPr id="5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srcRect/>
                    <a:stretch>
                      <a:fillRect/>
                    </a:stretch>
                  </pic:blipFill>
                  <pic:spPr bwMode="auto">
                    <a:xfrm>
                      <a:off x="0" y="0"/>
                      <a:ext cx="6645910" cy="4556493"/>
                    </a:xfrm>
                    <a:prstGeom prst="rect">
                      <a:avLst/>
                    </a:prstGeom>
                    <a:noFill/>
                    <a:ln w="9525">
                      <a:noFill/>
                      <a:miter lim="800000"/>
                      <a:headEnd/>
                      <a:tailEnd/>
                    </a:ln>
                  </pic:spPr>
                </pic:pic>
              </a:graphicData>
            </a:graphic>
          </wp:inline>
        </w:drawing>
      </w:r>
    </w:p>
    <w:p w:rsidR="00BB54FD" w:rsidRDefault="00BB54FD" w:rsidP="00BB54FD">
      <w:pPr>
        <w:jc w:val="center"/>
      </w:pPr>
    </w:p>
    <w:p w:rsidR="00BB54FD" w:rsidRDefault="00BB54FD" w:rsidP="00BB54FD">
      <w:pPr>
        <w:jc w:val="center"/>
      </w:pPr>
    </w:p>
    <w:p w:rsidR="00BB54FD" w:rsidRDefault="00BB54FD" w:rsidP="00BB54FD">
      <w:pPr>
        <w:pStyle w:val="Heading2"/>
      </w:pPr>
      <w:bookmarkStart w:id="19" w:name="_Toc381084862"/>
    </w:p>
    <w:p w:rsidR="00BB54FD" w:rsidRDefault="00BB54FD" w:rsidP="00BB54FD">
      <w:pPr>
        <w:rPr>
          <w:rFonts w:asciiTheme="majorHAnsi" w:eastAsiaTheme="majorEastAsia" w:hAnsiTheme="majorHAnsi" w:cstheme="majorBidi"/>
          <w:b/>
          <w:bCs/>
          <w:color w:val="2DA2BF" w:themeColor="accent1"/>
          <w:sz w:val="26"/>
          <w:szCs w:val="26"/>
        </w:rPr>
      </w:pPr>
      <w:r>
        <w:br w:type="page"/>
      </w:r>
    </w:p>
    <w:p w:rsidR="00BB54FD" w:rsidRPr="0079070A" w:rsidRDefault="00BB54FD" w:rsidP="00BB54FD">
      <w:pPr>
        <w:pStyle w:val="Heading2"/>
      </w:pPr>
      <w:r w:rsidRPr="0079070A">
        <w:lastRenderedPageBreak/>
        <w:t>2.9 Mortality Data</w:t>
      </w:r>
      <w:bookmarkEnd w:id="19"/>
    </w:p>
    <w:p w:rsidR="00BB54FD" w:rsidRPr="001808CB" w:rsidRDefault="00BB54FD" w:rsidP="00BB54FD">
      <w:pPr>
        <w:rPr>
          <w:sz w:val="24"/>
          <w:szCs w:val="24"/>
        </w:rPr>
      </w:pPr>
      <w:r w:rsidRPr="001808CB">
        <w:rPr>
          <w:sz w:val="24"/>
          <w:szCs w:val="24"/>
        </w:rPr>
        <w:t>The latest iteration of the Summary Hospital Mortality Index covers the year to December 2013 and has a value of 1. This indicates that mortality within the Trust for the period covered is exactly as expected given the age and co morbidities of the patients treated</w:t>
      </w:r>
      <w:r>
        <w:rPr>
          <w:sz w:val="24"/>
          <w:szCs w:val="24"/>
        </w:rPr>
        <w:t xml:space="preserve">, shown in </w:t>
      </w:r>
      <w:r w:rsidRPr="00CB6B2F">
        <w:rPr>
          <w:i/>
          <w:sz w:val="24"/>
          <w:szCs w:val="24"/>
        </w:rPr>
        <w:t>Figure 1</w:t>
      </w:r>
      <w:r>
        <w:rPr>
          <w:i/>
          <w:sz w:val="24"/>
          <w:szCs w:val="24"/>
        </w:rPr>
        <w:t>5</w:t>
      </w:r>
      <w:r>
        <w:rPr>
          <w:sz w:val="24"/>
          <w:szCs w:val="24"/>
        </w:rPr>
        <w:t>.</w:t>
      </w:r>
    </w:p>
    <w:p w:rsidR="00BB54FD" w:rsidRPr="001808CB" w:rsidRDefault="00BB54FD" w:rsidP="00BB54FD">
      <w:pPr>
        <w:rPr>
          <w:b/>
        </w:rPr>
      </w:pPr>
      <w:r>
        <w:rPr>
          <w:b/>
        </w:rPr>
        <w:t>Figure 15</w:t>
      </w:r>
      <w:r w:rsidRPr="001808CB">
        <w:rPr>
          <w:b/>
        </w:rPr>
        <w:t>:</w:t>
      </w:r>
    </w:p>
    <w:p w:rsidR="00BB54FD" w:rsidRPr="00976874" w:rsidRDefault="00BB54FD" w:rsidP="00BB54FD">
      <w:pPr>
        <w:pStyle w:val="NoSpacing"/>
        <w:rPr>
          <w:sz w:val="8"/>
          <w:highlight w:val="yellow"/>
        </w:rPr>
      </w:pPr>
      <w:bookmarkStart w:id="20" w:name="_Toc362959131"/>
    </w:p>
    <w:p w:rsidR="00BB54FD" w:rsidRPr="00976874" w:rsidRDefault="00BB54FD" w:rsidP="00BB54FD">
      <w:pPr>
        <w:jc w:val="center"/>
        <w:rPr>
          <w:highlight w:val="yellow"/>
        </w:rPr>
      </w:pPr>
      <w:r w:rsidRPr="001808CB">
        <w:rPr>
          <w:noProof/>
        </w:rPr>
        <w:drawing>
          <wp:inline distT="0" distB="0" distL="0" distR="0">
            <wp:extent cx="6424280" cy="1754372"/>
            <wp:effectExtent l="1905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6431542" cy="1756355"/>
                    </a:xfrm>
                    <a:prstGeom prst="rect">
                      <a:avLst/>
                    </a:prstGeom>
                    <a:noFill/>
                    <a:ln w="9525">
                      <a:noFill/>
                      <a:miter lim="800000"/>
                      <a:headEnd/>
                      <a:tailEnd/>
                    </a:ln>
                  </pic:spPr>
                </pic:pic>
              </a:graphicData>
            </a:graphic>
          </wp:inline>
        </w:drawing>
      </w:r>
    </w:p>
    <w:p w:rsidR="00BB54FD" w:rsidRPr="001808CB" w:rsidRDefault="00BB54FD" w:rsidP="00BB54FD">
      <w:pPr>
        <w:jc w:val="both"/>
        <w:rPr>
          <w:sz w:val="24"/>
        </w:rPr>
      </w:pPr>
      <w:r w:rsidRPr="001808CB">
        <w:rPr>
          <w:sz w:val="24"/>
        </w:rPr>
        <w:t>Whilst the SHMI describes the overall picture for hospit</w:t>
      </w:r>
      <w:r>
        <w:rPr>
          <w:sz w:val="24"/>
        </w:rPr>
        <w:t xml:space="preserve">al and community deaths </w:t>
      </w:r>
      <w:r w:rsidRPr="00E82773">
        <w:rPr>
          <w:i/>
          <w:sz w:val="24"/>
        </w:rPr>
        <w:t>Figure</w:t>
      </w:r>
      <w:r>
        <w:rPr>
          <w:sz w:val="24"/>
        </w:rPr>
        <w:t xml:space="preserve"> </w:t>
      </w:r>
      <w:r w:rsidRPr="00E82773">
        <w:rPr>
          <w:i/>
          <w:sz w:val="24"/>
        </w:rPr>
        <w:t>1</w:t>
      </w:r>
      <w:r>
        <w:rPr>
          <w:i/>
          <w:sz w:val="24"/>
        </w:rPr>
        <w:t>6</w:t>
      </w:r>
      <w:r w:rsidRPr="001808CB">
        <w:rPr>
          <w:sz w:val="24"/>
        </w:rPr>
        <w:t xml:space="preserve"> illustrates the Trust’s position (red dot) relative to the national picture for those deaths which occurred only in the hospital setting for t</w:t>
      </w:r>
      <w:r>
        <w:rPr>
          <w:sz w:val="24"/>
        </w:rPr>
        <w:t>he period April 2013 to September</w:t>
      </w:r>
      <w:r w:rsidRPr="001808CB">
        <w:rPr>
          <w:sz w:val="24"/>
        </w:rPr>
        <w:t xml:space="preserve"> 2014. Again the Trust’s performance is bet</w:t>
      </w:r>
      <w:r>
        <w:rPr>
          <w:sz w:val="24"/>
        </w:rPr>
        <w:t>ter than anticipated</w:t>
      </w:r>
      <w:r w:rsidRPr="001808CB">
        <w:rPr>
          <w:sz w:val="24"/>
        </w:rPr>
        <w:t>.</w:t>
      </w:r>
    </w:p>
    <w:p w:rsidR="00BB54FD" w:rsidRPr="001808CB" w:rsidRDefault="00BB54FD" w:rsidP="00BB54FD">
      <w:pPr>
        <w:rPr>
          <w:b/>
        </w:rPr>
      </w:pPr>
      <w:r>
        <w:rPr>
          <w:b/>
        </w:rPr>
        <w:t>Figure 16</w:t>
      </w:r>
      <w:r w:rsidRPr="001808CB">
        <w:rPr>
          <w:b/>
        </w:rPr>
        <w:t>:</w:t>
      </w:r>
    </w:p>
    <w:p w:rsidR="00BB54FD" w:rsidRPr="00976874" w:rsidRDefault="00BB54FD" w:rsidP="00BB54FD">
      <w:pPr>
        <w:jc w:val="center"/>
        <w:rPr>
          <w:highlight w:val="yellow"/>
        </w:rPr>
      </w:pPr>
      <w:r w:rsidRPr="00CB6B2F">
        <w:rPr>
          <w:noProof/>
        </w:rPr>
        <w:drawing>
          <wp:inline distT="0" distB="0" distL="0" distR="0">
            <wp:extent cx="5473641" cy="3083441"/>
            <wp:effectExtent l="19050" t="0" r="0" b="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478731" cy="3086308"/>
                    </a:xfrm>
                    <a:prstGeom prst="rect">
                      <a:avLst/>
                    </a:prstGeom>
                  </pic:spPr>
                </pic:pic>
              </a:graphicData>
            </a:graphic>
          </wp:inline>
        </w:drawing>
      </w:r>
    </w:p>
    <w:p w:rsidR="00BB54FD" w:rsidRPr="00976874" w:rsidRDefault="00BB54FD" w:rsidP="00BB54FD">
      <w:pPr>
        <w:jc w:val="center"/>
        <w:rPr>
          <w:highlight w:val="yellow"/>
        </w:rPr>
      </w:pPr>
    </w:p>
    <w:p w:rsidR="00BB54FD" w:rsidRPr="0079070A" w:rsidRDefault="00BB54FD" w:rsidP="00BB54FD">
      <w:pPr>
        <w:rPr>
          <w:b/>
          <w:color w:val="21798E" w:themeColor="accent1" w:themeShade="BF"/>
          <w:sz w:val="26"/>
          <w:szCs w:val="26"/>
        </w:rPr>
      </w:pPr>
      <w:bookmarkStart w:id="21" w:name="_Toc362959132"/>
      <w:bookmarkStart w:id="22" w:name="_Toc381084863"/>
      <w:bookmarkEnd w:id="20"/>
      <w:r w:rsidRPr="0079070A">
        <w:rPr>
          <w:b/>
          <w:color w:val="21798E" w:themeColor="accent1" w:themeShade="BF"/>
          <w:sz w:val="26"/>
          <w:szCs w:val="26"/>
        </w:rPr>
        <w:lastRenderedPageBreak/>
        <w:t xml:space="preserve">2.10 Infection Prevention </w:t>
      </w:r>
      <w:r w:rsidR="001E283F" w:rsidRPr="0079070A">
        <w:rPr>
          <w:b/>
          <w:color w:val="21798E" w:themeColor="accent1" w:themeShade="BF"/>
          <w:sz w:val="26"/>
          <w:szCs w:val="26"/>
        </w:rPr>
        <w:t>and</w:t>
      </w:r>
      <w:r w:rsidRPr="0079070A">
        <w:rPr>
          <w:b/>
          <w:color w:val="21798E" w:themeColor="accent1" w:themeShade="BF"/>
          <w:sz w:val="26"/>
          <w:szCs w:val="26"/>
        </w:rPr>
        <w:t xml:space="preserve"> Control Performance</w:t>
      </w:r>
      <w:bookmarkEnd w:id="21"/>
      <w:bookmarkEnd w:id="22"/>
    </w:p>
    <w:p w:rsidR="00BB54FD" w:rsidRDefault="00BB54FD" w:rsidP="00BB54FD">
      <w:pPr>
        <w:rPr>
          <w:rFonts w:asciiTheme="majorHAnsi" w:hAnsiTheme="majorHAnsi" w:cstheme="majorHAnsi"/>
          <w:b/>
          <w:color w:val="21798E" w:themeColor="accent1" w:themeShade="BF"/>
          <w:sz w:val="24"/>
          <w:szCs w:val="24"/>
        </w:rPr>
      </w:pPr>
      <w:r>
        <w:rPr>
          <w:rFonts w:asciiTheme="majorHAnsi" w:hAnsiTheme="majorHAnsi" w:cstheme="majorHAnsi"/>
          <w:b/>
          <w:color w:val="21798E" w:themeColor="accent1" w:themeShade="BF"/>
          <w:sz w:val="24"/>
          <w:szCs w:val="24"/>
        </w:rPr>
        <w:t>2.10.1 Clostridium D</w:t>
      </w:r>
      <w:r w:rsidRPr="0059689B">
        <w:rPr>
          <w:rFonts w:asciiTheme="majorHAnsi" w:hAnsiTheme="majorHAnsi" w:cstheme="majorHAnsi"/>
          <w:b/>
          <w:color w:val="21798E" w:themeColor="accent1" w:themeShade="BF"/>
          <w:sz w:val="24"/>
          <w:szCs w:val="24"/>
        </w:rPr>
        <w:t>ifficile</w:t>
      </w:r>
    </w:p>
    <w:p w:rsidR="00BB54FD" w:rsidRPr="0079070A" w:rsidRDefault="00BB54FD" w:rsidP="00BB54FD">
      <w:pPr>
        <w:jc w:val="both"/>
        <w:rPr>
          <w:sz w:val="24"/>
          <w:szCs w:val="24"/>
        </w:rPr>
      </w:pPr>
      <w:r w:rsidRPr="0079070A">
        <w:rPr>
          <w:sz w:val="24"/>
          <w:szCs w:val="24"/>
        </w:rPr>
        <w:t xml:space="preserve">Weston Area Health NHS Trust has a local threshold of 12 hospital attributable cases of Clostridium </w:t>
      </w:r>
      <w:r w:rsidRPr="0079070A">
        <w:rPr>
          <w:i/>
          <w:sz w:val="24"/>
          <w:szCs w:val="24"/>
        </w:rPr>
        <w:t>difficile</w:t>
      </w:r>
      <w:r w:rsidRPr="0079070A">
        <w:rPr>
          <w:sz w:val="24"/>
          <w:szCs w:val="24"/>
        </w:rPr>
        <w:t xml:space="preserve"> for the financial year 2014/15. Prevention of avoidable hospital attributed cases continues to remain a priority for the Infection Prevention and Control Team and a robust recovery and action plan has been implemented to give assurance that all preventable measures are in place.</w:t>
      </w:r>
    </w:p>
    <w:p w:rsidR="00BB54FD" w:rsidRPr="0079070A" w:rsidRDefault="00BB54FD" w:rsidP="00BB54FD">
      <w:pPr>
        <w:jc w:val="both"/>
        <w:rPr>
          <w:sz w:val="24"/>
          <w:szCs w:val="24"/>
        </w:rPr>
      </w:pPr>
      <w:r w:rsidRPr="0079070A">
        <w:rPr>
          <w:sz w:val="24"/>
          <w:szCs w:val="24"/>
        </w:rPr>
        <w:t xml:space="preserve">Two cases of hospital attributable Clostridium </w:t>
      </w:r>
      <w:r w:rsidRPr="0079070A">
        <w:rPr>
          <w:i/>
          <w:sz w:val="24"/>
          <w:szCs w:val="24"/>
        </w:rPr>
        <w:t>difficile</w:t>
      </w:r>
      <w:r w:rsidRPr="0079070A">
        <w:rPr>
          <w:sz w:val="24"/>
          <w:szCs w:val="24"/>
        </w:rPr>
        <w:t xml:space="preserve"> were reported in August and three in September; the total number of reportable cases is now eight. A review of all cases has been undertaken by the Consultant Microbiologist and Infection Prevention and Control Nurses. Criteria determined nationally have been applied to assess whether there have been any lapses in care and whether that case could have been avoided.  This review will now be scrutinised by the Commissioners to confirm the allocation of avoidable or unavoidable cases; the outcome of this will be in future Board reports.  Those cases allocated as unavoidable are excluded from trajectory numbers for the purpose of apportioning fines. </w:t>
      </w:r>
    </w:p>
    <w:p w:rsidR="00BB54FD" w:rsidRPr="0079070A" w:rsidRDefault="00BB54FD" w:rsidP="00BB54FD">
      <w:pPr>
        <w:jc w:val="both"/>
        <w:rPr>
          <w:sz w:val="24"/>
          <w:szCs w:val="24"/>
        </w:rPr>
      </w:pPr>
      <w:r w:rsidRPr="0079070A">
        <w:rPr>
          <w:sz w:val="24"/>
          <w:szCs w:val="24"/>
        </w:rPr>
        <w:t>The antimicrobial stewardship programme continues apace and involves both the Consultant Microbiologist and Antimicrobial Pharmacist. Issues with inappropriate prescribing are being addressed in a timely fashion and this feedback is leading to a reduction in the amount of inappropriate prescriptions. The inaugural meeting of the Antibiotic Stewardship Group has now been held. There is a continued focus on the use of co-amoxiclav and how to reduce this. The Trust has launched an antimicrobial app which can be downloaded for free onto individuals’ i-phones. This will enable the medical staff instant access to our current antimicrobial guidelines with the aim of improving compliance even further.</w:t>
      </w:r>
    </w:p>
    <w:p w:rsidR="00BB54FD" w:rsidRDefault="00BB54FD" w:rsidP="00BB54FD">
      <w:pPr>
        <w:rPr>
          <w:b/>
        </w:rPr>
      </w:pPr>
    </w:p>
    <w:p w:rsidR="00BB54FD" w:rsidRDefault="00BB54FD" w:rsidP="00BB54FD">
      <w:pPr>
        <w:rPr>
          <w:b/>
        </w:rPr>
      </w:pPr>
    </w:p>
    <w:p w:rsidR="00BB54FD" w:rsidRDefault="00BB54FD" w:rsidP="00BB54FD">
      <w:pPr>
        <w:rPr>
          <w:b/>
        </w:rPr>
      </w:pPr>
    </w:p>
    <w:p w:rsidR="00BB54FD" w:rsidRDefault="00BB54FD" w:rsidP="00BB54FD">
      <w:pPr>
        <w:rPr>
          <w:b/>
        </w:rPr>
      </w:pPr>
    </w:p>
    <w:p w:rsidR="00BB54FD" w:rsidRDefault="00BB54FD" w:rsidP="00BB54FD">
      <w:pPr>
        <w:rPr>
          <w:b/>
        </w:rPr>
      </w:pPr>
    </w:p>
    <w:p w:rsidR="00BB54FD" w:rsidRDefault="00BB54FD" w:rsidP="00BB54FD">
      <w:pPr>
        <w:jc w:val="both"/>
        <w:rPr>
          <w:rFonts w:asciiTheme="majorHAnsi" w:hAnsiTheme="majorHAnsi" w:cstheme="majorHAnsi"/>
          <w:b/>
          <w:color w:val="21798E" w:themeColor="accent1" w:themeShade="BF"/>
          <w:sz w:val="24"/>
          <w:szCs w:val="24"/>
        </w:rPr>
      </w:pPr>
      <w:r>
        <w:rPr>
          <w:rFonts w:asciiTheme="majorHAnsi" w:hAnsiTheme="majorHAnsi" w:cstheme="majorHAnsi"/>
          <w:b/>
          <w:color w:val="21798E" w:themeColor="accent1" w:themeShade="BF"/>
          <w:sz w:val="24"/>
          <w:szCs w:val="24"/>
        </w:rPr>
        <w:lastRenderedPageBreak/>
        <w:t xml:space="preserve">2.10.2 </w:t>
      </w:r>
      <w:r w:rsidRPr="0059689B">
        <w:rPr>
          <w:rFonts w:asciiTheme="majorHAnsi" w:hAnsiTheme="majorHAnsi" w:cstheme="majorHAnsi"/>
          <w:b/>
          <w:color w:val="21798E" w:themeColor="accent1" w:themeShade="BF"/>
          <w:sz w:val="24"/>
          <w:szCs w:val="24"/>
        </w:rPr>
        <w:t>MRSA/MSSA bacteraemia</w:t>
      </w:r>
    </w:p>
    <w:p w:rsidR="00BB54FD" w:rsidRPr="0079070A" w:rsidRDefault="00BB54FD" w:rsidP="00BB54FD">
      <w:pPr>
        <w:jc w:val="both"/>
        <w:rPr>
          <w:sz w:val="24"/>
          <w:szCs w:val="24"/>
        </w:rPr>
      </w:pPr>
      <w:r w:rsidRPr="0079070A">
        <w:rPr>
          <w:sz w:val="24"/>
          <w:szCs w:val="24"/>
        </w:rPr>
        <w:t>The Trust has a zero trajectory for MRSA bacteraemia and has reported one case in the financial year 2014/15.</w:t>
      </w:r>
    </w:p>
    <w:p w:rsidR="00BB54FD" w:rsidRPr="0079070A" w:rsidRDefault="00BB54FD" w:rsidP="00BB54FD">
      <w:pPr>
        <w:jc w:val="both"/>
        <w:rPr>
          <w:sz w:val="24"/>
          <w:szCs w:val="24"/>
        </w:rPr>
      </w:pPr>
      <w:r w:rsidRPr="0079070A">
        <w:rPr>
          <w:sz w:val="24"/>
          <w:szCs w:val="24"/>
        </w:rPr>
        <w:t>There were no cases of MRSA bacteraemia reported in August or September.</w:t>
      </w:r>
    </w:p>
    <w:p w:rsidR="00BB54FD" w:rsidRPr="0079070A" w:rsidRDefault="00BB54FD" w:rsidP="00BB54FD">
      <w:pPr>
        <w:jc w:val="both"/>
        <w:rPr>
          <w:sz w:val="24"/>
          <w:szCs w:val="24"/>
        </w:rPr>
      </w:pPr>
      <w:r w:rsidRPr="0079070A">
        <w:rPr>
          <w:sz w:val="24"/>
          <w:szCs w:val="24"/>
        </w:rPr>
        <w:t>One case of MSSA bacteraemia was reported in August, taking the total to four for 2014/2015 against our trajectory of three cases. A recovery plan is in place and being monitored closely to ensure that every avenue for prevention is in place.</w:t>
      </w:r>
    </w:p>
    <w:p w:rsidR="00BB54FD" w:rsidRDefault="00BB54FD" w:rsidP="00BB54FD">
      <w:pPr>
        <w:jc w:val="both"/>
        <w:rPr>
          <w:rFonts w:asciiTheme="majorHAnsi" w:hAnsiTheme="majorHAnsi" w:cstheme="majorHAnsi"/>
          <w:b/>
          <w:color w:val="21798E" w:themeColor="accent1" w:themeShade="BF"/>
          <w:sz w:val="24"/>
          <w:szCs w:val="24"/>
        </w:rPr>
      </w:pPr>
      <w:r>
        <w:rPr>
          <w:rFonts w:asciiTheme="majorHAnsi" w:hAnsiTheme="majorHAnsi" w:cstheme="majorHAnsi"/>
          <w:b/>
          <w:color w:val="21798E" w:themeColor="accent1" w:themeShade="BF"/>
          <w:sz w:val="24"/>
          <w:szCs w:val="24"/>
        </w:rPr>
        <w:t xml:space="preserve">2.10.3 </w:t>
      </w:r>
      <w:r w:rsidRPr="0059689B">
        <w:rPr>
          <w:rFonts w:asciiTheme="majorHAnsi" w:hAnsiTheme="majorHAnsi" w:cstheme="majorHAnsi"/>
          <w:b/>
          <w:color w:val="21798E" w:themeColor="accent1" w:themeShade="BF"/>
          <w:sz w:val="24"/>
          <w:szCs w:val="24"/>
        </w:rPr>
        <w:t>Hand Hygiene Audits</w:t>
      </w:r>
    </w:p>
    <w:p w:rsidR="00BB54FD" w:rsidRPr="0079070A" w:rsidRDefault="00BB54FD" w:rsidP="00BB54FD">
      <w:pPr>
        <w:jc w:val="both"/>
        <w:rPr>
          <w:sz w:val="24"/>
          <w:szCs w:val="24"/>
        </w:rPr>
      </w:pPr>
      <w:r w:rsidRPr="0079070A">
        <w:rPr>
          <w:sz w:val="24"/>
          <w:szCs w:val="24"/>
        </w:rPr>
        <w:t>Monthly internal audits are undertaken by Infection Prevention and Control Link Practitioners. The audits look at three areas of hand hygiene – environment, observation and technique. The Director of Infection Prevention and Control is supporting the completion of these audits by releasing time for the link practitioners to undertake and submit these audits. Overall Trust wide compliance was reported at 99% in August and 95% in September. The Infection Prevention and Control Team have an action plan in place and are working with the Link Practitioners to address compliance.</w:t>
      </w:r>
    </w:p>
    <w:p w:rsidR="00BB54FD" w:rsidRDefault="00BB54FD" w:rsidP="00BB54FD">
      <w:pPr>
        <w:jc w:val="both"/>
        <w:rPr>
          <w:rFonts w:asciiTheme="majorHAnsi" w:hAnsiTheme="majorHAnsi" w:cstheme="majorHAnsi"/>
          <w:b/>
          <w:color w:val="21798E" w:themeColor="accent1" w:themeShade="BF"/>
          <w:sz w:val="24"/>
          <w:szCs w:val="24"/>
        </w:rPr>
      </w:pPr>
      <w:r>
        <w:rPr>
          <w:rFonts w:asciiTheme="majorHAnsi" w:hAnsiTheme="majorHAnsi" w:cstheme="majorHAnsi"/>
          <w:b/>
          <w:color w:val="21798E" w:themeColor="accent1" w:themeShade="BF"/>
          <w:sz w:val="24"/>
          <w:szCs w:val="24"/>
        </w:rPr>
        <w:t xml:space="preserve">2.10.4 </w:t>
      </w:r>
      <w:r w:rsidRPr="0059689B">
        <w:rPr>
          <w:rFonts w:asciiTheme="majorHAnsi" w:hAnsiTheme="majorHAnsi" w:cstheme="majorHAnsi"/>
          <w:b/>
          <w:color w:val="21798E" w:themeColor="accent1" w:themeShade="BF"/>
          <w:sz w:val="24"/>
          <w:szCs w:val="24"/>
        </w:rPr>
        <w:t xml:space="preserve">Carbepenemase Producing Enterobacteriaceae CPE </w:t>
      </w:r>
    </w:p>
    <w:p w:rsidR="00BB54FD" w:rsidRPr="0079070A" w:rsidRDefault="00BB54FD" w:rsidP="00BB54FD">
      <w:pPr>
        <w:jc w:val="both"/>
        <w:rPr>
          <w:sz w:val="24"/>
          <w:szCs w:val="24"/>
        </w:rPr>
      </w:pPr>
      <w:r w:rsidRPr="0079070A">
        <w:rPr>
          <w:sz w:val="24"/>
          <w:szCs w:val="24"/>
        </w:rPr>
        <w:t>No cases have been acquired in or admitted to the hospital in August or September 2014.</w:t>
      </w:r>
    </w:p>
    <w:p w:rsidR="00BB54FD" w:rsidRPr="0059689B" w:rsidRDefault="00BB54FD" w:rsidP="00BB54FD">
      <w:pPr>
        <w:jc w:val="both"/>
        <w:rPr>
          <w:rFonts w:asciiTheme="majorHAnsi" w:hAnsiTheme="majorHAnsi" w:cstheme="majorHAnsi"/>
          <w:b/>
          <w:color w:val="21798E" w:themeColor="accent1" w:themeShade="BF"/>
          <w:sz w:val="24"/>
          <w:szCs w:val="24"/>
        </w:rPr>
      </w:pPr>
      <w:r>
        <w:rPr>
          <w:rFonts w:asciiTheme="majorHAnsi" w:hAnsiTheme="majorHAnsi" w:cstheme="majorHAnsi"/>
          <w:b/>
          <w:color w:val="21798E" w:themeColor="accent1" w:themeShade="BF"/>
          <w:sz w:val="24"/>
          <w:szCs w:val="24"/>
        </w:rPr>
        <w:t xml:space="preserve">2.10.5 </w:t>
      </w:r>
      <w:r w:rsidRPr="0059689B">
        <w:rPr>
          <w:rFonts w:asciiTheme="majorHAnsi" w:hAnsiTheme="majorHAnsi" w:cstheme="majorHAnsi"/>
          <w:b/>
          <w:color w:val="21798E" w:themeColor="accent1" w:themeShade="BF"/>
          <w:sz w:val="24"/>
          <w:szCs w:val="24"/>
        </w:rPr>
        <w:t>Outbreaks</w:t>
      </w:r>
    </w:p>
    <w:p w:rsidR="0079070A" w:rsidRDefault="00BB54FD" w:rsidP="00BB54FD">
      <w:pPr>
        <w:jc w:val="both"/>
        <w:rPr>
          <w:sz w:val="24"/>
          <w:szCs w:val="24"/>
        </w:rPr>
      </w:pPr>
      <w:r w:rsidRPr="0079070A">
        <w:rPr>
          <w:sz w:val="24"/>
          <w:szCs w:val="24"/>
        </w:rPr>
        <w:t xml:space="preserve">There was one confirmed outbreak of Norovirus on Kewstoke ward in August and during September Kewstoke ward had two subsequent Norovirus outbreaks. Deep cleaning of Kewstoke’s environment was undertaken after every outbreak in line with the Trust outbreak policy. Initial reports following these outbreaks have identified lapses in communication and documentation. An in depth environmental audit has identified problems with the physical environment and has recommended this ward for refurbishment/remedial actions to address these issues. </w:t>
      </w:r>
    </w:p>
    <w:p w:rsidR="0079070A" w:rsidRDefault="0079070A" w:rsidP="00BB54FD">
      <w:pPr>
        <w:jc w:val="both"/>
        <w:rPr>
          <w:sz w:val="24"/>
          <w:szCs w:val="24"/>
        </w:rPr>
      </w:pPr>
    </w:p>
    <w:p w:rsidR="00BB54FD" w:rsidRPr="0079070A" w:rsidRDefault="00BB54FD" w:rsidP="00BB54FD">
      <w:pPr>
        <w:jc w:val="both"/>
        <w:rPr>
          <w:sz w:val="24"/>
          <w:szCs w:val="24"/>
        </w:rPr>
      </w:pPr>
      <w:r w:rsidRPr="0079070A">
        <w:rPr>
          <w:sz w:val="24"/>
          <w:szCs w:val="24"/>
        </w:rPr>
        <w:lastRenderedPageBreak/>
        <w:t>A business case was submitted to replace the current washer disinfector with a macerator due to the increased number of outbreaks on this ward and this has been successful. This should be fitted within the next two weeks. Maceratable products and their contents are then able to be disposed of instantly and this negates the risk of substandard cleaning with reusable products.</w:t>
      </w:r>
    </w:p>
    <w:p w:rsidR="00BB54FD" w:rsidRDefault="00BB54FD" w:rsidP="00BB54FD">
      <w:pPr>
        <w:jc w:val="both"/>
        <w:rPr>
          <w:rFonts w:asciiTheme="majorHAnsi" w:hAnsiTheme="majorHAnsi" w:cstheme="majorHAnsi"/>
          <w:b/>
          <w:color w:val="21798E" w:themeColor="accent1" w:themeShade="BF"/>
          <w:sz w:val="24"/>
          <w:szCs w:val="24"/>
        </w:rPr>
      </w:pPr>
      <w:r>
        <w:rPr>
          <w:rFonts w:asciiTheme="majorHAnsi" w:hAnsiTheme="majorHAnsi" w:cstheme="majorHAnsi"/>
          <w:b/>
          <w:color w:val="21798E" w:themeColor="accent1" w:themeShade="BF"/>
          <w:sz w:val="24"/>
          <w:szCs w:val="24"/>
        </w:rPr>
        <w:t>2.10.6 Viral Haemorrhagic Fever (VHF)</w:t>
      </w:r>
    </w:p>
    <w:p w:rsidR="00BB54FD" w:rsidRPr="0079070A" w:rsidRDefault="00BB54FD" w:rsidP="00BB54FD">
      <w:pPr>
        <w:jc w:val="both"/>
        <w:rPr>
          <w:sz w:val="24"/>
          <w:szCs w:val="24"/>
        </w:rPr>
      </w:pPr>
      <w:r w:rsidRPr="0079070A">
        <w:rPr>
          <w:sz w:val="24"/>
          <w:szCs w:val="24"/>
        </w:rPr>
        <w:t>In response to the major outbreaks of Ebola in West Africa, a policy for VHF is now available on the Trust Intranet. Flow charts and current algorithms to follow can be found within this policy. Pertinent questions around VHF have been added to the new Infection Prevention and Control risk assessment.  The Trust’s Emergency Planning Officer has led the internal planning process for VHF with the Trust having the appropriate policies, processes and equipment in place in full preparation for any potential cases.</w:t>
      </w:r>
    </w:p>
    <w:p w:rsidR="00BB54FD" w:rsidRPr="001E283F" w:rsidRDefault="00BB54FD" w:rsidP="00BB54FD">
      <w:pPr>
        <w:jc w:val="both"/>
        <w:rPr>
          <w:rFonts w:asciiTheme="majorHAnsi" w:eastAsiaTheme="majorEastAsia" w:hAnsiTheme="majorHAnsi" w:cstheme="majorBidi"/>
          <w:b/>
          <w:bCs/>
          <w:color w:val="21798E" w:themeColor="accent1" w:themeShade="BF"/>
          <w:sz w:val="24"/>
          <w:szCs w:val="24"/>
        </w:rPr>
      </w:pPr>
      <w:r w:rsidRPr="001E283F">
        <w:rPr>
          <w:b/>
          <w:color w:val="21798E" w:themeColor="accent1" w:themeShade="BF"/>
          <w:sz w:val="24"/>
          <w:szCs w:val="24"/>
        </w:rPr>
        <w:t>2.11 Maternity</w:t>
      </w:r>
    </w:p>
    <w:p w:rsidR="00BB54FD" w:rsidRPr="00D06C14" w:rsidRDefault="00BB54FD" w:rsidP="00BB54FD">
      <w:pPr>
        <w:pStyle w:val="NoSpacing"/>
        <w:jc w:val="both"/>
        <w:rPr>
          <w:sz w:val="10"/>
        </w:rPr>
      </w:pPr>
    </w:p>
    <w:p w:rsidR="00BB54FD" w:rsidRDefault="00BB54FD" w:rsidP="00BB54FD">
      <w:pPr>
        <w:jc w:val="both"/>
        <w:rPr>
          <w:sz w:val="24"/>
          <w:szCs w:val="24"/>
        </w:rPr>
      </w:pPr>
      <w:r w:rsidRPr="00D06C14">
        <w:rPr>
          <w:sz w:val="24"/>
          <w:szCs w:val="24"/>
        </w:rPr>
        <w:t xml:space="preserve">The maternity team achieved variable results </w:t>
      </w:r>
      <w:r>
        <w:rPr>
          <w:sz w:val="24"/>
          <w:szCs w:val="24"/>
        </w:rPr>
        <w:t xml:space="preserve">in </w:t>
      </w:r>
      <w:r w:rsidRPr="00D06C14">
        <w:rPr>
          <w:sz w:val="24"/>
          <w:szCs w:val="24"/>
        </w:rPr>
        <w:t>both its national targets for initiating breastfeeding in-hospital and mothers not smoking at the t</w:t>
      </w:r>
      <w:r>
        <w:rPr>
          <w:sz w:val="24"/>
          <w:szCs w:val="24"/>
        </w:rPr>
        <w:t>ime of delivery in August and September</w:t>
      </w:r>
      <w:r w:rsidRPr="00D06C14">
        <w:rPr>
          <w:sz w:val="24"/>
          <w:szCs w:val="24"/>
        </w:rPr>
        <w:t xml:space="preserve">.  </w:t>
      </w:r>
    </w:p>
    <w:p w:rsidR="00BB54FD" w:rsidRPr="00D06C14" w:rsidRDefault="00BB54FD" w:rsidP="00BB54FD">
      <w:pPr>
        <w:jc w:val="both"/>
        <w:rPr>
          <w:sz w:val="24"/>
          <w:szCs w:val="24"/>
        </w:rPr>
      </w:pPr>
      <w:r w:rsidRPr="00D06C14">
        <w:rPr>
          <w:sz w:val="24"/>
          <w:szCs w:val="24"/>
        </w:rPr>
        <w:t xml:space="preserve">All midwives and maternity support staff now have access to the online Quit Manager referral service. The Matron is receiving reports from SmokeFree North Somerset on the number of referrals. </w:t>
      </w:r>
    </w:p>
    <w:p w:rsidR="00BB54FD" w:rsidRDefault="00BB54FD" w:rsidP="00BB54FD">
      <w:pPr>
        <w:jc w:val="both"/>
        <w:rPr>
          <w:sz w:val="24"/>
          <w:szCs w:val="24"/>
        </w:rPr>
      </w:pPr>
      <w:r>
        <w:rPr>
          <w:sz w:val="24"/>
          <w:szCs w:val="24"/>
        </w:rPr>
        <w:t>The number of women who gave birth in Ashcombe Unit in August and September was lower than hoped. A plan has since been actioned to invite all women who would be safe to give birth in the unit to have their 36 week midwifery check up in the unit.  This offers the opportunity for mothers-to-be to look round the unit and be assured of the safety of midwife-led units.</w:t>
      </w:r>
    </w:p>
    <w:p w:rsidR="00BB54FD" w:rsidRPr="00D06C14" w:rsidRDefault="00BB54FD" w:rsidP="00BB54FD">
      <w:pPr>
        <w:jc w:val="both"/>
        <w:rPr>
          <w:sz w:val="24"/>
          <w:szCs w:val="24"/>
        </w:rPr>
      </w:pPr>
      <w:r>
        <w:rPr>
          <w:sz w:val="24"/>
          <w:szCs w:val="24"/>
        </w:rPr>
        <w:t>During August and September, the department have been submitting data as part of the NHS Safety Thermometer Maternity Pilot.  This pilot scheme ends in October and results will be analysed shortly afterward.</w:t>
      </w:r>
    </w:p>
    <w:p w:rsidR="001E283F" w:rsidRDefault="001E283F" w:rsidP="00BB54FD">
      <w:pPr>
        <w:pStyle w:val="Heading2"/>
        <w:rPr>
          <w:color w:val="21798E" w:themeColor="accent1" w:themeShade="BF"/>
          <w:sz w:val="24"/>
          <w:szCs w:val="24"/>
        </w:rPr>
      </w:pPr>
    </w:p>
    <w:p w:rsidR="001E283F" w:rsidRDefault="001E283F">
      <w:pPr>
        <w:rPr>
          <w:rFonts w:asciiTheme="majorHAnsi" w:eastAsiaTheme="majorEastAsia" w:hAnsiTheme="majorHAnsi" w:cstheme="majorBidi"/>
          <w:b/>
          <w:bCs/>
          <w:color w:val="21798E" w:themeColor="accent1" w:themeShade="BF"/>
          <w:sz w:val="24"/>
          <w:szCs w:val="24"/>
        </w:rPr>
      </w:pPr>
      <w:r>
        <w:rPr>
          <w:color w:val="21798E" w:themeColor="accent1" w:themeShade="BF"/>
          <w:sz w:val="24"/>
          <w:szCs w:val="24"/>
        </w:rPr>
        <w:br w:type="page"/>
      </w:r>
    </w:p>
    <w:p w:rsidR="00BB54FD" w:rsidRPr="001E283F" w:rsidRDefault="00BB54FD" w:rsidP="00BB54FD">
      <w:pPr>
        <w:pStyle w:val="Heading2"/>
        <w:rPr>
          <w:color w:val="21798E" w:themeColor="accent1" w:themeShade="BF"/>
          <w:sz w:val="24"/>
          <w:szCs w:val="24"/>
        </w:rPr>
      </w:pPr>
      <w:r w:rsidRPr="001E283F">
        <w:rPr>
          <w:color w:val="21798E" w:themeColor="accent1" w:themeShade="BF"/>
          <w:sz w:val="24"/>
          <w:szCs w:val="24"/>
        </w:rPr>
        <w:lastRenderedPageBreak/>
        <w:t>2.12 Venous Thrombo-Embolism (VTE)</w:t>
      </w:r>
    </w:p>
    <w:p w:rsidR="00BB54FD" w:rsidRPr="005A17A8" w:rsidRDefault="00BB54FD" w:rsidP="00BB54FD">
      <w:pPr>
        <w:jc w:val="both"/>
        <w:rPr>
          <w:sz w:val="24"/>
          <w:szCs w:val="24"/>
        </w:rPr>
      </w:pPr>
      <w:r w:rsidRPr="005A17A8">
        <w:rPr>
          <w:sz w:val="24"/>
          <w:szCs w:val="24"/>
        </w:rPr>
        <w:t>The completion of the VTE risk assessment and the necessary actions as a result of the assessment is vital for patient safety to ensure that patients are not at risk of unnecessary harm from avoidable DVT or pulmonary embolism.</w:t>
      </w:r>
      <w:r w:rsidRPr="005A17A8">
        <w:rPr>
          <w:i/>
          <w:sz w:val="24"/>
          <w:szCs w:val="24"/>
        </w:rPr>
        <w:t xml:space="preserve">  </w:t>
      </w:r>
    </w:p>
    <w:p w:rsidR="00BB54FD" w:rsidRDefault="00BB54FD" w:rsidP="00BB54FD">
      <w:pPr>
        <w:jc w:val="both"/>
        <w:rPr>
          <w:sz w:val="24"/>
          <w:szCs w:val="24"/>
        </w:rPr>
      </w:pPr>
      <w:r w:rsidRPr="005A17A8">
        <w:rPr>
          <w:sz w:val="24"/>
          <w:szCs w:val="24"/>
        </w:rPr>
        <w:t>The Trust is aiming to achieve 100% of inpatients receiving a VTE risk assessment according to NICE guidance in 2014/15.</w:t>
      </w:r>
      <w:r>
        <w:rPr>
          <w:sz w:val="24"/>
          <w:szCs w:val="24"/>
        </w:rPr>
        <w:t xml:space="preserve">  In September the Trust improved performance and achieved the </w:t>
      </w:r>
      <w:r w:rsidRPr="005A17A8">
        <w:rPr>
          <w:sz w:val="24"/>
          <w:szCs w:val="24"/>
        </w:rPr>
        <w:t>national target</w:t>
      </w:r>
      <w:r>
        <w:rPr>
          <w:sz w:val="24"/>
          <w:szCs w:val="24"/>
        </w:rPr>
        <w:t xml:space="preserve"> of 95%</w:t>
      </w:r>
      <w:r w:rsidRPr="005A17A8">
        <w:rPr>
          <w:sz w:val="24"/>
          <w:szCs w:val="24"/>
        </w:rPr>
        <w:t xml:space="preserve"> with</w:t>
      </w:r>
      <w:r>
        <w:rPr>
          <w:sz w:val="24"/>
          <w:szCs w:val="24"/>
        </w:rPr>
        <w:t xml:space="preserve"> 97.2%</w:t>
      </w:r>
      <w:r w:rsidRPr="007A4481">
        <w:rPr>
          <w:sz w:val="24"/>
          <w:szCs w:val="24"/>
        </w:rPr>
        <w:t xml:space="preserve"> </w:t>
      </w:r>
      <w:r w:rsidRPr="005A17A8">
        <w:rPr>
          <w:sz w:val="24"/>
          <w:szCs w:val="24"/>
        </w:rPr>
        <w:t>of appropriate patients receiving a VTE risk assessment.</w:t>
      </w:r>
    </w:p>
    <w:p w:rsidR="00BB54FD" w:rsidRDefault="00BB54FD" w:rsidP="00BB54FD">
      <w:pPr>
        <w:jc w:val="both"/>
        <w:rPr>
          <w:rFonts w:asciiTheme="majorHAnsi" w:hAnsiTheme="majorHAnsi" w:cstheme="majorHAnsi"/>
          <w:b/>
          <w:color w:val="21798E" w:themeColor="accent1" w:themeShade="BF"/>
          <w:sz w:val="48"/>
          <w:szCs w:val="48"/>
        </w:rPr>
      </w:pPr>
    </w:p>
    <w:p w:rsidR="0057752D" w:rsidRDefault="0057752D" w:rsidP="00083973">
      <w:pPr>
        <w:jc w:val="both"/>
        <w:rPr>
          <w:rFonts w:cstheme="minorHAnsi"/>
          <w:color w:val="000000"/>
          <w:sz w:val="24"/>
          <w:szCs w:val="24"/>
        </w:rPr>
      </w:pPr>
    </w:p>
    <w:p w:rsidR="0057752D" w:rsidRDefault="0057752D" w:rsidP="00083973">
      <w:pPr>
        <w:jc w:val="both"/>
        <w:rPr>
          <w:rFonts w:cstheme="minorHAnsi"/>
          <w:color w:val="000000"/>
          <w:sz w:val="24"/>
          <w:szCs w:val="24"/>
        </w:rPr>
      </w:pPr>
    </w:p>
    <w:p w:rsidR="0057752D" w:rsidRDefault="0057752D" w:rsidP="00083973">
      <w:pPr>
        <w:jc w:val="both"/>
        <w:rPr>
          <w:rFonts w:cstheme="minorHAnsi"/>
          <w:color w:val="000000"/>
          <w:sz w:val="24"/>
          <w:szCs w:val="24"/>
        </w:rPr>
      </w:pPr>
    </w:p>
    <w:p w:rsidR="0057752D" w:rsidRDefault="0057752D" w:rsidP="00083973">
      <w:pPr>
        <w:jc w:val="both"/>
        <w:rPr>
          <w:rFonts w:cstheme="minorHAnsi"/>
          <w:color w:val="000000"/>
          <w:sz w:val="24"/>
          <w:szCs w:val="24"/>
        </w:rPr>
      </w:pPr>
    </w:p>
    <w:p w:rsidR="0057752D" w:rsidRDefault="0057752D" w:rsidP="00083973">
      <w:pPr>
        <w:jc w:val="both"/>
        <w:rPr>
          <w:rFonts w:cstheme="minorHAnsi"/>
          <w:color w:val="000000"/>
          <w:sz w:val="24"/>
          <w:szCs w:val="24"/>
        </w:rPr>
      </w:pPr>
    </w:p>
    <w:p w:rsidR="0057752D" w:rsidRDefault="0057752D" w:rsidP="00083973">
      <w:pPr>
        <w:jc w:val="both"/>
        <w:rPr>
          <w:rFonts w:cstheme="minorHAnsi"/>
          <w:color w:val="000000"/>
          <w:sz w:val="24"/>
          <w:szCs w:val="24"/>
        </w:rPr>
      </w:pPr>
    </w:p>
    <w:p w:rsidR="0057752D" w:rsidRDefault="0057752D" w:rsidP="00083973">
      <w:pPr>
        <w:jc w:val="both"/>
        <w:rPr>
          <w:rFonts w:cstheme="minorHAnsi"/>
          <w:color w:val="000000"/>
          <w:sz w:val="24"/>
          <w:szCs w:val="24"/>
        </w:rPr>
      </w:pPr>
    </w:p>
    <w:p w:rsidR="0057752D" w:rsidRDefault="0057752D" w:rsidP="00083973">
      <w:pPr>
        <w:jc w:val="both"/>
        <w:rPr>
          <w:rFonts w:cstheme="minorHAnsi"/>
          <w:color w:val="000000"/>
          <w:sz w:val="24"/>
          <w:szCs w:val="24"/>
        </w:rPr>
      </w:pPr>
    </w:p>
    <w:p w:rsidR="0057752D" w:rsidRDefault="0057752D" w:rsidP="00083973">
      <w:pPr>
        <w:jc w:val="both"/>
        <w:rPr>
          <w:rFonts w:cstheme="minorHAnsi"/>
          <w:color w:val="000000"/>
          <w:sz w:val="24"/>
          <w:szCs w:val="24"/>
        </w:rPr>
      </w:pPr>
    </w:p>
    <w:p w:rsidR="0057752D" w:rsidRDefault="0057752D" w:rsidP="00083973">
      <w:pPr>
        <w:jc w:val="both"/>
        <w:rPr>
          <w:rFonts w:cstheme="minorHAnsi"/>
          <w:color w:val="000000"/>
          <w:sz w:val="24"/>
          <w:szCs w:val="24"/>
        </w:rPr>
      </w:pPr>
    </w:p>
    <w:p w:rsidR="0057752D" w:rsidRDefault="0057752D" w:rsidP="00083973">
      <w:pPr>
        <w:jc w:val="both"/>
        <w:rPr>
          <w:rFonts w:cstheme="minorHAnsi"/>
          <w:color w:val="000000"/>
          <w:sz w:val="24"/>
          <w:szCs w:val="24"/>
        </w:rPr>
      </w:pPr>
    </w:p>
    <w:p w:rsidR="0057752D" w:rsidRDefault="0057752D" w:rsidP="00083973">
      <w:pPr>
        <w:jc w:val="both"/>
        <w:rPr>
          <w:rFonts w:cstheme="minorHAnsi"/>
          <w:color w:val="000000"/>
          <w:sz w:val="24"/>
          <w:szCs w:val="24"/>
        </w:rPr>
      </w:pPr>
    </w:p>
    <w:p w:rsidR="0057752D" w:rsidRDefault="0057752D" w:rsidP="00083973">
      <w:pPr>
        <w:jc w:val="both"/>
        <w:rPr>
          <w:rFonts w:cstheme="minorHAnsi"/>
          <w:color w:val="000000"/>
          <w:sz w:val="24"/>
          <w:szCs w:val="24"/>
        </w:rPr>
      </w:pPr>
    </w:p>
    <w:p w:rsidR="007366FD" w:rsidRDefault="007366FD" w:rsidP="007366FD">
      <w:pPr>
        <w:jc w:val="both"/>
        <w:rPr>
          <w:sz w:val="24"/>
          <w:szCs w:val="24"/>
        </w:rPr>
      </w:pPr>
    </w:p>
    <w:p w:rsidR="007366FD" w:rsidRPr="007366FD" w:rsidRDefault="007366FD" w:rsidP="007366FD">
      <w:pPr>
        <w:jc w:val="both"/>
        <w:rPr>
          <w:sz w:val="24"/>
          <w:szCs w:val="24"/>
        </w:rPr>
      </w:pPr>
    </w:p>
    <w:p w:rsidR="00D1431F" w:rsidRDefault="00D1431F" w:rsidP="00D1431F">
      <w:pPr>
        <w:pStyle w:val="Heading1"/>
      </w:pPr>
      <w:bookmarkStart w:id="23" w:name="_Toc381084870"/>
      <w:bookmarkEnd w:id="3"/>
      <w:bookmarkEnd w:id="4"/>
      <w:r w:rsidRPr="00EC07FC">
        <w:rPr>
          <w:sz w:val="56"/>
        </w:rPr>
        <w:lastRenderedPageBreak/>
        <w:t>Section 3 Operational Performance</w:t>
      </w:r>
      <w:bookmarkEnd w:id="23"/>
      <w:r w:rsidRPr="00EC07FC">
        <w:rPr>
          <w:sz w:val="56"/>
        </w:rPr>
        <w:t xml:space="preserve"> </w:t>
      </w:r>
    </w:p>
    <w:p w:rsidR="001E283F" w:rsidRDefault="006101CF" w:rsidP="00DE0A1A">
      <w:pPr>
        <w:pStyle w:val="Heading2"/>
      </w:pPr>
      <w:bookmarkStart w:id="24" w:name="_Toc381084871"/>
      <w:r>
        <w:rPr>
          <w:noProof/>
        </w:rPr>
        <w:pict>
          <v:roundrect id="AutoShape 20" o:spid="_x0000_s1043" style="position:absolute;margin-left:-11.1pt;margin-top:18pt;width:538.85pt;height:293.3pt;z-index:-251592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" fillcolor="white [3201]" strokecolor="#79cbdf [1940]" strokeweight="1pt">
            <v:fill color2="#a6dcea [1300]" focus="100%" type="gradient"/>
            <v:shadow on="t" color="#16505e [1604]" opacity=".5" offset="1pt"/>
          </v:roundrect>
        </w:pict>
      </w:r>
    </w:p>
    <w:p w:rsidR="00DE0A1A" w:rsidRDefault="00DE0A1A" w:rsidP="00DE0A1A">
      <w:pPr>
        <w:pStyle w:val="Heading2"/>
      </w:pPr>
      <w:r>
        <w:t>3.1 Executive Summary Headlines</w:t>
      </w:r>
    </w:p>
    <w:p w:rsidR="00DE0A1A" w:rsidRPr="00D56A6C" w:rsidRDefault="000E3A13" w:rsidP="00DE0A1A">
      <w:pPr>
        <w:pStyle w:val="ListParagraph"/>
        <w:widowControl w:val="0"/>
        <w:numPr>
          <w:ilvl w:val="0"/>
          <w:numId w:val="3"/>
        </w:numPr>
        <w:autoSpaceDE w:val="0"/>
        <w:autoSpaceDN w:val="0"/>
        <w:adjustRightInd w:val="0"/>
        <w:spacing w:before="240" w:after="0" w:line="240" w:lineRule="auto"/>
        <w:ind w:left="426" w:hanging="426"/>
        <w:contextualSpacing w:val="0"/>
        <w:jc w:val="both"/>
        <w:rPr>
          <w:rFonts w:cs="Arial"/>
          <w:sz w:val="24"/>
        </w:rPr>
      </w:pPr>
      <w:r>
        <w:rPr>
          <w:rFonts w:cs="Arial"/>
          <w:sz w:val="24"/>
        </w:rPr>
        <w:t xml:space="preserve">In </w:t>
      </w:r>
      <w:r w:rsidR="00621D87">
        <w:rPr>
          <w:rFonts w:cs="Arial"/>
          <w:sz w:val="24"/>
        </w:rPr>
        <w:t>August the Trust achieved seven</w:t>
      </w:r>
      <w:r w:rsidR="00DE0A1A" w:rsidRPr="00D56A6C">
        <w:rPr>
          <w:rFonts w:cs="Arial"/>
          <w:sz w:val="24"/>
        </w:rPr>
        <w:t xml:space="preserve"> of th</w:t>
      </w:r>
      <w:r w:rsidR="004008A8">
        <w:rPr>
          <w:rFonts w:cs="Arial"/>
          <w:sz w:val="24"/>
        </w:rPr>
        <w:t>e eight N</w:t>
      </w:r>
      <w:r w:rsidR="00DE0A1A" w:rsidRPr="00D56A6C">
        <w:rPr>
          <w:rFonts w:cs="Arial"/>
          <w:sz w:val="24"/>
        </w:rPr>
        <w:t xml:space="preserve">ational cancer targets.  </w:t>
      </w:r>
    </w:p>
    <w:p w:rsidR="00DE0A1A" w:rsidRPr="00D56A6C" w:rsidRDefault="00DE0A1A" w:rsidP="00DE0A1A">
      <w:pPr>
        <w:pStyle w:val="ListParagraph"/>
        <w:widowControl w:val="0"/>
        <w:numPr>
          <w:ilvl w:val="0"/>
          <w:numId w:val="3"/>
        </w:numPr>
        <w:autoSpaceDE w:val="0"/>
        <w:autoSpaceDN w:val="0"/>
        <w:adjustRightInd w:val="0"/>
        <w:spacing w:before="240" w:after="0" w:line="240" w:lineRule="auto"/>
        <w:ind w:left="426" w:hanging="426"/>
        <w:contextualSpacing w:val="0"/>
        <w:jc w:val="both"/>
        <w:rPr>
          <w:rFonts w:cs="Arial"/>
          <w:sz w:val="24"/>
        </w:rPr>
      </w:pPr>
      <w:r>
        <w:rPr>
          <w:rFonts w:cs="Arial"/>
          <w:sz w:val="24"/>
        </w:rPr>
        <w:t xml:space="preserve">The Trust </w:t>
      </w:r>
      <w:r w:rsidR="00621D87">
        <w:rPr>
          <w:rFonts w:cs="Arial"/>
          <w:sz w:val="24"/>
        </w:rPr>
        <w:t>has significantly</w:t>
      </w:r>
      <w:r>
        <w:rPr>
          <w:rFonts w:cs="Arial"/>
          <w:sz w:val="24"/>
        </w:rPr>
        <w:t xml:space="preserve"> reduce</w:t>
      </w:r>
      <w:r w:rsidR="00621D87">
        <w:rPr>
          <w:rFonts w:cs="Arial"/>
          <w:sz w:val="24"/>
        </w:rPr>
        <w:t>d</w:t>
      </w:r>
      <w:r>
        <w:rPr>
          <w:rFonts w:cs="Arial"/>
          <w:sz w:val="24"/>
        </w:rPr>
        <w:t xml:space="preserve"> the number of patients waiting over 1</w:t>
      </w:r>
      <w:r w:rsidR="00621D87">
        <w:rPr>
          <w:rFonts w:cs="Arial"/>
          <w:sz w:val="24"/>
        </w:rPr>
        <w:t>8</w:t>
      </w:r>
      <w:r>
        <w:rPr>
          <w:rFonts w:cs="Arial"/>
          <w:sz w:val="24"/>
        </w:rPr>
        <w:t xml:space="preserve"> weeks in line with the national requirement set by NHS England</w:t>
      </w:r>
      <w:r w:rsidR="00621D87">
        <w:rPr>
          <w:rFonts w:cs="Arial"/>
          <w:sz w:val="24"/>
        </w:rPr>
        <w:t xml:space="preserve"> and achieved rhe plans laid out in July for full achievement of admitted and non admitted targets by September 2014</w:t>
      </w:r>
      <w:r>
        <w:rPr>
          <w:rFonts w:cs="Arial"/>
          <w:sz w:val="24"/>
        </w:rPr>
        <w:t xml:space="preserve">.     </w:t>
      </w:r>
      <w:r w:rsidRPr="00D56A6C">
        <w:rPr>
          <w:rFonts w:cs="Arial"/>
          <w:sz w:val="24"/>
        </w:rPr>
        <w:t xml:space="preserve">  </w:t>
      </w:r>
    </w:p>
    <w:p w:rsidR="00DE0A1A" w:rsidRPr="00383E0B" w:rsidRDefault="00DE0A1A" w:rsidP="00DE0A1A">
      <w:pPr>
        <w:pStyle w:val="ListParagraph"/>
        <w:widowControl w:val="0"/>
        <w:numPr>
          <w:ilvl w:val="0"/>
          <w:numId w:val="3"/>
        </w:numPr>
        <w:autoSpaceDE w:val="0"/>
        <w:autoSpaceDN w:val="0"/>
        <w:adjustRightInd w:val="0"/>
        <w:spacing w:before="240" w:after="0" w:line="240" w:lineRule="auto"/>
        <w:ind w:left="426" w:hanging="426"/>
        <w:contextualSpacing w:val="0"/>
        <w:jc w:val="both"/>
        <w:rPr>
          <w:rFonts w:cs="Arial"/>
          <w:sz w:val="24"/>
        </w:rPr>
      </w:pPr>
      <w:r w:rsidRPr="00383E0B">
        <w:rPr>
          <w:rFonts w:cs="Arial"/>
          <w:sz w:val="24"/>
        </w:rPr>
        <w:t xml:space="preserve">The Emergency Department Four Hour target was </w:t>
      </w:r>
      <w:r w:rsidR="004008A8">
        <w:rPr>
          <w:rFonts w:cs="Arial"/>
          <w:sz w:val="24"/>
        </w:rPr>
        <w:t xml:space="preserve">not achieved in Quarter Two.  Unexpected volume of attendances and higher acuity levels saw an increase in admitted patients.  </w:t>
      </w:r>
      <w:r>
        <w:rPr>
          <w:rFonts w:cs="Arial"/>
          <w:sz w:val="24"/>
        </w:rPr>
        <w:t xml:space="preserve">A robust action plan and daily monitoring is in place.  </w:t>
      </w:r>
      <w:r w:rsidRPr="00383E0B">
        <w:rPr>
          <w:rFonts w:cs="Arial"/>
          <w:sz w:val="24"/>
        </w:rPr>
        <w:t xml:space="preserve"> </w:t>
      </w:r>
    </w:p>
    <w:p w:rsidR="004008A8" w:rsidRPr="004008A8" w:rsidRDefault="00DE0A1A" w:rsidP="00DE0A1A">
      <w:pPr>
        <w:pStyle w:val="ListParagraph"/>
        <w:widowControl w:val="0"/>
        <w:numPr>
          <w:ilvl w:val="0"/>
          <w:numId w:val="3"/>
        </w:numPr>
        <w:autoSpaceDE w:val="0"/>
        <w:autoSpaceDN w:val="0"/>
        <w:adjustRightInd w:val="0"/>
        <w:spacing w:before="240" w:after="0" w:line="240" w:lineRule="auto"/>
        <w:ind w:left="426" w:hanging="426"/>
        <w:contextualSpacing w:val="0"/>
        <w:jc w:val="both"/>
        <w:rPr>
          <w:rFonts w:cs="Arial"/>
        </w:rPr>
      </w:pPr>
      <w:r>
        <w:rPr>
          <w:rFonts w:cs="Arial"/>
          <w:sz w:val="24"/>
        </w:rPr>
        <w:t xml:space="preserve">The </w:t>
      </w:r>
      <w:r w:rsidRPr="00383E0B">
        <w:rPr>
          <w:rFonts w:cs="Arial"/>
          <w:sz w:val="24"/>
        </w:rPr>
        <w:t>focus o</w:t>
      </w:r>
      <w:r w:rsidR="004008A8">
        <w:rPr>
          <w:rFonts w:cs="Arial"/>
          <w:sz w:val="24"/>
        </w:rPr>
        <w:t>n optimising the discharge procedure</w:t>
      </w:r>
      <w:r w:rsidRPr="00383E0B">
        <w:rPr>
          <w:rFonts w:cs="Arial"/>
          <w:sz w:val="24"/>
        </w:rPr>
        <w:t xml:space="preserve"> has lead to continued </w:t>
      </w:r>
      <w:r>
        <w:rPr>
          <w:rFonts w:cs="Arial"/>
          <w:sz w:val="24"/>
        </w:rPr>
        <w:t>reducti</w:t>
      </w:r>
      <w:r w:rsidR="004008A8">
        <w:rPr>
          <w:rFonts w:cs="Arial"/>
          <w:sz w:val="24"/>
        </w:rPr>
        <w:t>on in delayed transfers of care</w:t>
      </w:r>
      <w:r w:rsidRPr="00383E0B">
        <w:rPr>
          <w:rFonts w:cs="Arial"/>
          <w:sz w:val="24"/>
        </w:rPr>
        <w:t xml:space="preserve"> and the </w:t>
      </w:r>
      <w:r w:rsidR="004008A8">
        <w:rPr>
          <w:rFonts w:cs="Arial"/>
          <w:sz w:val="24"/>
        </w:rPr>
        <w:t>number of patients awaiting therapies</w:t>
      </w:r>
      <w:r w:rsidR="00621D87">
        <w:rPr>
          <w:rFonts w:cs="Arial"/>
          <w:sz w:val="24"/>
        </w:rPr>
        <w:t xml:space="preserve"> assessment and input</w:t>
      </w:r>
      <w:r w:rsidR="004008A8">
        <w:rPr>
          <w:rFonts w:cs="Arial"/>
          <w:sz w:val="24"/>
        </w:rPr>
        <w:t>.</w:t>
      </w:r>
    </w:p>
    <w:p w:rsidR="00DE0A1A" w:rsidRPr="00383E0B" w:rsidRDefault="00DE0A1A" w:rsidP="004008A8">
      <w:pPr>
        <w:pStyle w:val="ListParagraph"/>
        <w:widowControl w:val="0"/>
        <w:autoSpaceDE w:val="0"/>
        <w:autoSpaceDN w:val="0"/>
        <w:adjustRightInd w:val="0"/>
        <w:spacing w:before="240" w:after="0" w:line="240" w:lineRule="auto"/>
        <w:ind w:left="426"/>
        <w:contextualSpacing w:val="0"/>
        <w:jc w:val="both"/>
        <w:rPr>
          <w:rFonts w:cs="Arial"/>
        </w:rPr>
      </w:pPr>
      <w:r w:rsidRPr="00383E0B">
        <w:rPr>
          <w:rFonts w:cs="Arial"/>
          <w:sz w:val="24"/>
        </w:rPr>
        <w:t xml:space="preserve"> </w:t>
      </w:r>
    </w:p>
    <w:p w:rsidR="000A133B" w:rsidRDefault="000A133B" w:rsidP="00D1431F">
      <w:pPr>
        <w:pStyle w:val="Heading2"/>
      </w:pPr>
      <w:bookmarkStart w:id="25" w:name="_Toc381084872"/>
      <w:bookmarkEnd w:id="24"/>
    </w:p>
    <w:p w:rsidR="00D1431F" w:rsidRDefault="00573FC5" w:rsidP="00D1431F">
      <w:pPr>
        <w:pStyle w:val="Heading2"/>
      </w:pPr>
      <w:r>
        <w:t>3</w:t>
      </w:r>
      <w:r w:rsidR="00D1431F">
        <w:t>.2 Operational Performance</w:t>
      </w:r>
      <w:bookmarkEnd w:id="25"/>
    </w:p>
    <w:p w:rsidR="00D1431F" w:rsidRPr="00CD7EE3" w:rsidRDefault="00D1431F" w:rsidP="00D1431F">
      <w:pPr>
        <w:spacing w:before="240"/>
        <w:jc w:val="both"/>
        <w:rPr>
          <w:rFonts w:cs="Arial"/>
          <w:sz w:val="24"/>
        </w:rPr>
      </w:pPr>
      <w:r w:rsidRPr="00CD7EE3">
        <w:rPr>
          <w:rFonts w:cs="Arial"/>
          <w:sz w:val="24"/>
        </w:rPr>
        <w:t>The following sections detail the Trust performance against a number of key indicators.  The report is divided into:</w:t>
      </w:r>
    </w:p>
    <w:p w:rsidR="00D1431F" w:rsidRPr="00CD7EE3" w:rsidRDefault="00D1431F" w:rsidP="00D1431F">
      <w:pPr>
        <w:pStyle w:val="ListParagraph"/>
        <w:widowControl w:val="0"/>
        <w:numPr>
          <w:ilvl w:val="0"/>
          <w:numId w:val="1"/>
        </w:numPr>
        <w:autoSpaceDE w:val="0"/>
        <w:autoSpaceDN w:val="0"/>
        <w:adjustRightInd w:val="0"/>
        <w:spacing w:after="0"/>
        <w:contextualSpacing w:val="0"/>
        <w:jc w:val="both"/>
        <w:rPr>
          <w:rFonts w:cs="Arial"/>
          <w:i/>
          <w:sz w:val="24"/>
        </w:rPr>
      </w:pPr>
      <w:r w:rsidRPr="00CD7EE3">
        <w:rPr>
          <w:rFonts w:cs="Arial"/>
          <w:i/>
          <w:sz w:val="24"/>
        </w:rPr>
        <w:t>Clinical Indicators</w:t>
      </w:r>
    </w:p>
    <w:p w:rsidR="00D1431F" w:rsidRPr="00CD7EE3" w:rsidRDefault="00D1431F" w:rsidP="00D1431F">
      <w:pPr>
        <w:pStyle w:val="ListParagraph"/>
        <w:widowControl w:val="0"/>
        <w:numPr>
          <w:ilvl w:val="0"/>
          <w:numId w:val="1"/>
        </w:numPr>
        <w:autoSpaceDE w:val="0"/>
        <w:autoSpaceDN w:val="0"/>
        <w:adjustRightInd w:val="0"/>
        <w:spacing w:after="0"/>
        <w:contextualSpacing w:val="0"/>
        <w:jc w:val="both"/>
        <w:rPr>
          <w:rFonts w:cs="Arial"/>
          <w:i/>
          <w:sz w:val="24"/>
        </w:rPr>
      </w:pPr>
      <w:r w:rsidRPr="00CD7EE3">
        <w:rPr>
          <w:rFonts w:cs="Arial"/>
          <w:i/>
          <w:sz w:val="24"/>
        </w:rPr>
        <w:t>Clinical Pathways</w:t>
      </w:r>
    </w:p>
    <w:p w:rsidR="00D1431F" w:rsidRPr="00CD7EE3" w:rsidRDefault="00D1431F" w:rsidP="00D1431F">
      <w:pPr>
        <w:pStyle w:val="ListParagraph"/>
        <w:widowControl w:val="0"/>
        <w:numPr>
          <w:ilvl w:val="0"/>
          <w:numId w:val="1"/>
        </w:numPr>
        <w:autoSpaceDE w:val="0"/>
        <w:autoSpaceDN w:val="0"/>
        <w:adjustRightInd w:val="0"/>
        <w:spacing w:after="0"/>
        <w:contextualSpacing w:val="0"/>
        <w:jc w:val="both"/>
        <w:rPr>
          <w:rFonts w:cs="Arial"/>
          <w:i/>
          <w:sz w:val="24"/>
        </w:rPr>
      </w:pPr>
      <w:r w:rsidRPr="00CD7EE3">
        <w:rPr>
          <w:rFonts w:cs="Arial"/>
          <w:i/>
          <w:sz w:val="24"/>
        </w:rPr>
        <w:t>Emergency Access</w:t>
      </w:r>
    </w:p>
    <w:p w:rsidR="00D1431F" w:rsidRPr="00CD7EE3" w:rsidRDefault="00D1431F" w:rsidP="00D1431F">
      <w:pPr>
        <w:pStyle w:val="ListParagraph"/>
        <w:widowControl w:val="0"/>
        <w:numPr>
          <w:ilvl w:val="0"/>
          <w:numId w:val="1"/>
        </w:numPr>
        <w:autoSpaceDE w:val="0"/>
        <w:autoSpaceDN w:val="0"/>
        <w:adjustRightInd w:val="0"/>
        <w:spacing w:after="0"/>
        <w:contextualSpacing w:val="0"/>
        <w:jc w:val="both"/>
        <w:rPr>
          <w:rFonts w:cs="Arial"/>
          <w:i/>
          <w:sz w:val="24"/>
        </w:rPr>
      </w:pPr>
      <w:r w:rsidRPr="00CD7EE3">
        <w:rPr>
          <w:rFonts w:cs="Arial"/>
          <w:i/>
          <w:sz w:val="24"/>
        </w:rPr>
        <w:t>Elective Access</w:t>
      </w:r>
    </w:p>
    <w:p w:rsidR="00D1431F" w:rsidRPr="00CD7EE3" w:rsidRDefault="00D1431F" w:rsidP="00D1431F">
      <w:pPr>
        <w:pStyle w:val="ListParagraph"/>
        <w:widowControl w:val="0"/>
        <w:numPr>
          <w:ilvl w:val="0"/>
          <w:numId w:val="1"/>
        </w:numPr>
        <w:autoSpaceDE w:val="0"/>
        <w:autoSpaceDN w:val="0"/>
        <w:adjustRightInd w:val="0"/>
        <w:spacing w:after="240"/>
        <w:contextualSpacing w:val="0"/>
        <w:jc w:val="both"/>
        <w:rPr>
          <w:rFonts w:cs="Arial"/>
          <w:i/>
          <w:sz w:val="24"/>
        </w:rPr>
      </w:pPr>
      <w:r w:rsidRPr="00CD7EE3">
        <w:rPr>
          <w:rFonts w:cs="Arial"/>
          <w:i/>
          <w:sz w:val="24"/>
        </w:rPr>
        <w:t>Patient Flow</w:t>
      </w:r>
    </w:p>
    <w:p w:rsidR="00D1431F" w:rsidRDefault="00D1431F" w:rsidP="00D1431F">
      <w:pPr>
        <w:pStyle w:val="Heading2"/>
      </w:pPr>
      <w:bookmarkStart w:id="26" w:name="_Toc381084873"/>
      <w:r>
        <w:t>3.3 Clinical Indicators</w:t>
      </w:r>
      <w:bookmarkEnd w:id="26"/>
    </w:p>
    <w:p w:rsidR="00D1431F" w:rsidRPr="00CD7EE3" w:rsidRDefault="00D1431F" w:rsidP="00D1431F">
      <w:pPr>
        <w:rPr>
          <w:rFonts w:cs="Arial"/>
          <w:i/>
          <w:sz w:val="24"/>
        </w:rPr>
      </w:pPr>
      <w:r w:rsidRPr="00CD7EE3">
        <w:rPr>
          <w:rFonts w:cs="Arial"/>
          <w:i/>
          <w:sz w:val="24"/>
        </w:rPr>
        <w:t>This section analyses the clinical indicators which directly influence operational performance.</w:t>
      </w:r>
    </w:p>
    <w:p w:rsidR="00D1431F" w:rsidRPr="00601334" w:rsidRDefault="00D1431F" w:rsidP="00D1431F">
      <w:pPr>
        <w:pStyle w:val="Heading3"/>
        <w:rPr>
          <w:sz w:val="24"/>
        </w:rPr>
      </w:pPr>
      <w:bookmarkStart w:id="27" w:name="_Toc381084874"/>
      <w:r w:rsidRPr="00601334">
        <w:rPr>
          <w:sz w:val="24"/>
        </w:rPr>
        <w:lastRenderedPageBreak/>
        <w:t>3.3.1 Emergency Readmissions</w:t>
      </w:r>
      <w:bookmarkEnd w:id="27"/>
    </w:p>
    <w:p w:rsidR="00A35D63" w:rsidRPr="00CD7EE3" w:rsidRDefault="00D1431F" w:rsidP="00D1431F">
      <w:pPr>
        <w:spacing w:before="240"/>
        <w:jc w:val="both"/>
        <w:rPr>
          <w:rFonts w:cs="Arial"/>
          <w:sz w:val="24"/>
        </w:rPr>
      </w:pPr>
      <w:r w:rsidRPr="00CD7EE3">
        <w:rPr>
          <w:rFonts w:cs="Arial"/>
          <w:sz w:val="24"/>
        </w:rPr>
        <w:t xml:space="preserve">An emergency readmission is defined as an unplanned readmission within an identified time of leaving the hospital.  The ideal readmission rate is zero however this is not always possible as patients can have multiple co-morbidities or long-term conditions which require frequent medical attention.  Monitoring emergency readmission rates is important to the Trust as it can help to prevent or reduce unplanned readmissions to hospital.  </w:t>
      </w:r>
    </w:p>
    <w:p w:rsidR="00D1431F" w:rsidRPr="00CD7EE3" w:rsidRDefault="00D1431F" w:rsidP="00D1431F">
      <w:pPr>
        <w:spacing w:before="240"/>
        <w:jc w:val="both"/>
        <w:rPr>
          <w:rFonts w:cs="Arial"/>
          <w:sz w:val="24"/>
        </w:rPr>
      </w:pPr>
      <w:r w:rsidRPr="00CD7EE3">
        <w:rPr>
          <w:rFonts w:cs="Arial"/>
          <w:sz w:val="24"/>
        </w:rPr>
        <w:t xml:space="preserve">The Trust monitors emergency readmissions within 14 days and 30 days.  </w:t>
      </w:r>
      <w:r w:rsidRPr="00D556D5">
        <w:rPr>
          <w:rFonts w:cs="Arial"/>
          <w:sz w:val="24"/>
        </w:rPr>
        <w:t xml:space="preserve">As </w:t>
      </w:r>
      <w:r w:rsidR="00671331" w:rsidRPr="00D556D5">
        <w:rPr>
          <w:rFonts w:cs="Arial"/>
          <w:sz w:val="24"/>
        </w:rPr>
        <w:t>illustrated</w:t>
      </w:r>
      <w:r w:rsidRPr="00D556D5">
        <w:rPr>
          <w:rFonts w:cs="Arial"/>
          <w:sz w:val="24"/>
        </w:rPr>
        <w:t xml:space="preserve"> in </w:t>
      </w:r>
      <w:r w:rsidR="006D207F" w:rsidRPr="00DF134A">
        <w:rPr>
          <w:rFonts w:cs="Arial"/>
          <w:i/>
          <w:sz w:val="24"/>
        </w:rPr>
        <w:t xml:space="preserve">Figure </w:t>
      </w:r>
      <w:r w:rsidR="003C4932">
        <w:rPr>
          <w:rFonts w:cs="Arial"/>
          <w:i/>
          <w:sz w:val="24"/>
        </w:rPr>
        <w:t>18</w:t>
      </w:r>
      <w:r w:rsidR="00F406DD">
        <w:rPr>
          <w:rFonts w:cs="Arial"/>
          <w:i/>
          <w:sz w:val="24"/>
        </w:rPr>
        <w:t>,</w:t>
      </w:r>
      <w:r w:rsidRPr="00D556D5">
        <w:rPr>
          <w:rFonts w:cs="Arial"/>
          <w:i/>
          <w:sz w:val="24"/>
        </w:rPr>
        <w:t xml:space="preserve"> </w:t>
      </w:r>
      <w:r w:rsidRPr="00D556D5">
        <w:rPr>
          <w:rFonts w:cs="Arial"/>
          <w:sz w:val="24"/>
        </w:rPr>
        <w:t>performance</w:t>
      </w:r>
      <w:r w:rsidR="00F406DD">
        <w:rPr>
          <w:rFonts w:cs="Arial"/>
          <w:sz w:val="24"/>
        </w:rPr>
        <w:t xml:space="preserve"> of readmissions within 14 days</w:t>
      </w:r>
      <w:r w:rsidRPr="00D556D5">
        <w:rPr>
          <w:rFonts w:cs="Arial"/>
          <w:sz w:val="24"/>
        </w:rPr>
        <w:t xml:space="preserve"> </w:t>
      </w:r>
      <w:r w:rsidR="00F406DD">
        <w:rPr>
          <w:rFonts w:cs="Arial"/>
          <w:sz w:val="24"/>
        </w:rPr>
        <w:t>continued to improve in September</w:t>
      </w:r>
      <w:r w:rsidR="00210A68">
        <w:rPr>
          <w:rFonts w:cs="Arial"/>
          <w:sz w:val="24"/>
        </w:rPr>
        <w:t xml:space="preserve">.  </w:t>
      </w:r>
      <w:r w:rsidRPr="00CD7EE3">
        <w:rPr>
          <w:rFonts w:cs="Arial"/>
          <w:sz w:val="24"/>
        </w:rPr>
        <w:t xml:space="preserve">  </w:t>
      </w:r>
    </w:p>
    <w:p w:rsidR="00D1431F" w:rsidRDefault="006D207F" w:rsidP="00D1431F">
      <w:pPr>
        <w:spacing w:before="240"/>
        <w:jc w:val="both"/>
        <w:rPr>
          <w:b/>
        </w:rPr>
      </w:pPr>
      <w:r>
        <w:rPr>
          <w:b/>
        </w:rPr>
        <w:t xml:space="preserve">Figure </w:t>
      </w:r>
      <w:r w:rsidR="003C4932">
        <w:rPr>
          <w:b/>
        </w:rPr>
        <w:t>18</w:t>
      </w:r>
      <w:r w:rsidR="00D1431F" w:rsidRPr="00671331">
        <w:rPr>
          <w:b/>
        </w:rPr>
        <w:t>:</w:t>
      </w:r>
    </w:p>
    <w:p w:rsidR="003C4932" w:rsidRPr="00671331" w:rsidRDefault="003C4932" w:rsidP="003C4932">
      <w:pPr>
        <w:spacing w:before="240"/>
        <w:jc w:val="center"/>
        <w:rPr>
          <w:rFonts w:cs="Arial"/>
        </w:rPr>
      </w:pPr>
      <w:r w:rsidRPr="003C4932">
        <w:rPr>
          <w:noProof/>
        </w:rPr>
        <w:drawing>
          <wp:inline distT="0" distB="0" distL="0" distR="0">
            <wp:extent cx="4619625" cy="2790825"/>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4619625" cy="2790825"/>
                    </a:xfrm>
                    <a:prstGeom prst="rect">
                      <a:avLst/>
                    </a:prstGeom>
                    <a:noFill/>
                    <a:ln w="9525">
                      <a:noFill/>
                      <a:miter lim="800000"/>
                      <a:headEnd/>
                      <a:tailEnd/>
                    </a:ln>
                  </pic:spPr>
                </pic:pic>
              </a:graphicData>
            </a:graphic>
          </wp:inline>
        </w:drawing>
      </w:r>
    </w:p>
    <w:p w:rsidR="00D1431F" w:rsidRDefault="00D1431F" w:rsidP="00D1431F">
      <w:pPr>
        <w:pStyle w:val="NoSpacing"/>
        <w:jc w:val="center"/>
        <w:rPr>
          <w:noProof/>
        </w:rPr>
      </w:pPr>
    </w:p>
    <w:p w:rsidR="00D1431F" w:rsidRPr="00671331" w:rsidRDefault="00D1431F" w:rsidP="00D1431F">
      <w:pPr>
        <w:spacing w:before="240"/>
        <w:jc w:val="both"/>
        <w:rPr>
          <w:rFonts w:cs="Arial"/>
          <w:b/>
        </w:rPr>
      </w:pPr>
      <w:r w:rsidRPr="00671331">
        <w:rPr>
          <w:rFonts w:cs="Arial"/>
          <w:b/>
        </w:rPr>
        <w:t>Trust Action:</w:t>
      </w:r>
    </w:p>
    <w:p w:rsidR="00210A68" w:rsidRDefault="00671331" w:rsidP="00D1431F">
      <w:pPr>
        <w:spacing w:before="240"/>
        <w:jc w:val="both"/>
        <w:rPr>
          <w:rFonts w:cs="Arial"/>
          <w:sz w:val="24"/>
        </w:rPr>
      </w:pPr>
      <w:r w:rsidRPr="00CD7EE3">
        <w:rPr>
          <w:rFonts w:cs="Arial"/>
          <w:sz w:val="24"/>
        </w:rPr>
        <w:t xml:space="preserve">To provide additional assurance that emergency readmissions are not </w:t>
      </w:r>
      <w:r w:rsidR="008B5FB0">
        <w:rPr>
          <w:rFonts w:cs="Arial"/>
          <w:sz w:val="24"/>
        </w:rPr>
        <w:t>related to the original episode of care,</w:t>
      </w:r>
      <w:r w:rsidR="004D1FDD">
        <w:rPr>
          <w:rFonts w:cs="Arial"/>
          <w:sz w:val="24"/>
        </w:rPr>
        <w:t xml:space="preserve"> the </w:t>
      </w:r>
      <w:r w:rsidRPr="00CD7EE3">
        <w:rPr>
          <w:rFonts w:cs="Arial"/>
          <w:sz w:val="24"/>
        </w:rPr>
        <w:t xml:space="preserve">Emergency &amp; Urgent Care Division </w:t>
      </w:r>
      <w:r w:rsidR="00210A68">
        <w:rPr>
          <w:rFonts w:cs="Arial"/>
          <w:sz w:val="24"/>
        </w:rPr>
        <w:t xml:space="preserve">are undertaking regular audits of the readmissions to provide assurance that patients are not being readmitted as a result of the Trusts treatment and care.  </w:t>
      </w:r>
    </w:p>
    <w:p w:rsidR="00D1431F" w:rsidRPr="00CD7EE3" w:rsidRDefault="00D1431F" w:rsidP="00D1431F">
      <w:pPr>
        <w:pStyle w:val="Heading3"/>
        <w:rPr>
          <w:sz w:val="24"/>
        </w:rPr>
      </w:pPr>
      <w:bookmarkStart w:id="28" w:name="_Toc381084875"/>
      <w:r w:rsidRPr="00CD7EE3">
        <w:rPr>
          <w:sz w:val="24"/>
        </w:rPr>
        <w:lastRenderedPageBreak/>
        <w:t>3.3.2 Average Length of Stay</w:t>
      </w:r>
      <w:bookmarkEnd w:id="28"/>
    </w:p>
    <w:p w:rsidR="00210A68" w:rsidRPr="00C8003E" w:rsidRDefault="00D1431F" w:rsidP="00D1431F">
      <w:pPr>
        <w:spacing w:before="240"/>
        <w:jc w:val="both"/>
        <w:rPr>
          <w:rFonts w:cs="Arial"/>
          <w:sz w:val="24"/>
        </w:rPr>
      </w:pPr>
      <w:r w:rsidRPr="00C8003E">
        <w:rPr>
          <w:rFonts w:cs="Arial"/>
          <w:sz w:val="24"/>
        </w:rPr>
        <w:t>The average length of stay (ALOS) refers to the average number of days that patients spend in hospital.  The Trust strives to have a length of stay below the Trust target as it demonstrates proactive planning of the whole process of care, as well as active discharge planning.</w:t>
      </w:r>
      <w:r w:rsidR="001C5705" w:rsidRPr="00C8003E">
        <w:rPr>
          <w:rFonts w:cs="Arial"/>
          <w:sz w:val="24"/>
        </w:rPr>
        <w:t xml:space="preserve">  In </w:t>
      </w:r>
      <w:r w:rsidR="006A30AD">
        <w:rPr>
          <w:rFonts w:cs="Arial"/>
          <w:sz w:val="24"/>
        </w:rPr>
        <w:t>September the average LOS increased slightly to</w:t>
      </w:r>
      <w:r w:rsidR="00210A68" w:rsidRPr="00C8003E">
        <w:rPr>
          <w:rFonts w:cs="Arial"/>
          <w:sz w:val="24"/>
        </w:rPr>
        <w:t xml:space="preserve"> to </w:t>
      </w:r>
      <w:r w:rsidR="006A30AD">
        <w:rPr>
          <w:rFonts w:cs="Arial"/>
          <w:sz w:val="24"/>
        </w:rPr>
        <w:t>2.6 days which reflects the higher acuity levels and admissions of patients.</w:t>
      </w:r>
    </w:p>
    <w:p w:rsidR="00DF134A" w:rsidRDefault="00DF134A" w:rsidP="00D1431F">
      <w:pPr>
        <w:pStyle w:val="NoSpacing"/>
        <w:rPr>
          <w:b/>
        </w:rPr>
      </w:pPr>
    </w:p>
    <w:p w:rsidR="00D1431F" w:rsidRPr="00E86C33" w:rsidRDefault="00D1431F" w:rsidP="00D1431F">
      <w:pPr>
        <w:pStyle w:val="NoSpacing"/>
        <w:rPr>
          <w:b/>
        </w:rPr>
      </w:pPr>
      <w:r w:rsidRPr="00E86C33">
        <w:rPr>
          <w:b/>
        </w:rPr>
        <w:t xml:space="preserve">Figure </w:t>
      </w:r>
      <w:r w:rsidR="00B711E1">
        <w:rPr>
          <w:b/>
        </w:rPr>
        <w:t>19</w:t>
      </w:r>
      <w:r w:rsidRPr="00E86C33">
        <w:rPr>
          <w:b/>
        </w:rPr>
        <w:t>:</w:t>
      </w:r>
    </w:p>
    <w:p w:rsidR="00D1431F" w:rsidRDefault="000B4143" w:rsidP="00D1431F">
      <w:pPr>
        <w:spacing w:before="240"/>
        <w:jc w:val="center"/>
        <w:rPr>
          <w:rFonts w:cs="Arial"/>
        </w:rPr>
      </w:pPr>
      <w:r w:rsidRPr="000B4143">
        <w:rPr>
          <w:noProof/>
        </w:rPr>
        <w:drawing>
          <wp:inline distT="0" distB="0" distL="0" distR="0">
            <wp:extent cx="5248275" cy="3743325"/>
            <wp:effectExtent l="19050" t="0" r="9525"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5248275" cy="3743325"/>
                    </a:xfrm>
                    <a:prstGeom prst="rect">
                      <a:avLst/>
                    </a:prstGeom>
                    <a:noFill/>
                    <a:ln w="9525">
                      <a:noFill/>
                      <a:miter lim="800000"/>
                      <a:headEnd/>
                      <a:tailEnd/>
                    </a:ln>
                  </pic:spPr>
                </pic:pic>
              </a:graphicData>
            </a:graphic>
          </wp:inline>
        </w:drawing>
      </w:r>
    </w:p>
    <w:p w:rsidR="00134534" w:rsidRPr="00CD7EE3" w:rsidRDefault="00D1431F" w:rsidP="00A35D63">
      <w:pPr>
        <w:autoSpaceDE w:val="0"/>
        <w:autoSpaceDN w:val="0"/>
        <w:adjustRightInd w:val="0"/>
        <w:spacing w:after="0" w:line="240" w:lineRule="auto"/>
        <w:jc w:val="both"/>
        <w:rPr>
          <w:sz w:val="24"/>
        </w:rPr>
      </w:pPr>
      <w:r w:rsidRPr="004C7386">
        <w:rPr>
          <w:sz w:val="24"/>
        </w:rPr>
        <w:t>The Trust also monitors the percentage of patients with a length of stay (LOS) over 10 days.</w:t>
      </w:r>
      <w:r w:rsidR="00134534" w:rsidRPr="004C7386">
        <w:rPr>
          <w:sz w:val="24"/>
        </w:rPr>
        <w:t xml:space="preserve">  The programme of work to improve </w:t>
      </w:r>
      <w:r w:rsidR="007218B4" w:rsidRPr="004C7386">
        <w:rPr>
          <w:sz w:val="24"/>
        </w:rPr>
        <w:t xml:space="preserve">patient pathways </w:t>
      </w:r>
      <w:r w:rsidR="007218B4" w:rsidRPr="004C7386">
        <w:rPr>
          <w:rFonts w:cs="Arial"/>
          <w:sz w:val="24"/>
        </w:rPr>
        <w:t xml:space="preserve">and the level of care alongside the focus on the Green </w:t>
      </w:r>
      <w:r w:rsidR="004C7386">
        <w:rPr>
          <w:rFonts w:cs="Arial"/>
          <w:sz w:val="24"/>
        </w:rPr>
        <w:t>to Go l</w:t>
      </w:r>
      <w:r w:rsidR="007218B4" w:rsidRPr="004C7386">
        <w:rPr>
          <w:rFonts w:cs="Arial"/>
          <w:sz w:val="24"/>
        </w:rPr>
        <w:t xml:space="preserve">ist has enabled the Trust to </w:t>
      </w:r>
      <w:r w:rsidR="006A30AD">
        <w:rPr>
          <w:rFonts w:cs="Arial"/>
          <w:sz w:val="24"/>
        </w:rPr>
        <w:t xml:space="preserve">work to a </w:t>
      </w:r>
      <w:r w:rsidR="004C7386">
        <w:rPr>
          <w:rFonts w:cs="Arial"/>
          <w:sz w:val="24"/>
        </w:rPr>
        <w:t xml:space="preserve">reduction </w:t>
      </w:r>
      <w:r w:rsidR="006A30AD">
        <w:rPr>
          <w:rFonts w:cs="Arial"/>
          <w:sz w:val="24"/>
        </w:rPr>
        <w:t xml:space="preserve">plan </w:t>
      </w:r>
      <w:r w:rsidR="004C7386">
        <w:rPr>
          <w:rFonts w:cs="Arial"/>
          <w:sz w:val="24"/>
        </w:rPr>
        <w:t xml:space="preserve">in the percentage of patients with a LOS over 10 days.  </w:t>
      </w:r>
    </w:p>
    <w:p w:rsidR="00134534" w:rsidRDefault="00134534" w:rsidP="00A35D63">
      <w:pPr>
        <w:autoSpaceDE w:val="0"/>
        <w:autoSpaceDN w:val="0"/>
        <w:adjustRightInd w:val="0"/>
        <w:spacing w:after="0" w:line="240" w:lineRule="auto"/>
        <w:jc w:val="both"/>
      </w:pPr>
    </w:p>
    <w:p w:rsidR="006A30AD" w:rsidRDefault="006A30AD" w:rsidP="00D1431F">
      <w:pPr>
        <w:pStyle w:val="NoSpacing"/>
        <w:rPr>
          <w:b/>
        </w:rPr>
      </w:pPr>
    </w:p>
    <w:p w:rsidR="006A30AD" w:rsidRDefault="006A30AD" w:rsidP="00D1431F">
      <w:pPr>
        <w:pStyle w:val="NoSpacing"/>
        <w:rPr>
          <w:b/>
        </w:rPr>
      </w:pPr>
    </w:p>
    <w:p w:rsidR="006A30AD" w:rsidRDefault="006A30AD" w:rsidP="00D1431F">
      <w:pPr>
        <w:pStyle w:val="NoSpacing"/>
        <w:rPr>
          <w:b/>
        </w:rPr>
      </w:pPr>
    </w:p>
    <w:p w:rsidR="006A30AD" w:rsidRDefault="006A30AD" w:rsidP="00D1431F">
      <w:pPr>
        <w:pStyle w:val="NoSpacing"/>
        <w:rPr>
          <w:b/>
        </w:rPr>
      </w:pPr>
    </w:p>
    <w:p w:rsidR="00C40868" w:rsidRDefault="00C40868" w:rsidP="00D1431F">
      <w:pPr>
        <w:pStyle w:val="NoSpacing"/>
        <w:rPr>
          <w:b/>
        </w:rPr>
      </w:pPr>
    </w:p>
    <w:p w:rsidR="00D1431F" w:rsidRDefault="00D1431F" w:rsidP="00D1431F">
      <w:pPr>
        <w:pStyle w:val="NoSpacing"/>
        <w:rPr>
          <w:b/>
        </w:rPr>
      </w:pPr>
      <w:r w:rsidRPr="004C7386">
        <w:rPr>
          <w:b/>
        </w:rPr>
        <w:lastRenderedPageBreak/>
        <w:t xml:space="preserve">Figure </w:t>
      </w:r>
      <w:r w:rsidR="006A30AD">
        <w:rPr>
          <w:b/>
        </w:rPr>
        <w:t>20</w:t>
      </w:r>
      <w:r w:rsidRPr="004C7386">
        <w:rPr>
          <w:b/>
        </w:rPr>
        <w:t>:</w:t>
      </w:r>
    </w:p>
    <w:p w:rsidR="00D1431F" w:rsidRDefault="006A30AD" w:rsidP="00D1431F">
      <w:pPr>
        <w:spacing w:before="240" w:after="0"/>
        <w:jc w:val="center"/>
        <w:rPr>
          <w:rFonts w:cs="Arial"/>
        </w:rPr>
      </w:pPr>
      <w:r w:rsidRPr="006A30AD">
        <w:rPr>
          <w:noProof/>
        </w:rPr>
        <w:drawing>
          <wp:inline distT="0" distB="0" distL="0" distR="0">
            <wp:extent cx="5705475" cy="3705225"/>
            <wp:effectExtent l="19050" t="0" r="9525"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5705475" cy="3705225"/>
                    </a:xfrm>
                    <a:prstGeom prst="rect">
                      <a:avLst/>
                    </a:prstGeom>
                    <a:noFill/>
                    <a:ln w="9525">
                      <a:noFill/>
                      <a:miter lim="800000"/>
                      <a:headEnd/>
                      <a:tailEnd/>
                    </a:ln>
                  </pic:spPr>
                </pic:pic>
              </a:graphicData>
            </a:graphic>
          </wp:inline>
        </w:drawing>
      </w:r>
    </w:p>
    <w:p w:rsidR="00DF134A" w:rsidRDefault="00DF134A" w:rsidP="00D1431F">
      <w:pPr>
        <w:spacing w:before="240"/>
        <w:jc w:val="both"/>
        <w:rPr>
          <w:b/>
          <w:sz w:val="24"/>
        </w:rPr>
      </w:pPr>
    </w:p>
    <w:p w:rsidR="00D1431F" w:rsidRPr="004C7386" w:rsidRDefault="00D1431F" w:rsidP="00D1431F">
      <w:pPr>
        <w:spacing w:before="240"/>
        <w:jc w:val="both"/>
        <w:rPr>
          <w:b/>
          <w:sz w:val="24"/>
        </w:rPr>
      </w:pPr>
      <w:r w:rsidRPr="004C7386">
        <w:rPr>
          <w:b/>
          <w:sz w:val="24"/>
        </w:rPr>
        <w:t>Trust Action:</w:t>
      </w:r>
    </w:p>
    <w:p w:rsidR="00392C94" w:rsidRDefault="004C7386" w:rsidP="00573FC5">
      <w:pPr>
        <w:jc w:val="both"/>
        <w:rPr>
          <w:sz w:val="24"/>
        </w:rPr>
      </w:pPr>
      <w:r>
        <w:rPr>
          <w:sz w:val="24"/>
        </w:rPr>
        <w:t xml:space="preserve">In addition to the work streams already underway as </w:t>
      </w:r>
      <w:r w:rsidR="00810573">
        <w:rPr>
          <w:sz w:val="24"/>
        </w:rPr>
        <w:t>part of the Trusts business plan, the operational teams are focussing on optimising the ward board rounds</w:t>
      </w:r>
      <w:r w:rsidR="003735AB">
        <w:rPr>
          <w:sz w:val="24"/>
        </w:rPr>
        <w:t xml:space="preserve">.  A ward board round takes place twice during the day and is where the multi-disciplinary clinical teams review each of the patient in detail using the rounding tool.  This will ensure that throughout the patients stay all necessary actions are undertaken on time and in line with the clinical </w:t>
      </w:r>
      <w:r w:rsidR="00C262D2">
        <w:rPr>
          <w:sz w:val="24"/>
        </w:rPr>
        <w:t xml:space="preserve">pathway for the patient.  </w:t>
      </w:r>
      <w:r w:rsidR="00392C94">
        <w:rPr>
          <w:sz w:val="24"/>
        </w:rPr>
        <w:t>Each ward has also been allocated a senior manager</w:t>
      </w:r>
      <w:r w:rsidR="00392C94" w:rsidRPr="00C262D2">
        <w:rPr>
          <w:sz w:val="24"/>
        </w:rPr>
        <w:t xml:space="preserve"> </w:t>
      </w:r>
      <w:r w:rsidR="00392C94">
        <w:rPr>
          <w:sz w:val="24"/>
        </w:rPr>
        <w:t>t</w:t>
      </w:r>
      <w:r w:rsidR="00C262D2">
        <w:rPr>
          <w:sz w:val="24"/>
        </w:rPr>
        <w:t xml:space="preserve">o support the teams to deliver </w:t>
      </w:r>
      <w:r w:rsidR="00392C94">
        <w:rPr>
          <w:sz w:val="24"/>
        </w:rPr>
        <w:t>and unblock any difficulties that arise.</w:t>
      </w:r>
    </w:p>
    <w:p w:rsidR="003735AB" w:rsidRDefault="00392C94">
      <w:pPr>
        <w:rPr>
          <w:sz w:val="24"/>
        </w:rPr>
      </w:pPr>
      <w:r>
        <w:rPr>
          <w:sz w:val="24"/>
        </w:rPr>
        <w:t xml:space="preserve">    </w:t>
      </w:r>
    </w:p>
    <w:p w:rsidR="00CD7EE3" w:rsidRDefault="00CD7EE3">
      <w:pPr>
        <w:rPr>
          <w:rFonts w:asciiTheme="majorHAnsi" w:eastAsiaTheme="majorEastAsia" w:hAnsiTheme="majorHAnsi" w:cstheme="majorBidi"/>
          <w:b/>
          <w:bCs/>
          <w:color w:val="2DA2BF" w:themeColor="accent1"/>
          <w:sz w:val="26"/>
          <w:szCs w:val="26"/>
        </w:rPr>
      </w:pPr>
      <w:r>
        <w:br w:type="page"/>
      </w:r>
    </w:p>
    <w:p w:rsidR="00D1431F" w:rsidRPr="0059407D" w:rsidRDefault="00D1431F" w:rsidP="00D1431F">
      <w:pPr>
        <w:pStyle w:val="Heading2"/>
      </w:pPr>
      <w:r>
        <w:lastRenderedPageBreak/>
        <w:t>3.4 Clinical Pathways</w:t>
      </w:r>
    </w:p>
    <w:p w:rsidR="00D1431F" w:rsidRPr="00CD7EE3" w:rsidRDefault="00D1431F" w:rsidP="00D1431F">
      <w:pPr>
        <w:spacing w:before="240" w:after="0"/>
        <w:jc w:val="both"/>
        <w:rPr>
          <w:rFonts w:cs="Arial"/>
          <w:i/>
          <w:sz w:val="24"/>
        </w:rPr>
      </w:pPr>
      <w:r w:rsidRPr="00CD7EE3">
        <w:rPr>
          <w:rFonts w:cs="Arial"/>
          <w:i/>
          <w:sz w:val="24"/>
        </w:rPr>
        <w:t>This section sets out performance indicators related to key clinical pathways, including cancer</w:t>
      </w:r>
      <w:r w:rsidR="002940E0">
        <w:rPr>
          <w:rFonts w:cs="Arial"/>
          <w:i/>
          <w:sz w:val="24"/>
        </w:rPr>
        <w:t xml:space="preserve"> and stroke.  </w:t>
      </w:r>
    </w:p>
    <w:p w:rsidR="00D1431F" w:rsidRPr="00CF50D5" w:rsidRDefault="00D1431F" w:rsidP="00D1431F">
      <w:pPr>
        <w:pStyle w:val="Heading2"/>
        <w:contextualSpacing/>
        <w:rPr>
          <w:rFonts w:cs="Arial"/>
          <w:i/>
          <w:sz w:val="16"/>
          <w:szCs w:val="22"/>
        </w:rPr>
      </w:pPr>
      <w:bookmarkStart w:id="29" w:name="_Toc381084877"/>
      <w:r w:rsidRPr="00CD7EE3">
        <w:rPr>
          <w:sz w:val="24"/>
          <w:szCs w:val="22"/>
        </w:rPr>
        <w:t>3.4.1 Cancer Services</w:t>
      </w:r>
      <w:bookmarkEnd w:id="29"/>
    </w:p>
    <w:p w:rsidR="00D1431F" w:rsidRPr="00CD7EE3" w:rsidRDefault="00D1431F" w:rsidP="00392C94">
      <w:pPr>
        <w:spacing w:before="240" w:after="0"/>
        <w:jc w:val="both"/>
        <w:rPr>
          <w:rFonts w:cstheme="minorHAnsi"/>
          <w:sz w:val="24"/>
        </w:rPr>
      </w:pPr>
      <w:r w:rsidRPr="00392C94">
        <w:rPr>
          <w:rFonts w:cstheme="minorHAnsi"/>
          <w:sz w:val="24"/>
        </w:rPr>
        <w:t xml:space="preserve">The Trust strives to achieve the national cancer waiting times as they are important to patients clinical outcomes, are a measure of how the Trust is responding to demands for services, and highlights where there are delays in the system.  </w:t>
      </w:r>
      <w:r w:rsidR="00172B81" w:rsidRPr="00392C94">
        <w:rPr>
          <w:rFonts w:cstheme="minorHAnsi"/>
          <w:sz w:val="24"/>
        </w:rPr>
        <w:t xml:space="preserve">In </w:t>
      </w:r>
      <w:r w:rsidR="00FD19A7">
        <w:rPr>
          <w:rFonts w:cstheme="minorHAnsi"/>
          <w:sz w:val="24"/>
        </w:rPr>
        <w:t>August</w:t>
      </w:r>
      <w:r w:rsidR="00172B81" w:rsidRPr="00392C94">
        <w:rPr>
          <w:rFonts w:cstheme="minorHAnsi"/>
          <w:sz w:val="24"/>
        </w:rPr>
        <w:t xml:space="preserve"> the Trust </w:t>
      </w:r>
      <w:r w:rsidR="00FD19A7">
        <w:rPr>
          <w:rFonts w:cstheme="minorHAnsi"/>
          <w:sz w:val="24"/>
        </w:rPr>
        <w:t xml:space="preserve">achieved </w:t>
      </w:r>
      <w:r w:rsidR="00621D87">
        <w:rPr>
          <w:rFonts w:cstheme="minorHAnsi"/>
          <w:sz w:val="24"/>
        </w:rPr>
        <w:t>seven</w:t>
      </w:r>
      <w:r w:rsidR="00FD19A7">
        <w:rPr>
          <w:rFonts w:cstheme="minorHAnsi"/>
          <w:sz w:val="24"/>
        </w:rPr>
        <w:t xml:space="preserve"> of the eight</w:t>
      </w:r>
      <w:r w:rsidR="00F07093">
        <w:rPr>
          <w:rFonts w:cstheme="minorHAnsi"/>
          <w:sz w:val="24"/>
        </w:rPr>
        <w:t xml:space="preserve"> national cancer targets.  </w:t>
      </w:r>
    </w:p>
    <w:p w:rsidR="00D1431F" w:rsidRPr="00DE5528" w:rsidRDefault="006D207F" w:rsidP="00D1431F">
      <w:pPr>
        <w:pStyle w:val="Heading4"/>
        <w:spacing w:before="240"/>
        <w:jc w:val="both"/>
        <w:rPr>
          <w:rFonts w:asciiTheme="minorHAnsi" w:hAnsiTheme="minorHAnsi" w:cs="Arial"/>
          <w:i w:val="0"/>
          <w:sz w:val="22"/>
          <w:szCs w:val="22"/>
        </w:rPr>
      </w:pPr>
      <w:r w:rsidRPr="00DE5528">
        <w:rPr>
          <w:rFonts w:asciiTheme="minorHAnsi" w:hAnsiTheme="minorHAnsi" w:cs="Arial"/>
          <w:i w:val="0"/>
          <w:szCs w:val="22"/>
        </w:rPr>
        <w:t>3.4.2</w:t>
      </w:r>
      <w:r w:rsidR="00D1431F" w:rsidRPr="00DE5528">
        <w:rPr>
          <w:rFonts w:asciiTheme="minorHAnsi" w:hAnsiTheme="minorHAnsi" w:cs="Arial"/>
          <w:i w:val="0"/>
          <w:szCs w:val="22"/>
        </w:rPr>
        <w:t xml:space="preserve"> Cancer Two Week Wait</w:t>
      </w:r>
    </w:p>
    <w:p w:rsidR="003274E8" w:rsidRPr="003274E8" w:rsidRDefault="00D1431F" w:rsidP="003274E8">
      <w:pPr>
        <w:spacing w:before="240" w:after="0"/>
        <w:jc w:val="both"/>
        <w:rPr>
          <w:rFonts w:cs="Arial"/>
          <w:sz w:val="24"/>
        </w:rPr>
      </w:pPr>
      <w:r w:rsidRPr="00F07093">
        <w:rPr>
          <w:rFonts w:cs="Arial"/>
          <w:sz w:val="24"/>
        </w:rPr>
        <w:t xml:space="preserve">The two week wait target was achieved in </w:t>
      </w:r>
      <w:r w:rsidR="00F07093" w:rsidRPr="00F07093">
        <w:rPr>
          <w:rFonts w:cs="Arial"/>
          <w:sz w:val="24"/>
        </w:rPr>
        <w:t>b</w:t>
      </w:r>
      <w:r w:rsidR="00FD19A7">
        <w:rPr>
          <w:rFonts w:cs="Arial"/>
          <w:sz w:val="24"/>
        </w:rPr>
        <w:t>oth July and August</w:t>
      </w:r>
      <w:r w:rsidR="00F07093">
        <w:rPr>
          <w:rFonts w:cs="Arial"/>
          <w:sz w:val="24"/>
        </w:rPr>
        <w:t xml:space="preserve"> with a score of </w:t>
      </w:r>
      <w:r w:rsidR="00FD19A7">
        <w:rPr>
          <w:rFonts w:cs="Arial"/>
          <w:sz w:val="24"/>
        </w:rPr>
        <w:t>99.2% and 97.4</w:t>
      </w:r>
      <w:r w:rsidR="003274E8">
        <w:rPr>
          <w:rFonts w:cs="Arial"/>
          <w:sz w:val="24"/>
        </w:rPr>
        <w:t xml:space="preserve">% respectively.  </w:t>
      </w:r>
      <w:r w:rsidR="004558FA">
        <w:rPr>
          <w:rFonts w:cs="Arial"/>
          <w:sz w:val="24"/>
        </w:rPr>
        <w:t>This was matched by the Breast Symptomatic two week wait target</w:t>
      </w:r>
      <w:r w:rsidR="00600906">
        <w:rPr>
          <w:rFonts w:cs="Arial"/>
          <w:sz w:val="24"/>
        </w:rPr>
        <w:t>, which also achieved above 93%</w:t>
      </w:r>
      <w:r w:rsidR="004558FA">
        <w:rPr>
          <w:rFonts w:cs="Arial"/>
          <w:sz w:val="24"/>
        </w:rPr>
        <w:t xml:space="preserve"> for July and August and is on track to meet the quarterly </w:t>
      </w:r>
      <w:r w:rsidR="003274E8" w:rsidRPr="003274E8">
        <w:rPr>
          <w:rFonts w:cs="Arial"/>
          <w:sz w:val="24"/>
        </w:rPr>
        <w:t xml:space="preserve"> </w:t>
      </w:r>
      <w:r w:rsidR="00600906">
        <w:rPr>
          <w:rFonts w:cs="Arial"/>
          <w:sz w:val="24"/>
        </w:rPr>
        <w:t>target.</w:t>
      </w:r>
      <w:r w:rsidR="003274E8" w:rsidRPr="003274E8">
        <w:rPr>
          <w:rFonts w:cs="Arial"/>
          <w:sz w:val="24"/>
        </w:rPr>
        <w:t xml:space="preserve">   </w:t>
      </w:r>
    </w:p>
    <w:p w:rsidR="00D1431F" w:rsidRPr="00DE5528" w:rsidRDefault="006D207F" w:rsidP="00D1431F">
      <w:pPr>
        <w:pStyle w:val="Heading4"/>
        <w:spacing w:before="240"/>
        <w:jc w:val="both"/>
        <w:rPr>
          <w:rFonts w:asciiTheme="minorHAnsi" w:hAnsiTheme="minorHAnsi" w:cs="Arial"/>
          <w:i w:val="0"/>
          <w:szCs w:val="22"/>
        </w:rPr>
      </w:pPr>
      <w:r w:rsidRPr="00DE5528">
        <w:rPr>
          <w:rFonts w:asciiTheme="minorHAnsi" w:hAnsiTheme="minorHAnsi" w:cs="Arial"/>
          <w:i w:val="0"/>
          <w:szCs w:val="22"/>
        </w:rPr>
        <w:t xml:space="preserve">3.4.3 </w:t>
      </w:r>
      <w:r w:rsidR="00D1431F" w:rsidRPr="00DE5528">
        <w:rPr>
          <w:rFonts w:asciiTheme="minorHAnsi" w:hAnsiTheme="minorHAnsi" w:cs="Arial"/>
          <w:i w:val="0"/>
          <w:szCs w:val="22"/>
        </w:rPr>
        <w:t xml:space="preserve"> Day Target</w:t>
      </w:r>
    </w:p>
    <w:p w:rsidR="00D1431F" w:rsidRPr="003274E8" w:rsidRDefault="00D1431F" w:rsidP="00D1431F">
      <w:pPr>
        <w:spacing w:before="240" w:after="0"/>
        <w:jc w:val="both"/>
        <w:rPr>
          <w:rFonts w:cs="Arial"/>
          <w:sz w:val="24"/>
        </w:rPr>
      </w:pPr>
      <w:r w:rsidRPr="003274E8">
        <w:rPr>
          <w:rFonts w:cs="Arial"/>
          <w:sz w:val="24"/>
        </w:rPr>
        <w:t xml:space="preserve">The Trust achieved all three of the 31 day targets in </w:t>
      </w:r>
      <w:r w:rsidR="00DE5528">
        <w:rPr>
          <w:rFonts w:cs="Arial"/>
          <w:sz w:val="24"/>
        </w:rPr>
        <w:t>July and August</w:t>
      </w:r>
      <w:r w:rsidR="003274E8" w:rsidRPr="003274E8">
        <w:rPr>
          <w:rFonts w:cs="Arial"/>
          <w:sz w:val="24"/>
        </w:rPr>
        <w:t xml:space="preserve"> and </w:t>
      </w:r>
      <w:r w:rsidR="00DE5528">
        <w:rPr>
          <w:rFonts w:cs="Arial"/>
          <w:sz w:val="24"/>
        </w:rPr>
        <w:t>is on track for for Quarter Two</w:t>
      </w:r>
      <w:r w:rsidR="003274E8" w:rsidRPr="003274E8">
        <w:rPr>
          <w:rFonts w:cs="Arial"/>
          <w:sz w:val="24"/>
        </w:rPr>
        <w:t xml:space="preserve"> dem</w:t>
      </w:r>
      <w:r w:rsidRPr="003274E8">
        <w:rPr>
          <w:rFonts w:cs="Arial"/>
          <w:sz w:val="24"/>
        </w:rPr>
        <w:t>onstrating the Trusts ability to effectively treat patients</w:t>
      </w:r>
      <w:r w:rsidR="00CA5D26" w:rsidRPr="003274E8">
        <w:rPr>
          <w:rFonts w:cs="Arial"/>
          <w:sz w:val="24"/>
        </w:rPr>
        <w:t xml:space="preserve"> once diagnosed with cancer</w:t>
      </w:r>
      <w:r w:rsidRPr="003274E8">
        <w:rPr>
          <w:rFonts w:cs="Arial"/>
          <w:sz w:val="24"/>
        </w:rPr>
        <w:t xml:space="preserve">.     </w:t>
      </w:r>
    </w:p>
    <w:p w:rsidR="00D1431F" w:rsidRPr="00DE5528" w:rsidRDefault="006D207F" w:rsidP="00D1431F">
      <w:pPr>
        <w:pStyle w:val="NormalWeb"/>
        <w:spacing w:before="240" w:beforeAutospacing="0" w:after="0" w:afterAutospacing="0"/>
        <w:jc w:val="both"/>
        <w:rPr>
          <w:rFonts w:asciiTheme="minorHAnsi" w:hAnsiTheme="minorHAnsi" w:cs="Arial"/>
          <w:b/>
          <w:i/>
          <w:szCs w:val="22"/>
        </w:rPr>
      </w:pPr>
      <w:r w:rsidRPr="00DE5528">
        <w:rPr>
          <w:rStyle w:val="Heading4Char"/>
          <w:rFonts w:asciiTheme="minorHAnsi" w:hAnsiTheme="minorHAnsi" w:cs="Arial"/>
          <w:i w:val="0"/>
          <w:szCs w:val="22"/>
        </w:rPr>
        <w:t xml:space="preserve">3.4.4 </w:t>
      </w:r>
      <w:r w:rsidR="00D1431F" w:rsidRPr="00DE5528">
        <w:rPr>
          <w:rStyle w:val="Heading4Char"/>
          <w:rFonts w:asciiTheme="minorHAnsi" w:hAnsiTheme="minorHAnsi" w:cs="Arial"/>
          <w:i w:val="0"/>
          <w:szCs w:val="22"/>
        </w:rPr>
        <w:t xml:space="preserve"> Day Target</w:t>
      </w:r>
      <w:r w:rsidR="00D1431F" w:rsidRPr="00DE5528">
        <w:rPr>
          <w:rFonts w:asciiTheme="minorHAnsi" w:hAnsiTheme="minorHAnsi" w:cs="Arial"/>
          <w:b/>
          <w:i/>
          <w:szCs w:val="22"/>
        </w:rPr>
        <w:t xml:space="preserve"> </w:t>
      </w:r>
    </w:p>
    <w:p w:rsidR="005F0F7F" w:rsidRDefault="003274E8" w:rsidP="00D1431F">
      <w:pPr>
        <w:spacing w:before="240" w:after="0"/>
        <w:jc w:val="both"/>
        <w:rPr>
          <w:rFonts w:cs="Arial"/>
          <w:sz w:val="24"/>
        </w:rPr>
      </w:pPr>
      <w:r w:rsidRPr="007332DC">
        <w:rPr>
          <w:rFonts w:cs="Arial"/>
          <w:sz w:val="24"/>
        </w:rPr>
        <w:t xml:space="preserve">The Trust </w:t>
      </w:r>
      <w:r w:rsidR="005F0F7F">
        <w:rPr>
          <w:rFonts w:cs="Arial"/>
          <w:sz w:val="24"/>
        </w:rPr>
        <w:t>did not achieve</w:t>
      </w:r>
      <w:r w:rsidRPr="007332DC">
        <w:rPr>
          <w:rFonts w:cs="Arial"/>
          <w:sz w:val="24"/>
        </w:rPr>
        <w:t xml:space="preserve"> the </w:t>
      </w:r>
      <w:r w:rsidR="007332DC" w:rsidRPr="007332DC">
        <w:rPr>
          <w:rFonts w:cs="Arial"/>
          <w:sz w:val="24"/>
        </w:rPr>
        <w:t>62 days standard</w:t>
      </w:r>
      <w:r w:rsidR="005F0F7F">
        <w:rPr>
          <w:rFonts w:cs="Arial"/>
          <w:sz w:val="24"/>
        </w:rPr>
        <w:t xml:space="preserve"> for July but did meet the target in August, </w:t>
      </w:r>
      <w:r w:rsidR="007332DC" w:rsidRPr="007332DC">
        <w:rPr>
          <w:rFonts w:cs="Arial"/>
          <w:sz w:val="24"/>
        </w:rPr>
        <w:t xml:space="preserve">which is a significant improvement for the Trust.  </w:t>
      </w:r>
      <w:r w:rsidR="005F0F7F">
        <w:rPr>
          <w:rFonts w:cs="Arial"/>
          <w:sz w:val="24"/>
        </w:rPr>
        <w:t>The Trust met the 62 Day Upgrade standard in July, but not in August.</w:t>
      </w:r>
      <w:r w:rsidR="007332DC">
        <w:rPr>
          <w:rFonts w:cs="Arial"/>
          <w:sz w:val="24"/>
        </w:rPr>
        <w:t xml:space="preserve"> </w:t>
      </w:r>
    </w:p>
    <w:p w:rsidR="00D1431F" w:rsidRPr="005F0F7F" w:rsidRDefault="00D1431F" w:rsidP="00D1431F">
      <w:pPr>
        <w:spacing w:before="240" w:after="0"/>
        <w:jc w:val="both"/>
        <w:rPr>
          <w:rFonts w:cs="Arial"/>
          <w:sz w:val="24"/>
        </w:rPr>
      </w:pPr>
      <w:r w:rsidRPr="007332DC">
        <w:rPr>
          <w:b/>
          <w:sz w:val="24"/>
        </w:rPr>
        <w:t>Trust Action:</w:t>
      </w:r>
    </w:p>
    <w:p w:rsidR="00CA5D26" w:rsidRPr="007332DC" w:rsidRDefault="00CA5D26" w:rsidP="00CA5D26">
      <w:pPr>
        <w:spacing w:before="240" w:after="0"/>
        <w:jc w:val="both"/>
        <w:rPr>
          <w:rFonts w:cs="Arial"/>
          <w:sz w:val="24"/>
        </w:rPr>
      </w:pPr>
      <w:bookmarkStart w:id="30" w:name="_Toc381084878"/>
      <w:r w:rsidRPr="007332DC">
        <w:rPr>
          <w:rFonts w:cs="Arial"/>
          <w:sz w:val="24"/>
        </w:rPr>
        <w:t>Daily monitoring of performance by the MDT Coordinator and cancer team leader.</w:t>
      </w:r>
    </w:p>
    <w:p w:rsidR="00CA5D26" w:rsidRPr="00CD7EE3" w:rsidRDefault="00CA5D26" w:rsidP="00CA5D26">
      <w:pPr>
        <w:spacing w:before="240" w:after="0"/>
        <w:jc w:val="both"/>
        <w:rPr>
          <w:rFonts w:cs="Arial"/>
          <w:sz w:val="24"/>
        </w:rPr>
      </w:pPr>
      <w:r w:rsidRPr="007332DC">
        <w:rPr>
          <w:rFonts w:cs="Arial"/>
          <w:sz w:val="24"/>
        </w:rPr>
        <w:t>Weekly monitoring at the Waiting List Forward Planning meeting.</w:t>
      </w:r>
      <w:r w:rsidRPr="00CD7EE3">
        <w:rPr>
          <w:rFonts w:cs="Arial"/>
          <w:sz w:val="24"/>
        </w:rPr>
        <w:t xml:space="preserve">  </w:t>
      </w:r>
    </w:p>
    <w:p w:rsidR="00CA5D26" w:rsidRPr="00CD7EE3" w:rsidRDefault="00CA5D26">
      <w:pPr>
        <w:rPr>
          <w:rFonts w:asciiTheme="majorHAnsi" w:eastAsiaTheme="majorEastAsia" w:hAnsiTheme="majorHAnsi" w:cstheme="majorBidi"/>
          <w:b/>
          <w:bCs/>
          <w:color w:val="2DA2BF" w:themeColor="accent1"/>
          <w:sz w:val="24"/>
        </w:rPr>
      </w:pPr>
      <w:r w:rsidRPr="00CD7EE3">
        <w:rPr>
          <w:sz w:val="24"/>
        </w:rPr>
        <w:br w:type="page"/>
      </w:r>
    </w:p>
    <w:p w:rsidR="00D1431F" w:rsidRPr="00CD7EE3" w:rsidRDefault="006D207F" w:rsidP="00D1431F">
      <w:pPr>
        <w:pStyle w:val="Heading2"/>
        <w:rPr>
          <w:sz w:val="24"/>
          <w:szCs w:val="22"/>
        </w:rPr>
      </w:pPr>
      <w:r>
        <w:rPr>
          <w:sz w:val="24"/>
          <w:szCs w:val="22"/>
        </w:rPr>
        <w:lastRenderedPageBreak/>
        <w:t>3.4.5</w:t>
      </w:r>
      <w:r w:rsidR="00D1431F" w:rsidRPr="00CD7EE3">
        <w:rPr>
          <w:sz w:val="24"/>
          <w:szCs w:val="22"/>
        </w:rPr>
        <w:t xml:space="preserve"> Stroke</w:t>
      </w:r>
      <w:bookmarkEnd w:id="30"/>
    </w:p>
    <w:p w:rsidR="00AC3C60" w:rsidRDefault="00F82861" w:rsidP="00262253">
      <w:pPr>
        <w:pStyle w:val="NoSpacing"/>
        <w:jc w:val="both"/>
        <w:rPr>
          <w:rFonts w:cs="Arial"/>
        </w:rPr>
      </w:pPr>
      <w:r>
        <w:rPr>
          <w:rFonts w:cs="Arial"/>
        </w:rPr>
        <w:t xml:space="preserve">Whilst the Trust achieved </w:t>
      </w:r>
      <w:r w:rsidRPr="002641D2">
        <w:rPr>
          <w:rFonts w:cs="Arial"/>
        </w:rPr>
        <w:t xml:space="preserve">the stroke target of patients diagnosed with a stroke spending 90% of their time on the Stroke Unit for 80% of patients </w:t>
      </w:r>
      <w:r>
        <w:rPr>
          <w:rFonts w:cs="Arial"/>
        </w:rPr>
        <w:t xml:space="preserve">in quarter one, unfortunately as a result of the pressure on patient flow in </w:t>
      </w:r>
      <w:r w:rsidR="00AC3C60">
        <w:rPr>
          <w:rFonts w:cs="Arial"/>
        </w:rPr>
        <w:t>July the Trust did not achiev</w:t>
      </w:r>
      <w:r w:rsidR="00A06E88">
        <w:rPr>
          <w:rFonts w:cs="Arial"/>
        </w:rPr>
        <w:t>e the target with a score of 75%</w:t>
      </w:r>
      <w:r w:rsidR="00262253" w:rsidRPr="002641D2">
        <w:rPr>
          <w:rFonts w:cs="Arial"/>
        </w:rPr>
        <w:t xml:space="preserve">.  </w:t>
      </w:r>
      <w:r w:rsidR="00621D87">
        <w:rPr>
          <w:rFonts w:cs="Arial"/>
        </w:rPr>
        <w:t>With improved focus on this requirement on a daily basis from the operational teams,</w:t>
      </w:r>
      <w:r w:rsidR="00A06E88">
        <w:rPr>
          <w:rFonts w:cs="Arial"/>
        </w:rPr>
        <w:t xml:space="preserve"> the Trust improved </w:t>
      </w:r>
      <w:r w:rsidR="00621D87">
        <w:rPr>
          <w:rFonts w:cs="Arial"/>
        </w:rPr>
        <w:t xml:space="preserve">significantly </w:t>
      </w:r>
      <w:r w:rsidR="00A06E88">
        <w:rPr>
          <w:rFonts w:cs="Arial"/>
        </w:rPr>
        <w:t>throughout August and September and achieved scores of 90.9% and 95.8% respectively (</w:t>
      </w:r>
      <w:r w:rsidR="00A06E88">
        <w:rPr>
          <w:rFonts w:cs="Arial"/>
          <w:i/>
        </w:rPr>
        <w:t>F</w:t>
      </w:r>
      <w:r w:rsidR="00A06E88" w:rsidRPr="00A06E88">
        <w:rPr>
          <w:rFonts w:cs="Arial"/>
          <w:i/>
        </w:rPr>
        <w:t>igure 21</w:t>
      </w:r>
      <w:r w:rsidR="00A06E88">
        <w:rPr>
          <w:rFonts w:cs="Arial"/>
        </w:rPr>
        <w:t>).  This is a demonstration of the hard work staff put in to maintain flow and bedding patients in the right place.</w:t>
      </w:r>
    </w:p>
    <w:p w:rsidR="00AC3C60" w:rsidRDefault="00AC3C60" w:rsidP="00D1431F">
      <w:pPr>
        <w:pStyle w:val="NoSpacing"/>
        <w:jc w:val="both"/>
        <w:rPr>
          <w:rFonts w:cs="Arial"/>
        </w:rPr>
      </w:pPr>
    </w:p>
    <w:p w:rsidR="00D1431F" w:rsidRPr="000A51CA" w:rsidRDefault="00D1431F" w:rsidP="00D1431F">
      <w:pPr>
        <w:pStyle w:val="NoSpacing"/>
        <w:jc w:val="both"/>
        <w:rPr>
          <w:rFonts w:cs="Arial"/>
          <w:b/>
        </w:rPr>
      </w:pPr>
      <w:r w:rsidRPr="000A51CA">
        <w:rPr>
          <w:rFonts w:cs="Arial"/>
          <w:b/>
        </w:rPr>
        <w:t xml:space="preserve">Figure </w:t>
      </w:r>
      <w:r w:rsidR="00A06E88">
        <w:rPr>
          <w:rFonts w:cs="Arial"/>
          <w:b/>
        </w:rPr>
        <w:t>21</w:t>
      </w:r>
      <w:r w:rsidRPr="000A51CA">
        <w:rPr>
          <w:rFonts w:cs="Arial"/>
          <w:b/>
        </w:rPr>
        <w:t>:</w:t>
      </w:r>
    </w:p>
    <w:p w:rsidR="00D1431F" w:rsidRDefault="00D1431F" w:rsidP="00D1431F">
      <w:pPr>
        <w:pStyle w:val="NoSpacing"/>
        <w:jc w:val="both"/>
        <w:rPr>
          <w:rFonts w:cs="Arial"/>
          <w:sz w:val="20"/>
        </w:rPr>
      </w:pPr>
    </w:p>
    <w:p w:rsidR="00D1431F" w:rsidRDefault="00A06E88" w:rsidP="00D1431F">
      <w:pPr>
        <w:jc w:val="center"/>
      </w:pPr>
      <w:r w:rsidRPr="00A06E88">
        <w:rPr>
          <w:noProof/>
        </w:rPr>
        <w:drawing>
          <wp:inline distT="0" distB="0" distL="0" distR="0">
            <wp:extent cx="6645910" cy="3538408"/>
            <wp:effectExtent l="1905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srcRect/>
                    <a:stretch>
                      <a:fillRect/>
                    </a:stretch>
                  </pic:blipFill>
                  <pic:spPr bwMode="auto">
                    <a:xfrm>
                      <a:off x="0" y="0"/>
                      <a:ext cx="6645910" cy="3538408"/>
                    </a:xfrm>
                    <a:prstGeom prst="rect">
                      <a:avLst/>
                    </a:prstGeom>
                    <a:noFill/>
                    <a:ln w="9525">
                      <a:noFill/>
                      <a:miter lim="800000"/>
                      <a:headEnd/>
                      <a:tailEnd/>
                    </a:ln>
                  </pic:spPr>
                </pic:pic>
              </a:graphicData>
            </a:graphic>
          </wp:inline>
        </w:drawing>
      </w:r>
    </w:p>
    <w:p w:rsidR="00D1431F" w:rsidRPr="00CD7EE3" w:rsidRDefault="00D1431F" w:rsidP="00D1431F">
      <w:pPr>
        <w:spacing w:before="240"/>
        <w:jc w:val="both"/>
        <w:rPr>
          <w:b/>
          <w:sz w:val="24"/>
        </w:rPr>
      </w:pPr>
      <w:r w:rsidRPr="00CD7EE3">
        <w:rPr>
          <w:b/>
          <w:sz w:val="24"/>
        </w:rPr>
        <w:t>Trust Action:</w:t>
      </w:r>
    </w:p>
    <w:p w:rsidR="00AC3C60" w:rsidRPr="00ED4EFE" w:rsidRDefault="00AC3C60" w:rsidP="00AC3C60">
      <w:pPr>
        <w:rPr>
          <w:sz w:val="24"/>
        </w:rPr>
        <w:sectPr w:rsidR="00AC3C60" w:rsidRPr="00ED4EFE" w:rsidSect="00265B12">
          <w:pgSz w:w="11906" w:h="16838"/>
          <w:pgMar w:top="720" w:right="720" w:bottom="720" w:left="720" w:header="708" w:footer="708" w:gutter="0"/>
          <w:cols w:space="708"/>
          <w:docGrid w:linePitch="360"/>
        </w:sectPr>
      </w:pPr>
      <w:r>
        <w:rPr>
          <w:sz w:val="24"/>
        </w:rPr>
        <w:t>The patient flow team have been instructed to create and keep a stroke hot bed for both sex’s available at all times</w:t>
      </w:r>
      <w:r w:rsidR="00ED4EFE">
        <w:rPr>
          <w:sz w:val="24"/>
        </w:rPr>
        <w:t>.  This will ensure that patients diagnosed with a Stroke or TIA in the Emergency Department can be transferred straight to the unit to sta</w:t>
      </w:r>
      <w:r w:rsidR="004F5281">
        <w:rPr>
          <w:sz w:val="24"/>
        </w:rPr>
        <w:t xml:space="preserve">rt their care and treatment.   </w:t>
      </w:r>
    </w:p>
    <w:p w:rsidR="00D1431F" w:rsidRDefault="00D1431F" w:rsidP="00D1431F">
      <w:pPr>
        <w:pStyle w:val="Heading2"/>
        <w:rPr>
          <w:noProof/>
        </w:rPr>
      </w:pPr>
      <w:bookmarkStart w:id="31" w:name="_Toc381084879"/>
      <w:r w:rsidRPr="00376585">
        <w:lastRenderedPageBreak/>
        <w:t>3.5 Emergency Acces</w:t>
      </w:r>
      <w:bookmarkEnd w:id="31"/>
      <w:r w:rsidR="004F5281">
        <w:t>s</w:t>
      </w:r>
    </w:p>
    <w:p w:rsidR="00D1431F" w:rsidRDefault="00D50643" w:rsidP="00D1431F">
      <w:pPr>
        <w:jc w:val="center"/>
      </w:pPr>
      <w:r w:rsidRPr="00D50643">
        <w:rPr>
          <w:noProof/>
        </w:rPr>
        <w:drawing>
          <wp:inline distT="0" distB="0" distL="0" distR="0">
            <wp:extent cx="8667750" cy="5491988"/>
            <wp:effectExtent l="19050" t="0" r="0" b="0"/>
            <wp:docPr id="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a:stretch>
                      <a:fillRect/>
                    </a:stretch>
                  </pic:blipFill>
                  <pic:spPr bwMode="auto">
                    <a:xfrm>
                      <a:off x="0" y="0"/>
                      <a:ext cx="8667750" cy="5491988"/>
                    </a:xfrm>
                    <a:prstGeom prst="rect">
                      <a:avLst/>
                    </a:prstGeom>
                    <a:noFill/>
                    <a:ln w="9525">
                      <a:noFill/>
                      <a:miter lim="800000"/>
                      <a:headEnd/>
                      <a:tailEnd/>
                    </a:ln>
                  </pic:spPr>
                </pic:pic>
              </a:graphicData>
            </a:graphic>
          </wp:inline>
        </w:drawing>
      </w:r>
    </w:p>
    <w:p w:rsidR="00461ED6" w:rsidRPr="003C0979" w:rsidRDefault="0082543F" w:rsidP="00D1431F">
      <w:pPr>
        <w:jc w:val="center"/>
        <w:sectPr w:rsidR="00461ED6" w:rsidRPr="003C0979" w:rsidSect="00DC2362">
          <w:pgSz w:w="16838" w:h="11906" w:orient="landscape"/>
          <w:pgMar w:top="720" w:right="720" w:bottom="720" w:left="720" w:header="708" w:footer="708" w:gutter="0"/>
          <w:cols w:space="708"/>
          <w:docGrid w:linePitch="360"/>
        </w:sectPr>
      </w:pPr>
      <w:r w:rsidRPr="0082543F">
        <w:rPr>
          <w:noProof/>
        </w:rPr>
        <w:lastRenderedPageBreak/>
        <w:drawing>
          <wp:inline distT="0" distB="0" distL="0" distR="0">
            <wp:extent cx="9124950" cy="6334125"/>
            <wp:effectExtent l="19050" t="0" r="0" b="0"/>
            <wp:docPr id="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srcRect/>
                    <a:stretch>
                      <a:fillRect/>
                    </a:stretch>
                  </pic:blipFill>
                  <pic:spPr bwMode="auto">
                    <a:xfrm>
                      <a:off x="0" y="0"/>
                      <a:ext cx="9124950" cy="6334125"/>
                    </a:xfrm>
                    <a:prstGeom prst="rect">
                      <a:avLst/>
                    </a:prstGeom>
                    <a:noFill/>
                    <a:ln w="9525">
                      <a:noFill/>
                      <a:miter lim="800000"/>
                      <a:headEnd/>
                      <a:tailEnd/>
                    </a:ln>
                  </pic:spPr>
                </pic:pic>
              </a:graphicData>
            </a:graphic>
          </wp:inline>
        </w:drawing>
      </w:r>
    </w:p>
    <w:p w:rsidR="00D1431F" w:rsidRPr="00CD7EE3" w:rsidRDefault="00D1431F" w:rsidP="00D1431F">
      <w:pPr>
        <w:pStyle w:val="Heading3"/>
        <w:rPr>
          <w:sz w:val="24"/>
        </w:rPr>
      </w:pPr>
      <w:bookmarkStart w:id="32" w:name="_Toc381084880"/>
      <w:r w:rsidRPr="00CD7EE3">
        <w:rPr>
          <w:sz w:val="24"/>
        </w:rPr>
        <w:lastRenderedPageBreak/>
        <w:t>3.5.1 Emergency Department (ED) Performance</w:t>
      </w:r>
      <w:bookmarkEnd w:id="32"/>
    </w:p>
    <w:p w:rsidR="000F5895" w:rsidRDefault="00D1431F" w:rsidP="00D1431F">
      <w:pPr>
        <w:jc w:val="both"/>
        <w:rPr>
          <w:rFonts w:cs="Arial"/>
          <w:sz w:val="24"/>
        </w:rPr>
      </w:pPr>
      <w:r w:rsidRPr="00CD7EE3">
        <w:rPr>
          <w:rFonts w:cs="Arial"/>
          <w:sz w:val="24"/>
        </w:rPr>
        <w:t xml:space="preserve">The NHS constitution set the national standard wherein 95% of all patients attending NHS Emergency Department’s spend a maximum of four hours in the department before being discharged, referred/transferred to other services or admitted to the hospital and transferred to an inpatient bed.  The target was </w:t>
      </w:r>
      <w:r w:rsidR="00EA0C0A">
        <w:rPr>
          <w:rFonts w:cs="Arial"/>
          <w:sz w:val="24"/>
        </w:rPr>
        <w:t xml:space="preserve">not </w:t>
      </w:r>
      <w:r w:rsidRPr="00CD7EE3">
        <w:rPr>
          <w:rFonts w:cs="Arial"/>
          <w:sz w:val="24"/>
        </w:rPr>
        <w:t xml:space="preserve">achieved in </w:t>
      </w:r>
      <w:r w:rsidR="00EA0C0A">
        <w:rPr>
          <w:rFonts w:cs="Arial"/>
          <w:sz w:val="24"/>
        </w:rPr>
        <w:t>August (89.02%) or in September (90.70</w:t>
      </w:r>
      <w:r w:rsidR="000F5895">
        <w:rPr>
          <w:rFonts w:cs="Arial"/>
          <w:sz w:val="24"/>
        </w:rPr>
        <w:t xml:space="preserve">%) as illustrated in </w:t>
      </w:r>
      <w:r w:rsidR="00C42622">
        <w:rPr>
          <w:rFonts w:cs="Arial"/>
          <w:i/>
          <w:sz w:val="24"/>
        </w:rPr>
        <w:t>Figure 2</w:t>
      </w:r>
      <w:r w:rsidR="00EA0C0A">
        <w:rPr>
          <w:rFonts w:cs="Arial"/>
          <w:i/>
          <w:sz w:val="24"/>
        </w:rPr>
        <w:t>2</w:t>
      </w:r>
      <w:r w:rsidRPr="00CD7EE3">
        <w:rPr>
          <w:rFonts w:cs="Arial"/>
          <w:sz w:val="24"/>
        </w:rPr>
        <w:t>.</w:t>
      </w:r>
      <w:r w:rsidR="000F5895">
        <w:rPr>
          <w:rFonts w:cs="Arial"/>
          <w:sz w:val="24"/>
        </w:rPr>
        <w:t xml:space="preserve">  This as a result of </w:t>
      </w:r>
      <w:r w:rsidR="0073533B">
        <w:rPr>
          <w:rFonts w:cs="Arial"/>
          <w:sz w:val="24"/>
        </w:rPr>
        <w:t xml:space="preserve">two key </w:t>
      </w:r>
      <w:r w:rsidR="000F5895">
        <w:rPr>
          <w:rFonts w:cs="Arial"/>
          <w:sz w:val="24"/>
        </w:rPr>
        <w:t>factors:</w:t>
      </w:r>
    </w:p>
    <w:p w:rsidR="000F5895" w:rsidRPr="000F5895" w:rsidRDefault="000F5895" w:rsidP="00CB6E44">
      <w:pPr>
        <w:pStyle w:val="ListParagraph"/>
        <w:numPr>
          <w:ilvl w:val="0"/>
          <w:numId w:val="25"/>
        </w:numPr>
        <w:jc w:val="both"/>
        <w:rPr>
          <w:sz w:val="24"/>
        </w:rPr>
      </w:pPr>
      <w:r w:rsidRPr="000F5895">
        <w:rPr>
          <w:rFonts w:cs="Arial"/>
          <w:sz w:val="24"/>
        </w:rPr>
        <w:t xml:space="preserve">The increase in demand for beds (emergency and elective) has </w:t>
      </w:r>
      <w:r w:rsidR="006870D5">
        <w:rPr>
          <w:rFonts w:cs="Arial"/>
          <w:sz w:val="24"/>
        </w:rPr>
        <w:t>outstripped capacity reflected in the small increase of</w:t>
      </w:r>
      <w:r>
        <w:rPr>
          <w:rFonts w:cs="Arial"/>
          <w:sz w:val="24"/>
        </w:rPr>
        <w:t xml:space="preserve"> the length of stay.   </w:t>
      </w:r>
    </w:p>
    <w:p w:rsidR="000F5895" w:rsidRPr="000F5895" w:rsidRDefault="006870D5" w:rsidP="00CB6E44">
      <w:pPr>
        <w:pStyle w:val="ListParagraph"/>
        <w:numPr>
          <w:ilvl w:val="0"/>
          <w:numId w:val="25"/>
        </w:numPr>
        <w:jc w:val="both"/>
        <w:rPr>
          <w:sz w:val="24"/>
        </w:rPr>
      </w:pPr>
      <w:r>
        <w:rPr>
          <w:sz w:val="24"/>
        </w:rPr>
        <w:t>Throughout August and September</w:t>
      </w:r>
      <w:r w:rsidR="000F5895">
        <w:rPr>
          <w:sz w:val="24"/>
        </w:rPr>
        <w:t xml:space="preserve"> the Trust </w:t>
      </w:r>
      <w:r>
        <w:rPr>
          <w:sz w:val="24"/>
        </w:rPr>
        <w:t>has been experiencing a an increase</w:t>
      </w:r>
      <w:r w:rsidR="000F5895">
        <w:rPr>
          <w:sz w:val="24"/>
        </w:rPr>
        <w:t xml:space="preserve"> in act</w:t>
      </w:r>
      <w:r>
        <w:rPr>
          <w:sz w:val="24"/>
        </w:rPr>
        <w:t xml:space="preserve">ivity out of hours, </w:t>
      </w:r>
      <w:r w:rsidR="0073533B">
        <w:rPr>
          <w:sz w:val="24"/>
        </w:rPr>
        <w:t xml:space="preserve">which </w:t>
      </w:r>
      <w:r w:rsidR="000F5895">
        <w:rPr>
          <w:sz w:val="24"/>
        </w:rPr>
        <w:t xml:space="preserve">put significant pressure on the Emergency Department.  This activity is a mixture of both an increase in walk-in patients and </w:t>
      </w:r>
      <w:r w:rsidR="0073533B">
        <w:rPr>
          <w:sz w:val="24"/>
        </w:rPr>
        <w:t>ambulance</w:t>
      </w:r>
      <w:r w:rsidR="009E1CE3">
        <w:rPr>
          <w:sz w:val="24"/>
        </w:rPr>
        <w:t xml:space="preserve"> arrivals.  </w:t>
      </w:r>
      <w:r w:rsidR="0073533B">
        <w:rPr>
          <w:sz w:val="24"/>
        </w:rPr>
        <w:t xml:space="preserve"> </w:t>
      </w:r>
      <w:r w:rsidR="000F5895">
        <w:rPr>
          <w:sz w:val="24"/>
        </w:rPr>
        <w:t xml:space="preserve">  </w:t>
      </w:r>
    </w:p>
    <w:p w:rsidR="00D1431F" w:rsidRPr="000F5895" w:rsidRDefault="00C42622" w:rsidP="000F5895">
      <w:pPr>
        <w:jc w:val="both"/>
        <w:rPr>
          <w:b/>
          <w:sz w:val="24"/>
        </w:rPr>
      </w:pPr>
      <w:r w:rsidRPr="000F5895">
        <w:rPr>
          <w:b/>
          <w:sz w:val="24"/>
        </w:rPr>
        <w:t>Figure 2</w:t>
      </w:r>
      <w:r w:rsidR="00C45200">
        <w:rPr>
          <w:b/>
          <w:sz w:val="24"/>
        </w:rPr>
        <w:t>2</w:t>
      </w:r>
      <w:r w:rsidR="00D1431F" w:rsidRPr="000F5895">
        <w:rPr>
          <w:b/>
          <w:sz w:val="24"/>
        </w:rPr>
        <w:t>:</w:t>
      </w:r>
    </w:p>
    <w:p w:rsidR="00D1431F" w:rsidRDefault="00C24A3F" w:rsidP="00D1431F">
      <w:pPr>
        <w:jc w:val="center"/>
        <w:rPr>
          <w:sz w:val="20"/>
        </w:rPr>
      </w:pPr>
      <w:r w:rsidRPr="00C24A3F">
        <w:rPr>
          <w:noProof/>
        </w:rPr>
        <w:drawing>
          <wp:inline distT="0" distB="0" distL="0" distR="0">
            <wp:extent cx="5495238" cy="3390476"/>
            <wp:effectExtent l="19050" t="0" r="0" b="0"/>
            <wp:docPr id="1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495238" cy="3390476"/>
                    </a:xfrm>
                    <a:prstGeom prst="rect">
                      <a:avLst/>
                    </a:prstGeom>
                  </pic:spPr>
                </pic:pic>
              </a:graphicData>
            </a:graphic>
          </wp:inline>
        </w:drawing>
      </w:r>
    </w:p>
    <w:p w:rsidR="00DF134A" w:rsidRDefault="00DF134A" w:rsidP="00FF2E65">
      <w:pPr>
        <w:jc w:val="both"/>
        <w:rPr>
          <w:rFonts w:cs="Arial"/>
          <w:b/>
          <w:sz w:val="24"/>
        </w:rPr>
      </w:pPr>
    </w:p>
    <w:p w:rsidR="00DF134A" w:rsidRDefault="00DF134A" w:rsidP="00FF2E65">
      <w:pPr>
        <w:jc w:val="both"/>
        <w:rPr>
          <w:rFonts w:cs="Arial"/>
          <w:b/>
          <w:sz w:val="24"/>
        </w:rPr>
      </w:pPr>
    </w:p>
    <w:p w:rsidR="00D1431F" w:rsidRPr="00FF2E65" w:rsidRDefault="00D1431F" w:rsidP="00FF2E65">
      <w:pPr>
        <w:jc w:val="both"/>
        <w:rPr>
          <w:rFonts w:cs="Arial"/>
          <w:b/>
          <w:sz w:val="24"/>
        </w:rPr>
      </w:pPr>
      <w:r w:rsidRPr="00FF2E65">
        <w:rPr>
          <w:rFonts w:cs="Arial"/>
          <w:b/>
          <w:sz w:val="24"/>
        </w:rPr>
        <w:lastRenderedPageBreak/>
        <w:t>Trust Action:</w:t>
      </w:r>
    </w:p>
    <w:p w:rsidR="00FF2E65" w:rsidRDefault="00FF2E65" w:rsidP="00CB6E44">
      <w:pPr>
        <w:pStyle w:val="ListParagraph"/>
        <w:numPr>
          <w:ilvl w:val="0"/>
          <w:numId w:val="26"/>
        </w:numPr>
        <w:jc w:val="both"/>
        <w:rPr>
          <w:rFonts w:cs="Arial"/>
          <w:sz w:val="24"/>
        </w:rPr>
      </w:pPr>
      <w:r>
        <w:rPr>
          <w:rFonts w:cs="Arial"/>
          <w:sz w:val="24"/>
        </w:rPr>
        <w:t xml:space="preserve">The Trust has undertaken a detailed review of </w:t>
      </w:r>
      <w:r w:rsidRPr="00FF2E65">
        <w:rPr>
          <w:rFonts w:cs="Arial"/>
          <w:sz w:val="24"/>
        </w:rPr>
        <w:t xml:space="preserve">internal and external </w:t>
      </w:r>
      <w:r>
        <w:rPr>
          <w:rFonts w:cs="Arial"/>
          <w:sz w:val="24"/>
        </w:rPr>
        <w:t xml:space="preserve">performance and activity data to understand the causes behind the sudden drop in performance.  The review has been shared with key staff internal and external to the Trust to </w:t>
      </w:r>
      <w:r w:rsidR="00313DD9">
        <w:rPr>
          <w:rFonts w:cs="Arial"/>
          <w:sz w:val="24"/>
        </w:rPr>
        <w:t>support the development and implementation of the necessary</w:t>
      </w:r>
      <w:r>
        <w:rPr>
          <w:rFonts w:cs="Arial"/>
          <w:sz w:val="24"/>
        </w:rPr>
        <w:t xml:space="preserve"> </w:t>
      </w:r>
      <w:r w:rsidR="00313DD9">
        <w:rPr>
          <w:rFonts w:cs="Arial"/>
          <w:sz w:val="24"/>
        </w:rPr>
        <w:t xml:space="preserve">actions to bring about positive change.   </w:t>
      </w:r>
      <w:r>
        <w:rPr>
          <w:rFonts w:cs="Arial"/>
          <w:sz w:val="24"/>
        </w:rPr>
        <w:t xml:space="preserve"> </w:t>
      </w:r>
    </w:p>
    <w:p w:rsidR="00FF2E65" w:rsidRDefault="00FF2E65" w:rsidP="00FF2E65">
      <w:pPr>
        <w:pStyle w:val="ListParagraph"/>
        <w:jc w:val="both"/>
        <w:rPr>
          <w:rFonts w:cs="Arial"/>
          <w:sz w:val="24"/>
        </w:rPr>
      </w:pPr>
    </w:p>
    <w:p w:rsidR="00027BF8" w:rsidRPr="00F1145A" w:rsidRDefault="00313DD9" w:rsidP="00CB6E44">
      <w:pPr>
        <w:pStyle w:val="ListParagraph"/>
        <w:numPr>
          <w:ilvl w:val="0"/>
          <w:numId w:val="26"/>
        </w:numPr>
        <w:jc w:val="both"/>
        <w:rPr>
          <w:rFonts w:cs="Arial"/>
          <w:sz w:val="24"/>
        </w:rPr>
      </w:pPr>
      <w:r w:rsidRPr="00F1145A">
        <w:rPr>
          <w:rFonts w:cs="Arial"/>
          <w:sz w:val="24"/>
        </w:rPr>
        <w:t>North Somerset</w:t>
      </w:r>
      <w:r w:rsidR="00027BF8" w:rsidRPr="00F1145A">
        <w:rPr>
          <w:rFonts w:cs="Arial"/>
          <w:sz w:val="24"/>
        </w:rPr>
        <w:t xml:space="preserve"> CCG</w:t>
      </w:r>
      <w:r w:rsidRPr="00F1145A">
        <w:rPr>
          <w:rFonts w:cs="Arial"/>
          <w:sz w:val="24"/>
        </w:rPr>
        <w:t xml:space="preserve"> has increased the daily calls from three to five days per week to ensure that performance across the health and social care system is reviewed in detail to en</w:t>
      </w:r>
      <w:r w:rsidR="00027BF8" w:rsidRPr="00F1145A">
        <w:rPr>
          <w:rFonts w:cs="Arial"/>
          <w:sz w:val="24"/>
        </w:rPr>
        <w:t>sure all</w:t>
      </w:r>
      <w:r w:rsidRPr="00F1145A">
        <w:rPr>
          <w:rFonts w:cs="Arial"/>
          <w:sz w:val="24"/>
        </w:rPr>
        <w:t xml:space="preserve"> capacity</w:t>
      </w:r>
      <w:r w:rsidR="00027BF8" w:rsidRPr="00F1145A">
        <w:rPr>
          <w:rFonts w:cs="Arial"/>
          <w:sz w:val="24"/>
        </w:rPr>
        <w:t xml:space="preserve"> is maximised</w:t>
      </w:r>
      <w:r w:rsidRPr="00F1145A">
        <w:rPr>
          <w:rFonts w:cs="Arial"/>
          <w:sz w:val="24"/>
        </w:rPr>
        <w:t xml:space="preserve"> to manage </w:t>
      </w:r>
      <w:r w:rsidR="00027BF8" w:rsidRPr="00F1145A">
        <w:rPr>
          <w:rFonts w:cs="Arial"/>
          <w:sz w:val="24"/>
        </w:rPr>
        <w:t>patients the</w:t>
      </w:r>
      <w:r w:rsidRPr="00F1145A">
        <w:rPr>
          <w:rFonts w:cs="Arial"/>
          <w:sz w:val="24"/>
        </w:rPr>
        <w:t xml:space="preserve"> most effective</w:t>
      </w:r>
      <w:r w:rsidR="00027BF8" w:rsidRPr="00F1145A">
        <w:rPr>
          <w:rFonts w:cs="Arial"/>
          <w:sz w:val="24"/>
        </w:rPr>
        <w:t xml:space="preserve"> and caring manner.  </w:t>
      </w:r>
    </w:p>
    <w:p w:rsidR="00027BF8" w:rsidRPr="00F1145A" w:rsidRDefault="00027BF8" w:rsidP="00F1145A">
      <w:pPr>
        <w:pStyle w:val="ListParagraph"/>
        <w:jc w:val="both"/>
        <w:rPr>
          <w:rFonts w:cs="Arial"/>
          <w:sz w:val="24"/>
        </w:rPr>
      </w:pPr>
    </w:p>
    <w:p w:rsidR="00027BF8" w:rsidRPr="00F1145A" w:rsidRDefault="00027BF8" w:rsidP="00CB6E44">
      <w:pPr>
        <w:pStyle w:val="ListParagraph"/>
        <w:numPr>
          <w:ilvl w:val="0"/>
          <w:numId w:val="26"/>
        </w:numPr>
        <w:jc w:val="both"/>
        <w:rPr>
          <w:rFonts w:cs="Arial"/>
          <w:sz w:val="24"/>
        </w:rPr>
      </w:pPr>
      <w:r w:rsidRPr="00F1145A">
        <w:rPr>
          <w:rFonts w:cs="Arial"/>
          <w:sz w:val="24"/>
        </w:rPr>
        <w:t>Trust has increased the number of site meetings throughout the day and increased the seniority of attendance</w:t>
      </w:r>
      <w:r w:rsidR="002634DC">
        <w:rPr>
          <w:rFonts w:cs="Arial"/>
          <w:sz w:val="24"/>
        </w:rPr>
        <w:t>, particularly when the Trust is in red escalation</w:t>
      </w:r>
      <w:r w:rsidRPr="00F1145A">
        <w:rPr>
          <w:rFonts w:cs="Arial"/>
          <w:sz w:val="24"/>
        </w:rPr>
        <w:t xml:space="preserve"> to ensure appropriate actions are taken and barriers escalated both internally and externally.</w:t>
      </w:r>
    </w:p>
    <w:p w:rsidR="00027BF8" w:rsidRPr="00F1145A" w:rsidRDefault="00027BF8" w:rsidP="00F1145A">
      <w:pPr>
        <w:pStyle w:val="ListParagraph"/>
        <w:jc w:val="both"/>
        <w:rPr>
          <w:rFonts w:cs="Arial"/>
          <w:sz w:val="24"/>
        </w:rPr>
      </w:pPr>
    </w:p>
    <w:p w:rsidR="005023A2" w:rsidRDefault="0073533B" w:rsidP="005023A2">
      <w:pPr>
        <w:pStyle w:val="ListParagraph"/>
        <w:numPr>
          <w:ilvl w:val="0"/>
          <w:numId w:val="26"/>
        </w:numPr>
        <w:jc w:val="both"/>
        <w:rPr>
          <w:rFonts w:cs="Arial"/>
          <w:sz w:val="24"/>
        </w:rPr>
      </w:pPr>
      <w:r w:rsidRPr="00F1145A">
        <w:rPr>
          <w:rFonts w:cs="Arial"/>
          <w:sz w:val="24"/>
        </w:rPr>
        <w:t xml:space="preserve">Daily review meetings are held each morning with ward representation, matrons and senior management where all breaches and any issues highlighted are reviewed in detail with clear actions.  </w:t>
      </w:r>
      <w:r w:rsidR="005023A2">
        <w:rPr>
          <w:rFonts w:cs="Arial"/>
          <w:sz w:val="24"/>
        </w:rPr>
        <w:t>An action plan is sent out to attendees of the review meeting so that each day, it is clear to see which areas need additional attention.</w:t>
      </w:r>
    </w:p>
    <w:p w:rsidR="00802DE7" w:rsidRPr="00802DE7" w:rsidRDefault="00802DE7" w:rsidP="00802DE7">
      <w:pPr>
        <w:pStyle w:val="ListParagraph"/>
        <w:rPr>
          <w:rFonts w:cs="Arial"/>
          <w:sz w:val="24"/>
        </w:rPr>
      </w:pPr>
    </w:p>
    <w:p w:rsidR="00802DE7" w:rsidRPr="005023A2" w:rsidRDefault="00802DE7" w:rsidP="005023A2">
      <w:pPr>
        <w:pStyle w:val="ListParagraph"/>
        <w:numPr>
          <w:ilvl w:val="0"/>
          <w:numId w:val="26"/>
        </w:numPr>
        <w:jc w:val="both"/>
        <w:rPr>
          <w:rFonts w:cs="Arial"/>
          <w:sz w:val="24"/>
        </w:rPr>
      </w:pPr>
      <w:r>
        <w:rPr>
          <w:rFonts w:cs="Arial"/>
          <w:sz w:val="24"/>
        </w:rPr>
        <w:t>A ‘system reset’ week is under development for mid November, this will focus on discharge from day of admission and will involve North Somerset Community Partnership, the Local Authority and North Somerset Clinical Commissioning Group as well as a number of key operational staff from within the Trust.</w:t>
      </w:r>
    </w:p>
    <w:p w:rsidR="00D1431F" w:rsidRPr="00027BF8" w:rsidRDefault="00D1431F" w:rsidP="00027BF8">
      <w:pPr>
        <w:pStyle w:val="NoSpacing"/>
      </w:pPr>
      <w:r w:rsidRPr="00027BF8">
        <w:br w:type="page"/>
      </w:r>
    </w:p>
    <w:p w:rsidR="00D1431F" w:rsidRPr="00C40868" w:rsidRDefault="00D1431F" w:rsidP="00D1431F">
      <w:pPr>
        <w:pStyle w:val="Heading1"/>
        <w:rPr>
          <w:sz w:val="26"/>
          <w:szCs w:val="26"/>
        </w:rPr>
      </w:pPr>
      <w:bookmarkStart w:id="33" w:name="_Toc381084881"/>
      <w:r w:rsidRPr="00C40868">
        <w:rPr>
          <w:sz w:val="26"/>
          <w:szCs w:val="26"/>
        </w:rPr>
        <w:lastRenderedPageBreak/>
        <w:t>3.6 Elective Access</w:t>
      </w:r>
      <w:bookmarkEnd w:id="33"/>
    </w:p>
    <w:p w:rsidR="00D1431F" w:rsidRPr="00327EA5" w:rsidRDefault="00D1431F" w:rsidP="00D1431F">
      <w:pPr>
        <w:jc w:val="both"/>
        <w:rPr>
          <w:rFonts w:cs="Arial"/>
          <w:i/>
          <w:sz w:val="24"/>
          <w:szCs w:val="24"/>
        </w:rPr>
      </w:pPr>
      <w:r w:rsidRPr="00327EA5">
        <w:rPr>
          <w:rFonts w:cs="Arial"/>
          <w:i/>
          <w:sz w:val="24"/>
          <w:szCs w:val="24"/>
        </w:rPr>
        <w:t xml:space="preserve">This section reviews the key elective access targets to understand the effectiveness and the quality of care throughout the elective care pathways. </w:t>
      </w:r>
    </w:p>
    <w:p w:rsidR="00D1431F" w:rsidRPr="00327EA5" w:rsidRDefault="00D1431F" w:rsidP="00D1431F">
      <w:pPr>
        <w:pStyle w:val="Heading3"/>
        <w:rPr>
          <w:sz w:val="24"/>
          <w:szCs w:val="24"/>
        </w:rPr>
      </w:pPr>
      <w:bookmarkStart w:id="34" w:name="_Toc381084882"/>
      <w:r w:rsidRPr="00327EA5">
        <w:rPr>
          <w:sz w:val="24"/>
          <w:szCs w:val="24"/>
        </w:rPr>
        <w:t>3.6.1 Referral to Treatment (RTT)</w:t>
      </w:r>
      <w:bookmarkEnd w:id="34"/>
    </w:p>
    <w:p w:rsidR="005B038D" w:rsidRDefault="00D1431F" w:rsidP="00D1431F">
      <w:pPr>
        <w:jc w:val="both"/>
        <w:rPr>
          <w:iCs/>
          <w:sz w:val="24"/>
          <w:szCs w:val="24"/>
        </w:rPr>
      </w:pPr>
      <w:r w:rsidRPr="00327EA5">
        <w:rPr>
          <w:iCs/>
          <w:sz w:val="24"/>
          <w:szCs w:val="24"/>
        </w:rPr>
        <w:t xml:space="preserve">The NHS constitution states that patients have the legal right to start their NHS consultant-led treatment within a maximum of 18 weeks from referral, unless the patient chooses to wait longer or it is clinically appropriate to wait longer.  For the months of </w:t>
      </w:r>
      <w:r w:rsidR="00522B0A">
        <w:rPr>
          <w:iCs/>
          <w:sz w:val="24"/>
          <w:szCs w:val="24"/>
        </w:rPr>
        <w:t>August and September</w:t>
      </w:r>
      <w:r w:rsidRPr="00327EA5">
        <w:rPr>
          <w:iCs/>
          <w:sz w:val="24"/>
          <w:szCs w:val="24"/>
        </w:rPr>
        <w:t xml:space="preserve"> the following sub-sections will review the Trust performance against the three national 18 week targets. </w:t>
      </w:r>
    </w:p>
    <w:p w:rsidR="005B038D" w:rsidRDefault="005B038D" w:rsidP="005B038D">
      <w:pPr>
        <w:pStyle w:val="NoSpacing"/>
        <w:jc w:val="both"/>
      </w:pPr>
      <w:r>
        <w:t xml:space="preserve">Towards the end of June 2014, The Trust received notification that </w:t>
      </w:r>
      <w:r w:rsidR="00621D87">
        <w:t>a</w:t>
      </w:r>
      <w:r>
        <w:t xml:space="preserve"> planned fail of the RTT </w:t>
      </w:r>
      <w:r w:rsidR="00621D87">
        <w:t xml:space="preserve">was permitted </w:t>
      </w:r>
      <w:r>
        <w:t>throughout July and August</w:t>
      </w:r>
      <w:r w:rsidR="00621D87">
        <w:t xml:space="preserve"> with the target of achieving all RTT targets by September, t</w:t>
      </w:r>
      <w:r>
        <w:t>herefore reporting information available for this period should be viewed with this in mind.</w:t>
      </w:r>
    </w:p>
    <w:p w:rsidR="00D1431F" w:rsidRPr="00327EA5" w:rsidRDefault="00D1431F" w:rsidP="00D1431F">
      <w:pPr>
        <w:jc w:val="both"/>
        <w:rPr>
          <w:iCs/>
          <w:sz w:val="24"/>
          <w:szCs w:val="24"/>
        </w:rPr>
      </w:pPr>
    </w:p>
    <w:p w:rsidR="00D1431F" w:rsidRPr="00327EA5" w:rsidRDefault="00D1431F" w:rsidP="00D1431F">
      <w:pPr>
        <w:pStyle w:val="Heading3"/>
        <w:rPr>
          <w:sz w:val="24"/>
          <w:szCs w:val="24"/>
        </w:rPr>
      </w:pPr>
      <w:bookmarkStart w:id="35" w:name="_Toc381084883"/>
      <w:r w:rsidRPr="00327EA5">
        <w:rPr>
          <w:sz w:val="24"/>
          <w:szCs w:val="24"/>
        </w:rPr>
        <w:t>3.6.2 Referral to Treatment (RTT) Admitted</w:t>
      </w:r>
      <w:bookmarkEnd w:id="35"/>
    </w:p>
    <w:p w:rsidR="00D1431F" w:rsidRPr="00327EA5" w:rsidRDefault="00EA7330" w:rsidP="00D1431F">
      <w:pPr>
        <w:pStyle w:val="NoSpacing"/>
        <w:jc w:val="both"/>
      </w:pPr>
      <w:r>
        <w:rPr>
          <w:rFonts w:eastAsiaTheme="minorHAnsi" w:cstheme="minorBidi"/>
          <w:iCs/>
          <w:color w:val="auto"/>
          <w:lang w:eastAsia="en-US"/>
        </w:rPr>
        <w:t xml:space="preserve">The Trust </w:t>
      </w:r>
      <w:r w:rsidR="00293522" w:rsidRPr="00327EA5">
        <w:rPr>
          <w:rFonts w:eastAsiaTheme="minorHAnsi" w:cstheme="minorBidi"/>
          <w:iCs/>
          <w:color w:val="auto"/>
          <w:lang w:eastAsia="en-US"/>
        </w:rPr>
        <w:t>achieve</w:t>
      </w:r>
      <w:r>
        <w:rPr>
          <w:rFonts w:eastAsiaTheme="minorHAnsi" w:cstheme="minorBidi"/>
          <w:iCs/>
          <w:color w:val="auto"/>
          <w:lang w:eastAsia="en-US"/>
        </w:rPr>
        <w:t>d</w:t>
      </w:r>
      <w:r w:rsidR="00293522" w:rsidRPr="00327EA5">
        <w:rPr>
          <w:rFonts w:eastAsiaTheme="minorHAnsi" w:cstheme="minorBidi"/>
          <w:iCs/>
          <w:color w:val="auto"/>
          <w:lang w:eastAsia="en-US"/>
        </w:rPr>
        <w:t xml:space="preserve"> the admitted</w:t>
      </w:r>
      <w:r>
        <w:rPr>
          <w:rFonts w:eastAsiaTheme="minorHAnsi" w:cstheme="minorBidi"/>
          <w:iCs/>
          <w:color w:val="auto"/>
          <w:lang w:eastAsia="en-US"/>
        </w:rPr>
        <w:t xml:space="preserve"> 18 week target in </w:t>
      </w:r>
      <w:r w:rsidR="003F4995">
        <w:rPr>
          <w:rFonts w:eastAsiaTheme="minorHAnsi" w:cstheme="minorBidi"/>
          <w:iCs/>
          <w:color w:val="auto"/>
          <w:lang w:eastAsia="en-US"/>
        </w:rPr>
        <w:t>September</w:t>
      </w:r>
      <w:r>
        <w:rPr>
          <w:rFonts w:eastAsiaTheme="minorHAnsi" w:cstheme="minorBidi"/>
          <w:iCs/>
          <w:color w:val="auto"/>
          <w:lang w:eastAsia="en-US"/>
        </w:rPr>
        <w:t xml:space="preserve"> at 91.45%</w:t>
      </w:r>
      <w:r w:rsidR="003C68B9">
        <w:rPr>
          <w:rFonts w:eastAsiaTheme="minorHAnsi" w:cstheme="minorBidi"/>
          <w:iCs/>
          <w:color w:val="auto"/>
          <w:lang w:eastAsia="en-US"/>
        </w:rPr>
        <w:t xml:space="preserve"> in line with the</w:t>
      </w:r>
      <w:r w:rsidR="00293522" w:rsidRPr="00327EA5">
        <w:rPr>
          <w:rFonts w:eastAsiaTheme="minorHAnsi" w:cstheme="minorBidi"/>
          <w:iCs/>
          <w:color w:val="auto"/>
          <w:lang w:eastAsia="en-US"/>
        </w:rPr>
        <w:t xml:space="preserve"> plan agreed with the Clinical Commissioning Group and the Trust Development Authority</w:t>
      </w:r>
      <w:r w:rsidR="00BB4EF7">
        <w:rPr>
          <w:rFonts w:eastAsiaTheme="minorHAnsi" w:cstheme="minorBidi"/>
          <w:iCs/>
          <w:color w:val="auto"/>
          <w:lang w:eastAsia="en-US"/>
        </w:rPr>
        <w:t>.</w:t>
      </w:r>
    </w:p>
    <w:p w:rsidR="00BB4EF7" w:rsidRDefault="00BB4EF7" w:rsidP="00D1431F">
      <w:pPr>
        <w:pStyle w:val="NoSpacing"/>
        <w:jc w:val="both"/>
      </w:pPr>
    </w:p>
    <w:p w:rsidR="00D1431F" w:rsidRPr="00327EA5" w:rsidRDefault="003F4995" w:rsidP="00D1431F">
      <w:pPr>
        <w:pStyle w:val="NoSpacing"/>
        <w:jc w:val="both"/>
        <w:rPr>
          <w:b/>
        </w:rPr>
      </w:pPr>
      <w:r>
        <w:rPr>
          <w:b/>
        </w:rPr>
        <w:t>Figure 23</w:t>
      </w:r>
      <w:r w:rsidR="00D1431F" w:rsidRPr="00327EA5">
        <w:rPr>
          <w:b/>
        </w:rPr>
        <w:t>:</w:t>
      </w:r>
    </w:p>
    <w:p w:rsidR="00F377DC" w:rsidRPr="00F1145A" w:rsidRDefault="00F377DC" w:rsidP="00D1431F">
      <w:pPr>
        <w:pStyle w:val="NoSpacing"/>
        <w:jc w:val="both"/>
        <w:rPr>
          <w:b/>
          <w:sz w:val="14"/>
          <w:highlight w:val="yellow"/>
        </w:rPr>
      </w:pPr>
    </w:p>
    <w:p w:rsidR="00D1431F" w:rsidRPr="00F1145A" w:rsidRDefault="00BB4EF7" w:rsidP="00D1431F">
      <w:pPr>
        <w:pStyle w:val="NoSpacing"/>
        <w:jc w:val="center"/>
        <w:rPr>
          <w:highlight w:val="yellow"/>
        </w:rPr>
      </w:pPr>
      <w:r w:rsidRPr="00BB4EF7">
        <w:rPr>
          <w:noProof/>
        </w:rPr>
        <w:drawing>
          <wp:inline distT="0" distB="0" distL="0" distR="0">
            <wp:extent cx="4095750" cy="2583362"/>
            <wp:effectExtent l="19050" t="0" r="0"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srcRect/>
                    <a:stretch>
                      <a:fillRect/>
                    </a:stretch>
                  </pic:blipFill>
                  <pic:spPr bwMode="auto">
                    <a:xfrm>
                      <a:off x="0" y="0"/>
                      <a:ext cx="4095750" cy="2583362"/>
                    </a:xfrm>
                    <a:prstGeom prst="rect">
                      <a:avLst/>
                    </a:prstGeom>
                    <a:noFill/>
                    <a:ln w="9525">
                      <a:noFill/>
                      <a:miter lim="800000"/>
                      <a:headEnd/>
                      <a:tailEnd/>
                    </a:ln>
                  </pic:spPr>
                </pic:pic>
              </a:graphicData>
            </a:graphic>
          </wp:inline>
        </w:drawing>
      </w:r>
    </w:p>
    <w:p w:rsidR="00D1431F" w:rsidRPr="00327EA5" w:rsidRDefault="00D1431F" w:rsidP="00D1431F">
      <w:pPr>
        <w:spacing w:before="240"/>
        <w:jc w:val="both"/>
        <w:rPr>
          <w:b/>
          <w:sz w:val="24"/>
        </w:rPr>
      </w:pPr>
      <w:r w:rsidRPr="00327EA5">
        <w:rPr>
          <w:b/>
          <w:sz w:val="24"/>
        </w:rPr>
        <w:lastRenderedPageBreak/>
        <w:t>Trust Action:</w:t>
      </w:r>
    </w:p>
    <w:p w:rsidR="00D1431F" w:rsidRPr="00327EA5" w:rsidRDefault="00D1431F" w:rsidP="00A35D63">
      <w:pPr>
        <w:pStyle w:val="NoSpacing"/>
        <w:jc w:val="both"/>
        <w:rPr>
          <w:szCs w:val="22"/>
        </w:rPr>
      </w:pPr>
      <w:r w:rsidRPr="00327EA5">
        <w:rPr>
          <w:szCs w:val="22"/>
        </w:rPr>
        <w:t>The Trust continues</w:t>
      </w:r>
      <w:r w:rsidR="00E87913" w:rsidRPr="00327EA5">
        <w:rPr>
          <w:szCs w:val="22"/>
        </w:rPr>
        <w:t xml:space="preserve"> to </w:t>
      </w:r>
      <w:r w:rsidR="00C42622" w:rsidRPr="00327EA5">
        <w:rPr>
          <w:szCs w:val="22"/>
        </w:rPr>
        <w:t>undertake</w:t>
      </w:r>
      <w:r w:rsidRPr="00327EA5">
        <w:rPr>
          <w:szCs w:val="22"/>
        </w:rPr>
        <w:t xml:space="preserve"> weekly waiting list forward planning meetings where the waiting list for each specialty and the theatre timetab</w:t>
      </w:r>
      <w:r w:rsidR="00C33BA1">
        <w:rPr>
          <w:szCs w:val="22"/>
        </w:rPr>
        <w:t>le is reviewed by the</w:t>
      </w:r>
      <w:r w:rsidRPr="00327EA5">
        <w:rPr>
          <w:szCs w:val="22"/>
        </w:rPr>
        <w:t xml:space="preserve"> Divisional Manager of Planned Care, Access Manager and Theatre Manager.   From the new financial year this has been strengthened with the Director of Operations in attendance.</w:t>
      </w:r>
      <w:r w:rsidR="00DC136A">
        <w:rPr>
          <w:szCs w:val="22"/>
        </w:rPr>
        <w:t xml:space="preserve">  The Trust aim to bring patients in within 16 weeks and additional finances have been agreed to assist with this.</w:t>
      </w:r>
    </w:p>
    <w:p w:rsidR="007C5259" w:rsidRDefault="007C5259" w:rsidP="00D1431F">
      <w:pPr>
        <w:pStyle w:val="Heading3"/>
        <w:rPr>
          <w:sz w:val="24"/>
          <w:szCs w:val="24"/>
        </w:rPr>
      </w:pPr>
      <w:bookmarkStart w:id="36" w:name="_Toc381084884"/>
    </w:p>
    <w:p w:rsidR="00D1431F" w:rsidRPr="00F45957" w:rsidRDefault="00D1431F" w:rsidP="00D1431F">
      <w:pPr>
        <w:pStyle w:val="Heading3"/>
        <w:rPr>
          <w:sz w:val="24"/>
          <w:szCs w:val="24"/>
        </w:rPr>
      </w:pPr>
      <w:r w:rsidRPr="00F45957">
        <w:rPr>
          <w:sz w:val="24"/>
          <w:szCs w:val="24"/>
        </w:rPr>
        <w:t>3.6.3 Referral to Treatment (RTT) Non-Admitted</w:t>
      </w:r>
      <w:bookmarkEnd w:id="36"/>
    </w:p>
    <w:p w:rsidR="00D1431F" w:rsidRPr="00F45957" w:rsidRDefault="00D1431F" w:rsidP="00A35D63">
      <w:pPr>
        <w:pStyle w:val="NoSpacing"/>
        <w:jc w:val="both"/>
      </w:pPr>
      <w:r w:rsidRPr="00F45957">
        <w:t xml:space="preserve">The Trust continued to achieve the non-admitted target in </w:t>
      </w:r>
      <w:r w:rsidR="00BB5BDF">
        <w:t>August and September</w:t>
      </w:r>
      <w:r w:rsidR="00F60065" w:rsidRPr="00F45957">
        <w:t xml:space="preserve"> as illustrated in </w:t>
      </w:r>
      <w:r w:rsidR="00C33BA1">
        <w:rPr>
          <w:i/>
        </w:rPr>
        <w:t>Figure 24</w:t>
      </w:r>
      <w:r w:rsidR="00F60065" w:rsidRPr="00F45957">
        <w:rPr>
          <w:i/>
        </w:rPr>
        <w:t>.</w:t>
      </w:r>
      <w:r w:rsidR="00F60065" w:rsidRPr="00F45957">
        <w:t xml:space="preserve">  </w:t>
      </w:r>
    </w:p>
    <w:p w:rsidR="00D1431F" w:rsidRPr="00F45957" w:rsidRDefault="00D1431F" w:rsidP="00D1431F">
      <w:pPr>
        <w:pStyle w:val="NoSpacing"/>
        <w:rPr>
          <w:sz w:val="12"/>
        </w:rPr>
      </w:pPr>
    </w:p>
    <w:p w:rsidR="00D1431F" w:rsidRPr="00F45957" w:rsidRDefault="00C33BA1" w:rsidP="00D1431F">
      <w:pPr>
        <w:pStyle w:val="NoSpacing"/>
        <w:jc w:val="both"/>
        <w:rPr>
          <w:b/>
          <w:sz w:val="22"/>
        </w:rPr>
      </w:pPr>
      <w:r>
        <w:rPr>
          <w:b/>
          <w:sz w:val="22"/>
        </w:rPr>
        <w:t>Figure 24</w:t>
      </w:r>
      <w:r w:rsidR="00D1431F" w:rsidRPr="00F45957">
        <w:rPr>
          <w:b/>
          <w:sz w:val="22"/>
        </w:rPr>
        <w:t>:</w:t>
      </w:r>
    </w:p>
    <w:p w:rsidR="00D1431F" w:rsidRPr="00F1145A" w:rsidRDefault="00D1431F" w:rsidP="00D1431F">
      <w:pPr>
        <w:pStyle w:val="NoSpacing"/>
        <w:jc w:val="both"/>
        <w:rPr>
          <w:b/>
          <w:sz w:val="8"/>
          <w:highlight w:val="yellow"/>
        </w:rPr>
      </w:pPr>
    </w:p>
    <w:p w:rsidR="00D1431F" w:rsidRPr="00F1145A" w:rsidRDefault="00BB5BDF" w:rsidP="00D1431F">
      <w:pPr>
        <w:pStyle w:val="NoSpacing"/>
        <w:jc w:val="center"/>
        <w:rPr>
          <w:highlight w:val="yellow"/>
        </w:rPr>
      </w:pPr>
      <w:r w:rsidRPr="00BB5BDF">
        <w:rPr>
          <w:noProof/>
        </w:rPr>
        <w:drawing>
          <wp:inline distT="0" distB="0" distL="0" distR="0">
            <wp:extent cx="4743450" cy="2881687"/>
            <wp:effectExtent l="19050" t="0" r="0" b="0"/>
            <wp:docPr id="3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srcRect/>
                    <a:stretch>
                      <a:fillRect/>
                    </a:stretch>
                  </pic:blipFill>
                  <pic:spPr bwMode="auto">
                    <a:xfrm>
                      <a:off x="0" y="0"/>
                      <a:ext cx="4743450" cy="2881687"/>
                    </a:xfrm>
                    <a:prstGeom prst="rect">
                      <a:avLst/>
                    </a:prstGeom>
                    <a:noFill/>
                    <a:ln w="9525">
                      <a:noFill/>
                      <a:miter lim="800000"/>
                      <a:headEnd/>
                      <a:tailEnd/>
                    </a:ln>
                  </pic:spPr>
                </pic:pic>
              </a:graphicData>
            </a:graphic>
          </wp:inline>
        </w:drawing>
      </w:r>
    </w:p>
    <w:p w:rsidR="007C5259" w:rsidRDefault="007C5259" w:rsidP="00D1431F">
      <w:pPr>
        <w:spacing w:before="240"/>
        <w:jc w:val="both"/>
        <w:rPr>
          <w:b/>
          <w:sz w:val="24"/>
          <w:szCs w:val="24"/>
        </w:rPr>
      </w:pPr>
    </w:p>
    <w:p w:rsidR="007C5259" w:rsidRDefault="007C5259" w:rsidP="00D1431F">
      <w:pPr>
        <w:spacing w:before="240"/>
        <w:jc w:val="both"/>
        <w:rPr>
          <w:b/>
          <w:sz w:val="24"/>
          <w:szCs w:val="24"/>
        </w:rPr>
      </w:pPr>
    </w:p>
    <w:p w:rsidR="007C5259" w:rsidRDefault="007C5259" w:rsidP="00D1431F">
      <w:pPr>
        <w:spacing w:before="240"/>
        <w:jc w:val="both"/>
        <w:rPr>
          <w:b/>
          <w:sz w:val="24"/>
          <w:szCs w:val="24"/>
        </w:rPr>
      </w:pPr>
    </w:p>
    <w:p w:rsidR="007C5259" w:rsidRDefault="007C5259" w:rsidP="00D1431F">
      <w:pPr>
        <w:spacing w:before="240"/>
        <w:jc w:val="both"/>
        <w:rPr>
          <w:b/>
          <w:sz w:val="24"/>
          <w:szCs w:val="24"/>
        </w:rPr>
      </w:pPr>
    </w:p>
    <w:p w:rsidR="00D1431F" w:rsidRPr="009F31B6" w:rsidRDefault="00D1431F" w:rsidP="00D1431F">
      <w:pPr>
        <w:spacing w:before="240"/>
        <w:jc w:val="both"/>
        <w:rPr>
          <w:b/>
          <w:sz w:val="18"/>
          <w:szCs w:val="24"/>
        </w:rPr>
      </w:pPr>
      <w:r w:rsidRPr="00DC136A">
        <w:rPr>
          <w:b/>
          <w:sz w:val="24"/>
          <w:szCs w:val="24"/>
        </w:rPr>
        <w:lastRenderedPageBreak/>
        <w:t>Trust Action:</w:t>
      </w:r>
    </w:p>
    <w:p w:rsidR="00D1431F" w:rsidRPr="009F31B6" w:rsidRDefault="00D1431F" w:rsidP="00A35D63">
      <w:pPr>
        <w:pStyle w:val="NoSpacing"/>
        <w:jc w:val="both"/>
        <w:rPr>
          <w:sz w:val="14"/>
        </w:rPr>
      </w:pPr>
      <w:r w:rsidRPr="00DC136A">
        <w:t>The Trust will continue to undertake waiting list forward planning meetings where the waiting list for each specialty and the theatre timetable is reviewed on a</w:t>
      </w:r>
      <w:r w:rsidR="00BB5BDF">
        <w:t xml:space="preserve"> weekly basis with the </w:t>
      </w:r>
      <w:r w:rsidRPr="00DC136A">
        <w:t>Divisional Manager of Planned Care, Access Manager and Theatre Manager.  This has been strengthened with attendance of the Director of Operations to ensure improvement trajectories are delivered moving forward.</w:t>
      </w:r>
    </w:p>
    <w:p w:rsidR="007C5259" w:rsidRDefault="007C5259" w:rsidP="00D1431F">
      <w:pPr>
        <w:pStyle w:val="Heading3"/>
        <w:rPr>
          <w:sz w:val="24"/>
          <w:szCs w:val="24"/>
        </w:rPr>
      </w:pPr>
      <w:bookmarkStart w:id="37" w:name="_Toc381084885"/>
    </w:p>
    <w:p w:rsidR="00D1431F" w:rsidRPr="009F31B6" w:rsidRDefault="00D1431F" w:rsidP="00D1431F">
      <w:pPr>
        <w:pStyle w:val="Heading3"/>
        <w:rPr>
          <w:sz w:val="14"/>
          <w:szCs w:val="24"/>
        </w:rPr>
      </w:pPr>
      <w:r w:rsidRPr="00DC136A">
        <w:rPr>
          <w:sz w:val="24"/>
          <w:szCs w:val="24"/>
        </w:rPr>
        <w:t>3.6.4 Referral to Treatment (RTT) Incomplete</w:t>
      </w:r>
      <w:bookmarkEnd w:id="37"/>
    </w:p>
    <w:p w:rsidR="00D1431F" w:rsidRPr="009F31B6" w:rsidRDefault="00D1431F" w:rsidP="00D1431F">
      <w:pPr>
        <w:pStyle w:val="NoSpacing"/>
        <w:jc w:val="both"/>
        <w:rPr>
          <w:sz w:val="20"/>
        </w:rPr>
      </w:pPr>
      <w:r w:rsidRPr="00DC136A">
        <w:t xml:space="preserve">The 92% target </w:t>
      </w:r>
      <w:r w:rsidR="008F56CB" w:rsidRPr="00DC136A">
        <w:t>was</w:t>
      </w:r>
      <w:r w:rsidR="00540D6C">
        <w:t xml:space="preserve"> </w:t>
      </w:r>
      <w:r w:rsidR="005D62B9">
        <w:t>achieved for</w:t>
      </w:r>
      <w:r w:rsidR="009F31B6">
        <w:t xml:space="preserve"> September</w:t>
      </w:r>
      <w:r w:rsidR="008F56CB" w:rsidRPr="00DC136A">
        <w:t xml:space="preserve"> 2014 as illustrated in </w:t>
      </w:r>
      <w:r w:rsidR="008F56CB" w:rsidRPr="00DC136A">
        <w:rPr>
          <w:i/>
        </w:rPr>
        <w:t xml:space="preserve">Figure </w:t>
      </w:r>
      <w:r w:rsidR="00C42622" w:rsidRPr="00DC136A">
        <w:rPr>
          <w:i/>
        </w:rPr>
        <w:t>2</w:t>
      </w:r>
      <w:r w:rsidR="009F31B6">
        <w:rPr>
          <w:i/>
        </w:rPr>
        <w:t>5</w:t>
      </w:r>
      <w:r w:rsidR="008F56CB" w:rsidRPr="00DC136A">
        <w:t xml:space="preserve">.    </w:t>
      </w:r>
      <w:r w:rsidR="009F31B6">
        <w:t>This was expected according to plan.</w:t>
      </w:r>
      <w:r w:rsidR="003C68B9">
        <w:t xml:space="preserve">  The Trust has undertaken a rigorous validation of its waiting list supported by a team from the Trust Development Authority, this has driven new algorithms to be put in place to ensure the current validated waiting list position maintains at a manageable level on an ongoing basis.</w:t>
      </w:r>
    </w:p>
    <w:p w:rsidR="00D1431F" w:rsidRPr="009F31B6" w:rsidRDefault="00D1431F" w:rsidP="00D1431F">
      <w:pPr>
        <w:pStyle w:val="NoSpacing"/>
        <w:jc w:val="both"/>
        <w:rPr>
          <w:sz w:val="4"/>
          <w:szCs w:val="22"/>
        </w:rPr>
      </w:pPr>
    </w:p>
    <w:p w:rsidR="00985AF2" w:rsidRDefault="00985AF2" w:rsidP="00D1431F">
      <w:pPr>
        <w:pStyle w:val="NoSpacing"/>
        <w:jc w:val="both"/>
        <w:rPr>
          <w:b/>
          <w:szCs w:val="22"/>
        </w:rPr>
      </w:pPr>
    </w:p>
    <w:p w:rsidR="00D1431F" w:rsidRPr="00DC136A" w:rsidRDefault="00787AA9" w:rsidP="00D1431F">
      <w:pPr>
        <w:pStyle w:val="NoSpacing"/>
        <w:jc w:val="both"/>
        <w:rPr>
          <w:b/>
          <w:szCs w:val="22"/>
        </w:rPr>
      </w:pPr>
      <w:r>
        <w:rPr>
          <w:b/>
          <w:szCs w:val="22"/>
        </w:rPr>
        <w:t xml:space="preserve">Figure </w:t>
      </w:r>
      <w:r w:rsidR="009F31B6">
        <w:rPr>
          <w:b/>
          <w:szCs w:val="22"/>
        </w:rPr>
        <w:t>25</w:t>
      </w:r>
      <w:r w:rsidR="00D1431F" w:rsidRPr="00DC136A">
        <w:rPr>
          <w:b/>
          <w:szCs w:val="22"/>
        </w:rPr>
        <w:t>:</w:t>
      </w:r>
    </w:p>
    <w:p w:rsidR="00D1431F" w:rsidRPr="00F1145A" w:rsidRDefault="009F31B6" w:rsidP="00D1431F">
      <w:pPr>
        <w:pStyle w:val="NoSpacing"/>
        <w:jc w:val="center"/>
        <w:rPr>
          <w:b/>
          <w:sz w:val="22"/>
          <w:szCs w:val="22"/>
          <w:highlight w:val="yellow"/>
        </w:rPr>
      </w:pPr>
      <w:r w:rsidRPr="009F31B6">
        <w:rPr>
          <w:noProof/>
        </w:rPr>
        <w:drawing>
          <wp:inline distT="0" distB="0" distL="0" distR="0">
            <wp:extent cx="5410200" cy="3524250"/>
            <wp:effectExtent l="19050" t="0" r="0" b="0"/>
            <wp:docPr id="3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srcRect/>
                    <a:stretch>
                      <a:fillRect/>
                    </a:stretch>
                  </pic:blipFill>
                  <pic:spPr bwMode="auto">
                    <a:xfrm>
                      <a:off x="0" y="0"/>
                      <a:ext cx="5410200" cy="3524250"/>
                    </a:xfrm>
                    <a:prstGeom prst="rect">
                      <a:avLst/>
                    </a:prstGeom>
                    <a:noFill/>
                    <a:ln w="9525">
                      <a:noFill/>
                      <a:miter lim="800000"/>
                      <a:headEnd/>
                      <a:tailEnd/>
                    </a:ln>
                  </pic:spPr>
                </pic:pic>
              </a:graphicData>
            </a:graphic>
          </wp:inline>
        </w:drawing>
      </w:r>
    </w:p>
    <w:p w:rsidR="00D1431F" w:rsidRPr="00DC136A" w:rsidRDefault="00D1431F" w:rsidP="00D1431F">
      <w:pPr>
        <w:spacing w:before="240"/>
        <w:jc w:val="both"/>
        <w:rPr>
          <w:b/>
        </w:rPr>
      </w:pPr>
      <w:r w:rsidRPr="00DC136A">
        <w:rPr>
          <w:b/>
        </w:rPr>
        <w:lastRenderedPageBreak/>
        <w:t>Trust Action:</w:t>
      </w:r>
    </w:p>
    <w:p w:rsidR="00787AA9" w:rsidRDefault="00D1431F" w:rsidP="00787AA9">
      <w:pPr>
        <w:pStyle w:val="NoSpacing"/>
        <w:jc w:val="both"/>
      </w:pPr>
      <w:r w:rsidRPr="00DC136A">
        <w:t xml:space="preserve">The Trust will continue to undertake waiting list forward planning meetings where the waiting list for each specialty and the theatre timetable is reviewed on a </w:t>
      </w:r>
      <w:r w:rsidR="009F31B6">
        <w:t xml:space="preserve">weekly basis with the </w:t>
      </w:r>
      <w:r w:rsidRPr="00DC136A">
        <w:t>Divisional Manager of Planned Care, Access Manager and Theatre Manager, attendance has now been strengthened with the Director of Operations in attendance.</w:t>
      </w:r>
      <w:r w:rsidRPr="008F56CB">
        <w:t xml:space="preserve">   </w:t>
      </w:r>
      <w:bookmarkStart w:id="38" w:name="_Toc381084886"/>
    </w:p>
    <w:p w:rsidR="00C40868" w:rsidRDefault="00C40868" w:rsidP="00787AA9">
      <w:pPr>
        <w:pStyle w:val="NoSpacing"/>
        <w:jc w:val="both"/>
      </w:pPr>
    </w:p>
    <w:p w:rsidR="00D1431F" w:rsidRPr="009F31B6" w:rsidRDefault="00D1431F" w:rsidP="009F31B6">
      <w:pPr>
        <w:rPr>
          <w:rFonts w:asciiTheme="majorHAnsi" w:eastAsiaTheme="majorEastAsia" w:hAnsiTheme="majorHAnsi" w:cstheme="majorBidi"/>
          <w:b/>
          <w:bCs/>
          <w:color w:val="21798E" w:themeColor="accent1" w:themeShade="BF"/>
          <w:sz w:val="24"/>
        </w:rPr>
      </w:pPr>
      <w:r w:rsidRPr="009F31B6">
        <w:rPr>
          <w:b/>
          <w:color w:val="21798E" w:themeColor="accent1" w:themeShade="BF"/>
          <w:sz w:val="24"/>
        </w:rPr>
        <w:t>3.6.5 Choose and Book</w:t>
      </w:r>
      <w:bookmarkEnd w:id="38"/>
    </w:p>
    <w:p w:rsidR="004E7BAD" w:rsidRDefault="003C68B9" w:rsidP="004E7BAD">
      <w:pPr>
        <w:pStyle w:val="NoSpacing"/>
        <w:jc w:val="both"/>
      </w:pPr>
      <w:r>
        <w:t>Whilst i</w:t>
      </w:r>
      <w:r w:rsidR="008F56CB" w:rsidRPr="00E87913">
        <w:t xml:space="preserve">n </w:t>
      </w:r>
      <w:r>
        <w:t>August and September t</w:t>
      </w:r>
      <w:r w:rsidR="00D1431F" w:rsidRPr="00E87913">
        <w:t>he Trust did not achieve the 96% National target for Choose and Book slot availability</w:t>
      </w:r>
      <w:r>
        <w:t xml:space="preserve"> the September performance at 91% is the result of increased capacity in some previously over-stretched specialities and the move of two specialities which had experienced significant service problems to neighbouring providers.  This improvement is</w:t>
      </w:r>
      <w:r w:rsidR="00D1431F" w:rsidRPr="00E87913">
        <w:t xml:space="preserve"> depicted in </w:t>
      </w:r>
      <w:r w:rsidR="00D1431F" w:rsidRPr="00E87913">
        <w:rPr>
          <w:i/>
        </w:rPr>
        <w:t>Fi</w:t>
      </w:r>
      <w:r w:rsidR="00977913">
        <w:rPr>
          <w:i/>
        </w:rPr>
        <w:t>gure 26</w:t>
      </w:r>
      <w:r w:rsidR="00D1431F" w:rsidRPr="00E87913">
        <w:rPr>
          <w:i/>
        </w:rPr>
        <w:t>.</w:t>
      </w:r>
      <w:r w:rsidR="00D1431F" w:rsidRPr="00E87913">
        <w:t xml:space="preserve">  </w:t>
      </w:r>
    </w:p>
    <w:p w:rsidR="004E7BAD" w:rsidRDefault="004E7BAD" w:rsidP="004E7BAD">
      <w:pPr>
        <w:pStyle w:val="NoSpacing"/>
        <w:jc w:val="both"/>
        <w:rPr>
          <w:b/>
        </w:rPr>
      </w:pPr>
    </w:p>
    <w:p w:rsidR="00D1431F" w:rsidRPr="00E87913" w:rsidRDefault="00977913" w:rsidP="00D1431F">
      <w:pPr>
        <w:pStyle w:val="NoSpacing"/>
        <w:rPr>
          <w:b/>
          <w:szCs w:val="22"/>
        </w:rPr>
      </w:pPr>
      <w:r>
        <w:rPr>
          <w:b/>
          <w:szCs w:val="22"/>
        </w:rPr>
        <w:t>Figure 26</w:t>
      </w:r>
      <w:r w:rsidR="00D1431F" w:rsidRPr="00E87913">
        <w:rPr>
          <w:b/>
          <w:szCs w:val="22"/>
        </w:rPr>
        <w:t>:</w:t>
      </w:r>
    </w:p>
    <w:p w:rsidR="00D1431F" w:rsidRPr="008346DA" w:rsidRDefault="00977913" w:rsidP="00D1431F">
      <w:pPr>
        <w:jc w:val="center"/>
        <w:rPr>
          <w:highlight w:val="yellow"/>
        </w:rPr>
      </w:pPr>
      <w:r w:rsidRPr="00977913">
        <w:rPr>
          <w:noProof/>
        </w:rPr>
        <w:drawing>
          <wp:inline distT="0" distB="0" distL="0" distR="0">
            <wp:extent cx="5591175" cy="3524250"/>
            <wp:effectExtent l="19050" t="0" r="9525" b="0"/>
            <wp:docPr id="4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srcRect/>
                    <a:stretch>
                      <a:fillRect/>
                    </a:stretch>
                  </pic:blipFill>
                  <pic:spPr bwMode="auto">
                    <a:xfrm>
                      <a:off x="0" y="0"/>
                      <a:ext cx="5591175" cy="3524250"/>
                    </a:xfrm>
                    <a:prstGeom prst="rect">
                      <a:avLst/>
                    </a:prstGeom>
                    <a:noFill/>
                    <a:ln w="9525">
                      <a:noFill/>
                      <a:miter lim="800000"/>
                      <a:headEnd/>
                      <a:tailEnd/>
                    </a:ln>
                  </pic:spPr>
                </pic:pic>
              </a:graphicData>
            </a:graphic>
          </wp:inline>
        </w:drawing>
      </w:r>
    </w:p>
    <w:p w:rsidR="007C5259" w:rsidRDefault="007C5259" w:rsidP="009A292E">
      <w:pPr>
        <w:spacing w:before="240"/>
        <w:jc w:val="both"/>
        <w:rPr>
          <w:b/>
          <w:sz w:val="24"/>
          <w:szCs w:val="24"/>
        </w:rPr>
      </w:pPr>
    </w:p>
    <w:p w:rsidR="00D1431F" w:rsidRPr="00E87913" w:rsidRDefault="00D1431F" w:rsidP="009A292E">
      <w:pPr>
        <w:spacing w:before="240"/>
        <w:jc w:val="both"/>
        <w:rPr>
          <w:b/>
          <w:sz w:val="24"/>
          <w:szCs w:val="24"/>
        </w:rPr>
      </w:pPr>
      <w:r w:rsidRPr="00E87913">
        <w:rPr>
          <w:b/>
          <w:sz w:val="24"/>
          <w:szCs w:val="24"/>
        </w:rPr>
        <w:lastRenderedPageBreak/>
        <w:t>Trust Action:</w:t>
      </w:r>
    </w:p>
    <w:p w:rsidR="004E7BAD" w:rsidRDefault="004E7BAD" w:rsidP="004E7BAD">
      <w:pPr>
        <w:pStyle w:val="NoSpacing"/>
        <w:jc w:val="both"/>
      </w:pPr>
      <w:r>
        <w:t>Work is ongoing to continue to improve this performance and meet the 96% requirement by</w:t>
      </w:r>
      <w:r w:rsidRPr="00E87913">
        <w:t>:</w:t>
      </w:r>
    </w:p>
    <w:p w:rsidR="004E7BAD" w:rsidRDefault="004E7BAD" w:rsidP="004E7BAD">
      <w:pPr>
        <w:pStyle w:val="NoSpacing"/>
        <w:jc w:val="both"/>
      </w:pPr>
    </w:p>
    <w:p w:rsidR="004E7BAD" w:rsidRPr="00E87913" w:rsidRDefault="004E7BAD" w:rsidP="004E7BAD">
      <w:pPr>
        <w:pStyle w:val="NoSpacing"/>
        <w:jc w:val="both"/>
      </w:pPr>
      <w:r>
        <w:t>Review of capacity and demand required, particularly as we have</w:t>
      </w:r>
      <w:r w:rsidRPr="00E87913">
        <w:t xml:space="preserve"> experienced a continued increase in two week wait referrals resulting in choose and book slots being used to provide additional urgent appointments</w:t>
      </w:r>
    </w:p>
    <w:p w:rsidR="004E7BAD" w:rsidRDefault="004E7BAD" w:rsidP="004E7BAD">
      <w:pPr>
        <w:pStyle w:val="NoSpacing"/>
        <w:jc w:val="both"/>
      </w:pPr>
    </w:p>
    <w:p w:rsidR="004E7BAD" w:rsidRDefault="004E7BAD" w:rsidP="004E7BAD">
      <w:pPr>
        <w:pStyle w:val="NoSpacing"/>
        <w:jc w:val="both"/>
      </w:pPr>
      <w:r>
        <w:t xml:space="preserve">Work with neighbouring Trusts who provide some visiting services where capacity fails </w:t>
      </w:r>
      <w:r w:rsidRPr="00E87913">
        <w:t xml:space="preserve">to match demand leading to no slots being available for patients.  </w:t>
      </w:r>
    </w:p>
    <w:p w:rsidR="004E7BAD" w:rsidRPr="00E87913" w:rsidRDefault="004E7BAD" w:rsidP="004E7BAD">
      <w:pPr>
        <w:pStyle w:val="NoSpacing"/>
        <w:jc w:val="both"/>
      </w:pPr>
    </w:p>
    <w:p w:rsidR="00D1431F" w:rsidRPr="00E87913" w:rsidRDefault="00D1431F" w:rsidP="00D1431F">
      <w:pPr>
        <w:pStyle w:val="Heading3"/>
        <w:rPr>
          <w:sz w:val="24"/>
          <w:szCs w:val="24"/>
        </w:rPr>
      </w:pPr>
      <w:bookmarkStart w:id="39" w:name="_Toc381084887"/>
      <w:r w:rsidRPr="00E87913">
        <w:rPr>
          <w:sz w:val="24"/>
          <w:szCs w:val="24"/>
        </w:rPr>
        <w:t>3.6.6 Cancelled Operations</w:t>
      </w:r>
      <w:bookmarkEnd w:id="39"/>
    </w:p>
    <w:p w:rsidR="00D1431F" w:rsidRPr="00E87913" w:rsidRDefault="00D1431F" w:rsidP="00D1431F">
      <w:pPr>
        <w:spacing w:before="240" w:after="0"/>
        <w:jc w:val="both"/>
        <w:rPr>
          <w:rFonts w:cs="Arial"/>
          <w:sz w:val="24"/>
          <w:szCs w:val="24"/>
        </w:rPr>
      </w:pPr>
      <w:r w:rsidRPr="00E87913">
        <w:rPr>
          <w:rFonts w:cs="Arial"/>
          <w:sz w:val="24"/>
          <w:szCs w:val="24"/>
        </w:rPr>
        <w:t>Minimising the number of last minute cancelled operations for non clinical reasons is a key target for the Trust.  Elective surgery can be cancelled for a number of reasons including:</w:t>
      </w:r>
    </w:p>
    <w:p w:rsidR="00D1431F" w:rsidRPr="00E87913" w:rsidRDefault="00D1431F" w:rsidP="00CB6E44">
      <w:pPr>
        <w:pStyle w:val="ListParagraph"/>
        <w:numPr>
          <w:ilvl w:val="0"/>
          <w:numId w:val="10"/>
        </w:numPr>
        <w:spacing w:before="240" w:after="0"/>
        <w:jc w:val="both"/>
        <w:rPr>
          <w:rFonts w:cs="Arial"/>
          <w:sz w:val="24"/>
          <w:szCs w:val="24"/>
        </w:rPr>
      </w:pPr>
      <w:r w:rsidRPr="00E87913">
        <w:rPr>
          <w:rFonts w:cs="Arial"/>
          <w:sz w:val="24"/>
          <w:szCs w:val="24"/>
        </w:rPr>
        <w:t>Hospital Beds unavailable</w:t>
      </w:r>
    </w:p>
    <w:p w:rsidR="00D1431F" w:rsidRPr="00E87913" w:rsidRDefault="00D1431F" w:rsidP="00CB6E44">
      <w:pPr>
        <w:pStyle w:val="ListParagraph"/>
        <w:numPr>
          <w:ilvl w:val="0"/>
          <w:numId w:val="10"/>
        </w:numPr>
        <w:spacing w:before="240" w:after="0"/>
        <w:jc w:val="both"/>
        <w:rPr>
          <w:rFonts w:cs="Arial"/>
          <w:sz w:val="24"/>
          <w:szCs w:val="24"/>
        </w:rPr>
      </w:pPr>
      <w:r w:rsidRPr="00E87913">
        <w:rPr>
          <w:rFonts w:cs="Arial"/>
          <w:sz w:val="24"/>
          <w:szCs w:val="24"/>
        </w:rPr>
        <w:t>Surgeon or Anaesthetist unavailable</w:t>
      </w:r>
    </w:p>
    <w:p w:rsidR="00D1431F" w:rsidRPr="00E87913" w:rsidRDefault="00D1431F" w:rsidP="00CB6E44">
      <w:pPr>
        <w:pStyle w:val="ListParagraph"/>
        <w:numPr>
          <w:ilvl w:val="0"/>
          <w:numId w:val="10"/>
        </w:numPr>
        <w:spacing w:before="240" w:after="0"/>
        <w:jc w:val="both"/>
        <w:rPr>
          <w:rFonts w:cs="Arial"/>
          <w:sz w:val="24"/>
          <w:szCs w:val="24"/>
        </w:rPr>
      </w:pPr>
      <w:r w:rsidRPr="00E87913">
        <w:rPr>
          <w:rFonts w:cs="Arial"/>
          <w:sz w:val="24"/>
          <w:szCs w:val="24"/>
        </w:rPr>
        <w:t>Emergency case needing theatre</w:t>
      </w:r>
    </w:p>
    <w:p w:rsidR="00D1431F" w:rsidRPr="00E87913" w:rsidRDefault="00D1431F" w:rsidP="00CB6E44">
      <w:pPr>
        <w:pStyle w:val="ListParagraph"/>
        <w:numPr>
          <w:ilvl w:val="0"/>
          <w:numId w:val="10"/>
        </w:numPr>
        <w:spacing w:before="240" w:after="0"/>
        <w:jc w:val="both"/>
        <w:rPr>
          <w:rFonts w:cs="Arial"/>
          <w:sz w:val="24"/>
          <w:szCs w:val="24"/>
        </w:rPr>
      </w:pPr>
      <w:r w:rsidRPr="00E87913">
        <w:rPr>
          <w:rFonts w:cs="Arial"/>
          <w:sz w:val="24"/>
          <w:szCs w:val="24"/>
        </w:rPr>
        <w:t>Theatre list over-ran</w:t>
      </w:r>
    </w:p>
    <w:p w:rsidR="00D1431F" w:rsidRPr="00E87913" w:rsidRDefault="00D1431F" w:rsidP="00CB6E44">
      <w:pPr>
        <w:pStyle w:val="ListParagraph"/>
        <w:numPr>
          <w:ilvl w:val="0"/>
          <w:numId w:val="10"/>
        </w:numPr>
        <w:spacing w:before="240" w:after="0"/>
        <w:jc w:val="both"/>
        <w:rPr>
          <w:rFonts w:cs="Arial"/>
          <w:sz w:val="24"/>
          <w:szCs w:val="24"/>
        </w:rPr>
      </w:pPr>
      <w:r w:rsidRPr="00E87913">
        <w:rPr>
          <w:rFonts w:cs="Arial"/>
          <w:sz w:val="24"/>
          <w:szCs w:val="24"/>
        </w:rPr>
        <w:t>Equipment failure</w:t>
      </w:r>
    </w:p>
    <w:p w:rsidR="00D1431F" w:rsidRPr="00E87913" w:rsidRDefault="00D1431F" w:rsidP="00CB6E44">
      <w:pPr>
        <w:pStyle w:val="ListParagraph"/>
        <w:numPr>
          <w:ilvl w:val="0"/>
          <w:numId w:val="10"/>
        </w:numPr>
        <w:spacing w:before="240" w:after="0"/>
        <w:jc w:val="both"/>
        <w:rPr>
          <w:rFonts w:cs="Arial"/>
          <w:sz w:val="24"/>
          <w:szCs w:val="24"/>
        </w:rPr>
      </w:pPr>
      <w:r w:rsidRPr="00E87913">
        <w:rPr>
          <w:rFonts w:cs="Arial"/>
          <w:sz w:val="24"/>
          <w:szCs w:val="24"/>
        </w:rPr>
        <w:t>Administrative error</w:t>
      </w:r>
    </w:p>
    <w:p w:rsidR="00D1431F" w:rsidRPr="00E87913" w:rsidRDefault="00D1431F" w:rsidP="00D1431F">
      <w:pPr>
        <w:pStyle w:val="NoSpacing"/>
        <w:rPr>
          <w:highlight w:val="yellow"/>
        </w:rPr>
      </w:pPr>
    </w:p>
    <w:p w:rsidR="00D1431F" w:rsidRPr="00E87913" w:rsidRDefault="00D1431F" w:rsidP="00A35D63">
      <w:pPr>
        <w:jc w:val="both"/>
        <w:rPr>
          <w:sz w:val="24"/>
          <w:szCs w:val="24"/>
        </w:rPr>
      </w:pPr>
      <w:r w:rsidRPr="00E87913">
        <w:rPr>
          <w:sz w:val="24"/>
          <w:szCs w:val="24"/>
        </w:rPr>
        <w:t xml:space="preserve">In </w:t>
      </w:r>
      <w:r w:rsidR="00A435B4">
        <w:rPr>
          <w:sz w:val="24"/>
          <w:szCs w:val="24"/>
        </w:rPr>
        <w:t>August and September</w:t>
      </w:r>
      <w:r w:rsidR="00FA64D6" w:rsidRPr="00E87913">
        <w:rPr>
          <w:sz w:val="24"/>
          <w:szCs w:val="24"/>
        </w:rPr>
        <w:t xml:space="preserve"> </w:t>
      </w:r>
      <w:r w:rsidRPr="00E87913">
        <w:rPr>
          <w:sz w:val="24"/>
          <w:szCs w:val="24"/>
        </w:rPr>
        <w:t>the Trust did not achieve the internal Trust target for the cancellation of elective care operations for non-clinical reasons</w:t>
      </w:r>
      <w:r w:rsidR="00FA64D6" w:rsidRPr="00E87913">
        <w:rPr>
          <w:sz w:val="24"/>
          <w:szCs w:val="24"/>
        </w:rPr>
        <w:t xml:space="preserve">.  </w:t>
      </w:r>
      <w:r w:rsidRPr="00E87913">
        <w:rPr>
          <w:sz w:val="24"/>
          <w:szCs w:val="24"/>
        </w:rPr>
        <w:t xml:space="preserve"> </w:t>
      </w:r>
    </w:p>
    <w:p w:rsidR="007C5259" w:rsidRDefault="007C5259" w:rsidP="00D1431F">
      <w:pPr>
        <w:spacing w:before="240"/>
        <w:jc w:val="both"/>
        <w:rPr>
          <w:b/>
          <w:sz w:val="24"/>
          <w:szCs w:val="24"/>
        </w:rPr>
      </w:pPr>
    </w:p>
    <w:p w:rsidR="007C5259" w:rsidRDefault="007C5259" w:rsidP="00D1431F">
      <w:pPr>
        <w:spacing w:before="240"/>
        <w:jc w:val="both"/>
        <w:rPr>
          <w:b/>
          <w:sz w:val="24"/>
          <w:szCs w:val="24"/>
        </w:rPr>
      </w:pPr>
    </w:p>
    <w:p w:rsidR="007C5259" w:rsidRDefault="007C5259" w:rsidP="00D1431F">
      <w:pPr>
        <w:spacing w:before="240"/>
        <w:jc w:val="both"/>
        <w:rPr>
          <w:b/>
          <w:sz w:val="24"/>
          <w:szCs w:val="24"/>
        </w:rPr>
      </w:pPr>
    </w:p>
    <w:p w:rsidR="00D1431F" w:rsidRPr="00E87913" w:rsidRDefault="00D1431F" w:rsidP="00D1431F">
      <w:pPr>
        <w:spacing w:before="240"/>
        <w:jc w:val="both"/>
        <w:rPr>
          <w:b/>
          <w:sz w:val="24"/>
          <w:szCs w:val="24"/>
        </w:rPr>
      </w:pPr>
      <w:r w:rsidRPr="00E87913">
        <w:rPr>
          <w:b/>
          <w:sz w:val="24"/>
          <w:szCs w:val="24"/>
        </w:rPr>
        <w:lastRenderedPageBreak/>
        <w:t>Trust Action:</w:t>
      </w:r>
    </w:p>
    <w:p w:rsidR="00FA64D6" w:rsidRPr="00E87913" w:rsidRDefault="00FA64D6" w:rsidP="00FA64D6">
      <w:pPr>
        <w:jc w:val="both"/>
        <w:rPr>
          <w:sz w:val="24"/>
          <w:szCs w:val="24"/>
        </w:rPr>
      </w:pPr>
      <w:bookmarkStart w:id="40" w:name="_Toc381084889"/>
      <w:r w:rsidRPr="00E87913">
        <w:rPr>
          <w:sz w:val="24"/>
          <w:szCs w:val="24"/>
        </w:rPr>
        <w:t>To reduce the level of non-clinical cancellations a Theatre Scheduling meeting has been introduced where the theatre team, access team and operational managers will meet to review all theatre lists to ensure that all the theatre kit is ordered, the patient mix and order is optimised and to provide an opportunity to learn from past mistakes through reviewing cancellations a</w:t>
      </w:r>
      <w:r w:rsidR="0066113E">
        <w:rPr>
          <w:sz w:val="24"/>
          <w:szCs w:val="24"/>
        </w:rPr>
        <w:t>nd putting in place actions to s</w:t>
      </w:r>
      <w:r w:rsidRPr="00E87913">
        <w:rPr>
          <w:sz w:val="24"/>
          <w:szCs w:val="24"/>
        </w:rPr>
        <w:t xml:space="preserve">top reoccurrence.  </w:t>
      </w:r>
    </w:p>
    <w:p w:rsidR="007C5259" w:rsidRDefault="007C5259" w:rsidP="00D1431F">
      <w:pPr>
        <w:pStyle w:val="Heading2"/>
      </w:pPr>
    </w:p>
    <w:p w:rsidR="00D1431F" w:rsidRPr="00C40868" w:rsidRDefault="00D1431F" w:rsidP="00D1431F">
      <w:pPr>
        <w:pStyle w:val="Heading2"/>
      </w:pPr>
      <w:r w:rsidRPr="00C40868">
        <w:t>3.7 Patient Flow</w:t>
      </w:r>
      <w:bookmarkEnd w:id="40"/>
    </w:p>
    <w:p w:rsidR="00D1431F" w:rsidRPr="0066113E" w:rsidRDefault="00D1431F" w:rsidP="00D1431F">
      <w:pPr>
        <w:pStyle w:val="Default"/>
        <w:spacing w:line="276" w:lineRule="auto"/>
        <w:jc w:val="both"/>
        <w:rPr>
          <w:rFonts w:asciiTheme="minorHAnsi" w:hAnsiTheme="minorHAnsi" w:cs="Arial"/>
          <w:i/>
          <w:color w:val="auto"/>
        </w:rPr>
      </w:pPr>
      <w:r w:rsidRPr="0066113E">
        <w:rPr>
          <w:rFonts w:asciiTheme="minorHAnsi" w:hAnsiTheme="minorHAnsi" w:cs="Arial"/>
          <w:i/>
          <w:color w:val="auto"/>
        </w:rPr>
        <w:t xml:space="preserve">To support the delivery of key operational targets, it is vital that the Trust has good patient flow.  An important aspect of ensuring good patient flow is the level of discharges throughout the day and at the weekend.   </w:t>
      </w:r>
    </w:p>
    <w:p w:rsidR="00D1431F" w:rsidRPr="00C40868" w:rsidRDefault="00D1431F" w:rsidP="00D0237E">
      <w:pPr>
        <w:pStyle w:val="Heading3"/>
        <w:rPr>
          <w:sz w:val="24"/>
          <w:szCs w:val="24"/>
        </w:rPr>
      </w:pPr>
      <w:bookmarkStart w:id="41" w:name="_Toc381084890"/>
      <w:r w:rsidRPr="00C40868">
        <w:rPr>
          <w:sz w:val="24"/>
          <w:szCs w:val="24"/>
        </w:rPr>
        <w:t>3.7.1 Delayed Transfer of Care</w:t>
      </w:r>
      <w:bookmarkEnd w:id="41"/>
    </w:p>
    <w:p w:rsidR="00D1431F" w:rsidRPr="0066113E" w:rsidRDefault="00D1431F" w:rsidP="00A35D63">
      <w:pPr>
        <w:autoSpaceDE w:val="0"/>
        <w:autoSpaceDN w:val="0"/>
        <w:adjustRightInd w:val="0"/>
        <w:spacing w:after="0" w:line="240" w:lineRule="auto"/>
        <w:jc w:val="both"/>
        <w:rPr>
          <w:sz w:val="24"/>
        </w:rPr>
      </w:pPr>
      <w:r w:rsidRPr="0066113E">
        <w:rPr>
          <w:sz w:val="24"/>
        </w:rPr>
        <w:t>A delayed transfer of care is defined as when a patient is ready for transfer from acute care, but is still occupying an acute bed.  Patients can be delayed for the following reasons:</w:t>
      </w:r>
    </w:p>
    <w:p w:rsidR="00A35D63" w:rsidRPr="00787AA9" w:rsidRDefault="00A35D63" w:rsidP="00A35D63">
      <w:pPr>
        <w:autoSpaceDE w:val="0"/>
        <w:autoSpaceDN w:val="0"/>
        <w:adjustRightInd w:val="0"/>
        <w:spacing w:after="0" w:line="240" w:lineRule="auto"/>
        <w:jc w:val="both"/>
        <w:rPr>
          <w:sz w:val="8"/>
        </w:rPr>
      </w:pPr>
    </w:p>
    <w:p w:rsidR="00D1431F" w:rsidRPr="0066113E" w:rsidRDefault="00D1431F" w:rsidP="00CB6E44">
      <w:pPr>
        <w:pStyle w:val="ListParagraph"/>
        <w:numPr>
          <w:ilvl w:val="0"/>
          <w:numId w:val="9"/>
        </w:numPr>
        <w:autoSpaceDE w:val="0"/>
        <w:autoSpaceDN w:val="0"/>
        <w:adjustRightInd w:val="0"/>
        <w:spacing w:after="0" w:line="240" w:lineRule="auto"/>
        <w:jc w:val="both"/>
        <w:rPr>
          <w:sz w:val="24"/>
        </w:rPr>
      </w:pPr>
      <w:r w:rsidRPr="0066113E">
        <w:rPr>
          <w:sz w:val="24"/>
        </w:rPr>
        <w:t>Further assessment required before their discharge destination can be decided</w:t>
      </w:r>
    </w:p>
    <w:p w:rsidR="00D1431F" w:rsidRPr="0066113E" w:rsidRDefault="00D1431F" w:rsidP="00CB6E44">
      <w:pPr>
        <w:pStyle w:val="ListParagraph"/>
        <w:numPr>
          <w:ilvl w:val="0"/>
          <w:numId w:val="9"/>
        </w:numPr>
        <w:autoSpaceDE w:val="0"/>
        <w:autoSpaceDN w:val="0"/>
        <w:adjustRightInd w:val="0"/>
        <w:spacing w:after="0" w:line="240" w:lineRule="auto"/>
        <w:rPr>
          <w:sz w:val="24"/>
        </w:rPr>
      </w:pPr>
      <w:r w:rsidRPr="0066113E">
        <w:rPr>
          <w:sz w:val="24"/>
        </w:rPr>
        <w:t>Lack of capacity in local nursing/residential homes</w:t>
      </w:r>
    </w:p>
    <w:p w:rsidR="00D1431F" w:rsidRPr="0066113E" w:rsidRDefault="00D1431F" w:rsidP="00CB6E44">
      <w:pPr>
        <w:pStyle w:val="ListParagraph"/>
        <w:numPr>
          <w:ilvl w:val="0"/>
          <w:numId w:val="9"/>
        </w:numPr>
        <w:autoSpaceDE w:val="0"/>
        <w:autoSpaceDN w:val="0"/>
        <w:adjustRightInd w:val="0"/>
        <w:spacing w:after="0" w:line="240" w:lineRule="auto"/>
        <w:rPr>
          <w:sz w:val="24"/>
        </w:rPr>
      </w:pPr>
      <w:r w:rsidRPr="0066113E">
        <w:rPr>
          <w:sz w:val="24"/>
        </w:rPr>
        <w:t>They may require a specialist placement</w:t>
      </w:r>
    </w:p>
    <w:p w:rsidR="00D1431F" w:rsidRPr="0066113E" w:rsidRDefault="00D1431F" w:rsidP="00CB6E44">
      <w:pPr>
        <w:pStyle w:val="ListParagraph"/>
        <w:numPr>
          <w:ilvl w:val="0"/>
          <w:numId w:val="9"/>
        </w:numPr>
        <w:autoSpaceDE w:val="0"/>
        <w:autoSpaceDN w:val="0"/>
        <w:adjustRightInd w:val="0"/>
        <w:spacing w:after="0" w:line="240" w:lineRule="auto"/>
        <w:rPr>
          <w:sz w:val="24"/>
        </w:rPr>
      </w:pPr>
      <w:r w:rsidRPr="0066113E">
        <w:rPr>
          <w:sz w:val="24"/>
        </w:rPr>
        <w:t>Patient or their family/carer needs more time to make a decision about a long-term placement</w:t>
      </w:r>
    </w:p>
    <w:p w:rsidR="00D1431F" w:rsidRPr="00787AA9" w:rsidRDefault="00D1431F" w:rsidP="00D1431F">
      <w:pPr>
        <w:autoSpaceDE w:val="0"/>
        <w:autoSpaceDN w:val="0"/>
        <w:adjustRightInd w:val="0"/>
        <w:spacing w:after="0" w:line="240" w:lineRule="auto"/>
        <w:rPr>
          <w:sz w:val="8"/>
          <w:highlight w:val="yellow"/>
        </w:rPr>
      </w:pPr>
    </w:p>
    <w:p w:rsidR="00D1431F" w:rsidRPr="0066113E" w:rsidRDefault="00D1431F" w:rsidP="00A35D63">
      <w:pPr>
        <w:autoSpaceDE w:val="0"/>
        <w:autoSpaceDN w:val="0"/>
        <w:adjustRightInd w:val="0"/>
        <w:spacing w:after="0" w:line="240" w:lineRule="auto"/>
        <w:jc w:val="both"/>
        <w:rPr>
          <w:sz w:val="24"/>
        </w:rPr>
      </w:pPr>
      <w:r w:rsidRPr="0066113E">
        <w:rPr>
          <w:sz w:val="24"/>
        </w:rPr>
        <w:t xml:space="preserve">The Trust monitors performance daily against delayed transfers of care as high levels can have a big impact on the daily numbers of discharges, causing delays in allocating beds for emergency admissions or planned operations.  Performance in </w:t>
      </w:r>
      <w:r w:rsidR="00364A67">
        <w:rPr>
          <w:sz w:val="24"/>
        </w:rPr>
        <w:t xml:space="preserve">September increased </w:t>
      </w:r>
      <w:r w:rsidR="00FD13A8" w:rsidRPr="0066113E">
        <w:rPr>
          <w:sz w:val="24"/>
        </w:rPr>
        <w:t xml:space="preserve">slightly </w:t>
      </w:r>
      <w:r w:rsidR="00364A67">
        <w:rPr>
          <w:sz w:val="24"/>
        </w:rPr>
        <w:t>compared to the previous month</w:t>
      </w:r>
      <w:r w:rsidR="00FD13A8" w:rsidRPr="0066113E">
        <w:rPr>
          <w:sz w:val="24"/>
        </w:rPr>
        <w:t xml:space="preserve"> </w:t>
      </w:r>
      <w:r w:rsidRPr="0066113E">
        <w:rPr>
          <w:sz w:val="24"/>
        </w:rPr>
        <w:t>(</w:t>
      </w:r>
      <w:r w:rsidRPr="0066113E">
        <w:rPr>
          <w:i/>
          <w:sz w:val="24"/>
        </w:rPr>
        <w:t xml:space="preserve">Figure </w:t>
      </w:r>
      <w:r w:rsidR="00364A67">
        <w:rPr>
          <w:i/>
          <w:sz w:val="24"/>
        </w:rPr>
        <w:t>2</w:t>
      </w:r>
      <w:r w:rsidR="00C3187D">
        <w:rPr>
          <w:i/>
          <w:sz w:val="24"/>
        </w:rPr>
        <w:t>7</w:t>
      </w:r>
      <w:r w:rsidRPr="0066113E">
        <w:rPr>
          <w:sz w:val="24"/>
        </w:rPr>
        <w:t>).</w:t>
      </w:r>
      <w:r w:rsidR="00FD13A8" w:rsidRPr="0066113E">
        <w:rPr>
          <w:sz w:val="24"/>
        </w:rPr>
        <w:t xml:space="preserve">  </w:t>
      </w:r>
      <w:r w:rsidR="004E7BAD">
        <w:rPr>
          <w:sz w:val="24"/>
        </w:rPr>
        <w:t>However there is still considerable work to undertaken with partner organisations and</w:t>
      </w:r>
      <w:r w:rsidR="0066113E">
        <w:rPr>
          <w:sz w:val="24"/>
        </w:rPr>
        <w:t xml:space="preserve"> the use of the </w:t>
      </w:r>
      <w:r w:rsidR="0066113E" w:rsidRPr="0066113E">
        <w:rPr>
          <w:b/>
          <w:color w:val="00B050"/>
          <w:sz w:val="24"/>
        </w:rPr>
        <w:t>‘Green to Go’</w:t>
      </w:r>
      <w:r w:rsidR="004E7BAD">
        <w:rPr>
          <w:b/>
          <w:color w:val="00B050"/>
          <w:sz w:val="24"/>
        </w:rPr>
        <w:t xml:space="preserve"> </w:t>
      </w:r>
      <w:r w:rsidR="004E7BAD" w:rsidRPr="004E7BAD">
        <w:rPr>
          <w:color w:val="000000" w:themeColor="text1"/>
          <w:sz w:val="24"/>
        </w:rPr>
        <w:t>list</w:t>
      </w:r>
      <w:r w:rsidR="005168CD" w:rsidRPr="004E7BAD">
        <w:rPr>
          <w:sz w:val="24"/>
        </w:rPr>
        <w:t>.</w:t>
      </w:r>
      <w:r w:rsidR="00FD13A8" w:rsidRPr="0066113E">
        <w:rPr>
          <w:sz w:val="24"/>
        </w:rPr>
        <w:t xml:space="preserve">  </w:t>
      </w:r>
    </w:p>
    <w:p w:rsidR="00A35D63" w:rsidRPr="00787AA9" w:rsidRDefault="00A35D63" w:rsidP="00D1431F">
      <w:pPr>
        <w:autoSpaceDE w:val="0"/>
        <w:autoSpaceDN w:val="0"/>
        <w:adjustRightInd w:val="0"/>
        <w:spacing w:after="0" w:line="240" w:lineRule="auto"/>
        <w:rPr>
          <w:sz w:val="6"/>
        </w:rPr>
      </w:pPr>
    </w:p>
    <w:p w:rsidR="007C5259" w:rsidRDefault="007C5259" w:rsidP="00D1431F">
      <w:pPr>
        <w:autoSpaceDE w:val="0"/>
        <w:autoSpaceDN w:val="0"/>
        <w:adjustRightInd w:val="0"/>
        <w:spacing w:after="0" w:line="240" w:lineRule="auto"/>
        <w:rPr>
          <w:b/>
          <w:sz w:val="24"/>
        </w:rPr>
      </w:pPr>
    </w:p>
    <w:p w:rsidR="007C5259" w:rsidRDefault="007C5259" w:rsidP="00D1431F">
      <w:pPr>
        <w:autoSpaceDE w:val="0"/>
        <w:autoSpaceDN w:val="0"/>
        <w:adjustRightInd w:val="0"/>
        <w:spacing w:after="0" w:line="240" w:lineRule="auto"/>
        <w:rPr>
          <w:b/>
          <w:sz w:val="24"/>
        </w:rPr>
      </w:pPr>
    </w:p>
    <w:p w:rsidR="007C5259" w:rsidRDefault="007C5259" w:rsidP="00D1431F">
      <w:pPr>
        <w:autoSpaceDE w:val="0"/>
        <w:autoSpaceDN w:val="0"/>
        <w:adjustRightInd w:val="0"/>
        <w:spacing w:after="0" w:line="240" w:lineRule="auto"/>
        <w:rPr>
          <w:b/>
          <w:sz w:val="24"/>
        </w:rPr>
      </w:pPr>
    </w:p>
    <w:p w:rsidR="00D1431F" w:rsidRDefault="00C3187D" w:rsidP="00D1431F">
      <w:pPr>
        <w:autoSpaceDE w:val="0"/>
        <w:autoSpaceDN w:val="0"/>
        <w:adjustRightInd w:val="0"/>
        <w:spacing w:after="0" w:line="240" w:lineRule="auto"/>
        <w:rPr>
          <w:b/>
          <w:sz w:val="24"/>
        </w:rPr>
      </w:pPr>
      <w:r>
        <w:rPr>
          <w:b/>
          <w:sz w:val="24"/>
        </w:rPr>
        <w:lastRenderedPageBreak/>
        <w:t>Figure 27</w:t>
      </w:r>
      <w:r w:rsidR="00D1431F" w:rsidRPr="0066113E">
        <w:rPr>
          <w:b/>
          <w:sz w:val="24"/>
        </w:rPr>
        <w:t>:</w:t>
      </w:r>
    </w:p>
    <w:p w:rsidR="00787AA9" w:rsidRPr="0066113E" w:rsidRDefault="00787AA9" w:rsidP="00D1431F">
      <w:pPr>
        <w:autoSpaceDE w:val="0"/>
        <w:autoSpaceDN w:val="0"/>
        <w:adjustRightInd w:val="0"/>
        <w:spacing w:after="0" w:line="240" w:lineRule="auto"/>
        <w:rPr>
          <w:b/>
          <w:sz w:val="24"/>
        </w:rPr>
      </w:pPr>
    </w:p>
    <w:p w:rsidR="00D1431F" w:rsidRPr="008346DA" w:rsidRDefault="004A0112" w:rsidP="00D1431F">
      <w:pPr>
        <w:autoSpaceDE w:val="0"/>
        <w:autoSpaceDN w:val="0"/>
        <w:adjustRightInd w:val="0"/>
        <w:spacing w:after="0" w:line="240" w:lineRule="auto"/>
        <w:jc w:val="center"/>
        <w:rPr>
          <w:highlight w:val="yellow"/>
        </w:rPr>
      </w:pPr>
      <w:r w:rsidRPr="004A0112">
        <w:rPr>
          <w:noProof/>
        </w:rPr>
        <w:drawing>
          <wp:inline distT="0" distB="0" distL="0" distR="0">
            <wp:extent cx="5114925" cy="2637274"/>
            <wp:effectExtent l="19050" t="0" r="0"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srcRect/>
                    <a:stretch>
                      <a:fillRect/>
                    </a:stretch>
                  </pic:blipFill>
                  <pic:spPr bwMode="auto">
                    <a:xfrm>
                      <a:off x="0" y="0"/>
                      <a:ext cx="5119148" cy="2639452"/>
                    </a:xfrm>
                    <a:prstGeom prst="rect">
                      <a:avLst/>
                    </a:prstGeom>
                    <a:noFill/>
                    <a:ln w="9525">
                      <a:noFill/>
                      <a:miter lim="800000"/>
                      <a:headEnd/>
                      <a:tailEnd/>
                    </a:ln>
                  </pic:spPr>
                </pic:pic>
              </a:graphicData>
            </a:graphic>
          </wp:inline>
        </w:drawing>
      </w:r>
    </w:p>
    <w:p w:rsidR="00D1431F" w:rsidRPr="0066113E" w:rsidRDefault="00D1431F" w:rsidP="00A35D63">
      <w:pPr>
        <w:spacing w:before="240"/>
        <w:jc w:val="both"/>
        <w:rPr>
          <w:b/>
          <w:sz w:val="24"/>
        </w:rPr>
      </w:pPr>
      <w:r w:rsidRPr="0066113E">
        <w:rPr>
          <w:b/>
          <w:sz w:val="24"/>
        </w:rPr>
        <w:t>Trust Action:</w:t>
      </w:r>
    </w:p>
    <w:p w:rsidR="005A0BFB" w:rsidRDefault="00D1431F" w:rsidP="00A35D63">
      <w:pPr>
        <w:jc w:val="both"/>
        <w:rPr>
          <w:sz w:val="24"/>
        </w:rPr>
      </w:pPr>
      <w:r w:rsidRPr="0066113E">
        <w:rPr>
          <w:sz w:val="24"/>
        </w:rPr>
        <w:t xml:space="preserve">The Trust continues to work with health and social care partners in North Somerset to manage the </w:t>
      </w:r>
      <w:r w:rsidRPr="0066113E">
        <w:rPr>
          <w:b/>
          <w:color w:val="00B050"/>
          <w:sz w:val="24"/>
        </w:rPr>
        <w:t xml:space="preserve">‘Green to Go’ </w:t>
      </w:r>
      <w:r w:rsidRPr="0066113E">
        <w:rPr>
          <w:sz w:val="24"/>
        </w:rPr>
        <w:t>list, and where gaps in services are discovered, work with the Clinical Commissioning Group to identify how future commissioning can be organised to close these gaps, providing higher quality joined up care between all partners.   The numbers on the list are monitored daily on the system operational calls which include all partner organisations.</w:t>
      </w:r>
      <w:bookmarkStart w:id="42" w:name="_Toc381084891"/>
    </w:p>
    <w:p w:rsidR="004A0112" w:rsidRPr="0066113E" w:rsidRDefault="004A0112" w:rsidP="00A35D63">
      <w:pPr>
        <w:jc w:val="both"/>
        <w:rPr>
          <w:sz w:val="24"/>
        </w:rPr>
      </w:pPr>
      <w:r>
        <w:rPr>
          <w:sz w:val="24"/>
        </w:rPr>
        <w:t>Agencies and other care providers are invited in regularly to assess patients, particularly those who may have complex needs with a view to discharging as soon as possible.</w:t>
      </w:r>
    </w:p>
    <w:bookmarkEnd w:id="42"/>
    <w:p w:rsidR="00D1431F" w:rsidRPr="00BD0AEF" w:rsidRDefault="00D1431F" w:rsidP="00D1431F">
      <w:pPr>
        <w:pStyle w:val="Heading3"/>
        <w:rPr>
          <w:sz w:val="8"/>
        </w:rPr>
      </w:pPr>
    </w:p>
    <w:p w:rsidR="00D1431F" w:rsidRDefault="00D1431F" w:rsidP="00D1431F"/>
    <w:p w:rsidR="00D1431F" w:rsidRDefault="00D1431F" w:rsidP="00D1431F"/>
    <w:p w:rsidR="00D1431F" w:rsidRDefault="00D1431F" w:rsidP="00D1431F"/>
    <w:p w:rsidR="00D1431F" w:rsidRDefault="00D1431F" w:rsidP="00D1431F">
      <w:pPr>
        <w:rPr>
          <w:sz w:val="56"/>
        </w:rPr>
      </w:pPr>
      <w:r>
        <w:rPr>
          <w:sz w:val="56"/>
        </w:rPr>
        <w:br w:type="page"/>
      </w:r>
    </w:p>
    <w:p w:rsidR="00FD13A8" w:rsidRDefault="006101CF" w:rsidP="00FD13A8">
      <w:pPr>
        <w:pStyle w:val="Heading1"/>
      </w:pPr>
      <w:bookmarkStart w:id="43" w:name="_Toc328574063"/>
      <w:bookmarkStart w:id="44" w:name="_Toc339280278"/>
      <w:r>
        <w:rPr>
          <w:noProof/>
        </w:rPr>
        <w:lastRenderedPageBreak/>
        <w:pict>
          <v:roundrect id="AutoShape 33" o:spid="_x0000_s1042" style="position:absolute;margin-left:-19.5pt;margin-top:45.15pt;width:498pt;height:251.85pt;z-index:-2515988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" fillcolor="white [3201]" strokecolor="#79cbdf [1940]" strokeweight="1pt">
            <v:fill color2="#a6dcea [1300]" focus="100%" type="gradient"/>
            <v:shadow on="t" color="#16505e [1604]" opacity=".5" offset="1pt"/>
          </v:roundrect>
        </w:pict>
      </w:r>
      <w:r w:rsidR="00FD13A8" w:rsidRPr="00EC07FC">
        <w:rPr>
          <w:sz w:val="56"/>
        </w:rPr>
        <w:t xml:space="preserve">Section </w:t>
      </w:r>
      <w:r w:rsidR="009B6D65">
        <w:rPr>
          <w:sz w:val="56"/>
        </w:rPr>
        <w:t>4</w:t>
      </w:r>
      <w:r w:rsidR="00FD13A8" w:rsidRPr="00EC07FC">
        <w:rPr>
          <w:sz w:val="56"/>
        </w:rPr>
        <w:t xml:space="preserve"> </w:t>
      </w:r>
      <w:r w:rsidR="00FD13A8">
        <w:rPr>
          <w:sz w:val="56"/>
        </w:rPr>
        <w:t>W</w:t>
      </w:r>
      <w:r w:rsidR="003E4C07">
        <w:rPr>
          <w:sz w:val="56"/>
        </w:rPr>
        <w:t>orkforce</w:t>
      </w:r>
    </w:p>
    <w:p w:rsidR="00BC59CC" w:rsidRPr="00C40868" w:rsidRDefault="00857860" w:rsidP="00BC59CC">
      <w:pPr>
        <w:pStyle w:val="Heading2"/>
        <w:spacing w:after="100" w:afterAutospacing="1"/>
      </w:pPr>
      <w:bookmarkStart w:id="45" w:name="_Toc328574064"/>
      <w:bookmarkStart w:id="46" w:name="_Toc339280279"/>
      <w:bookmarkStart w:id="47" w:name="_Toc321407879"/>
      <w:r>
        <w:rPr>
          <w:rFonts w:cs="Arial"/>
          <w:sz w:val="22"/>
          <w:szCs w:val="22"/>
        </w:rPr>
        <w:tab/>
      </w:r>
      <w:bookmarkStart w:id="48" w:name="_Toc326332013"/>
      <w:bookmarkStart w:id="49" w:name="_Toc339280260"/>
      <w:bookmarkEnd w:id="43"/>
      <w:bookmarkEnd w:id="44"/>
      <w:bookmarkEnd w:id="45"/>
      <w:bookmarkEnd w:id="46"/>
      <w:bookmarkEnd w:id="47"/>
      <w:r w:rsidR="00BC59CC" w:rsidRPr="00C40868">
        <w:rPr>
          <w:rFonts w:cs="Arial"/>
        </w:rPr>
        <w:t xml:space="preserve">4.1 </w:t>
      </w:r>
      <w:r w:rsidR="00BC59CC" w:rsidRPr="00C40868">
        <w:rPr>
          <w:rFonts w:cs="Arial"/>
        </w:rPr>
        <w:tab/>
      </w:r>
      <w:r w:rsidR="00BC59CC" w:rsidRPr="00C40868">
        <w:t xml:space="preserve">Executive Summary Headlines </w:t>
      </w:r>
    </w:p>
    <w:p w:rsidR="00BC59CC" w:rsidRPr="00BC59CC" w:rsidRDefault="00BC59CC" w:rsidP="00BC59CC">
      <w:pPr>
        <w:pStyle w:val="ListParagraph"/>
        <w:widowControl w:val="0"/>
        <w:numPr>
          <w:ilvl w:val="0"/>
          <w:numId w:val="3"/>
        </w:numPr>
        <w:autoSpaceDE w:val="0"/>
        <w:autoSpaceDN w:val="0"/>
        <w:adjustRightInd w:val="0"/>
        <w:spacing w:after="240" w:line="240" w:lineRule="auto"/>
        <w:ind w:left="1275" w:hanging="578"/>
        <w:contextualSpacing w:val="0"/>
        <w:jc w:val="both"/>
        <w:rPr>
          <w:sz w:val="24"/>
          <w:szCs w:val="24"/>
        </w:rPr>
      </w:pPr>
      <w:r w:rsidRPr="00BC59CC">
        <w:rPr>
          <w:rFonts w:cs="Arial"/>
          <w:sz w:val="24"/>
          <w:szCs w:val="24"/>
        </w:rPr>
        <w:t>The temporary staffing cost in August was 11.45% of the total pay bill compared to 12.70% in September.</w:t>
      </w:r>
    </w:p>
    <w:p w:rsidR="00BC59CC" w:rsidRPr="00BC59CC" w:rsidRDefault="00BC59CC" w:rsidP="00BC59CC">
      <w:pPr>
        <w:pStyle w:val="ListParagraph"/>
        <w:widowControl w:val="0"/>
        <w:numPr>
          <w:ilvl w:val="0"/>
          <w:numId w:val="3"/>
        </w:numPr>
        <w:autoSpaceDE w:val="0"/>
        <w:autoSpaceDN w:val="0"/>
        <w:adjustRightInd w:val="0"/>
        <w:spacing w:after="240" w:line="240" w:lineRule="auto"/>
        <w:ind w:left="1276" w:hanging="578"/>
        <w:contextualSpacing w:val="0"/>
        <w:jc w:val="both"/>
        <w:rPr>
          <w:rFonts w:cs="Arial"/>
          <w:sz w:val="24"/>
          <w:szCs w:val="24"/>
        </w:rPr>
      </w:pPr>
      <w:r w:rsidRPr="00BC59CC">
        <w:rPr>
          <w:rFonts w:cs="Arial"/>
          <w:sz w:val="24"/>
          <w:szCs w:val="24"/>
        </w:rPr>
        <w:t>Sickness rates were decreased to 4.36% in August and increased to 4.52% in September.</w:t>
      </w:r>
    </w:p>
    <w:p w:rsidR="00BC59CC" w:rsidRPr="00BC59CC" w:rsidRDefault="00BC59CC" w:rsidP="00BC59CC">
      <w:pPr>
        <w:pStyle w:val="ListParagraph"/>
        <w:widowControl w:val="0"/>
        <w:numPr>
          <w:ilvl w:val="0"/>
          <w:numId w:val="3"/>
        </w:numPr>
        <w:autoSpaceDE w:val="0"/>
        <w:autoSpaceDN w:val="0"/>
        <w:adjustRightInd w:val="0"/>
        <w:spacing w:after="240" w:line="240" w:lineRule="auto"/>
        <w:ind w:left="1276" w:hanging="578"/>
        <w:contextualSpacing w:val="0"/>
        <w:jc w:val="both"/>
        <w:rPr>
          <w:rFonts w:cs="Arial"/>
          <w:b/>
          <w:sz w:val="24"/>
          <w:szCs w:val="24"/>
        </w:rPr>
      </w:pPr>
      <w:r w:rsidRPr="00BC59CC">
        <w:rPr>
          <w:rFonts w:cs="Arial"/>
          <w:sz w:val="24"/>
          <w:szCs w:val="24"/>
        </w:rPr>
        <w:t xml:space="preserve">The appraisal rate was 87.84% in August and 86.95% in September. </w:t>
      </w:r>
    </w:p>
    <w:p w:rsidR="00BC59CC" w:rsidRPr="00BC59CC" w:rsidRDefault="00BC59CC" w:rsidP="00BC59CC">
      <w:pPr>
        <w:pStyle w:val="ListParagraph"/>
        <w:widowControl w:val="0"/>
        <w:numPr>
          <w:ilvl w:val="0"/>
          <w:numId w:val="3"/>
        </w:numPr>
        <w:autoSpaceDE w:val="0"/>
        <w:autoSpaceDN w:val="0"/>
        <w:adjustRightInd w:val="0"/>
        <w:spacing w:after="240" w:line="240" w:lineRule="auto"/>
        <w:ind w:left="1276" w:hanging="578"/>
        <w:contextualSpacing w:val="0"/>
        <w:jc w:val="both"/>
        <w:rPr>
          <w:rFonts w:cs="Arial"/>
          <w:sz w:val="24"/>
          <w:szCs w:val="24"/>
        </w:rPr>
      </w:pPr>
      <w:r w:rsidRPr="00BC59CC">
        <w:rPr>
          <w:rFonts w:cs="Arial"/>
          <w:sz w:val="24"/>
          <w:szCs w:val="24"/>
        </w:rPr>
        <w:t>The training compliance rate was 82.54% in August and 81.84% in September.</w:t>
      </w:r>
    </w:p>
    <w:p w:rsidR="00BC59CC" w:rsidRDefault="00BC59CC" w:rsidP="00BC59CC">
      <w:pPr>
        <w:pStyle w:val="Heading2"/>
        <w:spacing w:after="100" w:afterAutospacing="1"/>
      </w:pPr>
      <w:bookmarkStart w:id="50" w:name="_Toc328574065"/>
      <w:bookmarkStart w:id="51" w:name="_Toc339280280"/>
    </w:p>
    <w:p w:rsidR="00BC59CC" w:rsidRPr="00C40868" w:rsidRDefault="00BC59CC" w:rsidP="00BC59CC">
      <w:pPr>
        <w:pStyle w:val="Heading2"/>
        <w:spacing w:after="100" w:afterAutospacing="1"/>
        <w:jc w:val="both"/>
      </w:pPr>
      <w:r w:rsidRPr="00C40868">
        <w:t xml:space="preserve">4.2 </w:t>
      </w:r>
      <w:r w:rsidRPr="00C40868">
        <w:tab/>
        <w:t>Workforce</w:t>
      </w:r>
      <w:bookmarkEnd w:id="50"/>
      <w:bookmarkEnd w:id="51"/>
    </w:p>
    <w:p w:rsidR="00BC59CC" w:rsidRPr="00BC59CC" w:rsidRDefault="00BC59CC" w:rsidP="00BC59CC">
      <w:pPr>
        <w:spacing w:after="100" w:afterAutospacing="1"/>
        <w:jc w:val="both"/>
        <w:rPr>
          <w:rFonts w:cs="Arial"/>
          <w:sz w:val="24"/>
          <w:szCs w:val="24"/>
        </w:rPr>
      </w:pPr>
      <w:r w:rsidRPr="00BC59CC">
        <w:rPr>
          <w:rFonts w:cs="Arial"/>
          <w:i/>
          <w:sz w:val="24"/>
          <w:szCs w:val="24"/>
        </w:rPr>
        <w:t>Figure 28</w:t>
      </w:r>
      <w:r w:rsidRPr="00BC59CC">
        <w:rPr>
          <w:rFonts w:cs="Arial"/>
          <w:sz w:val="24"/>
          <w:szCs w:val="24"/>
        </w:rPr>
        <w:t xml:space="preserve"> below shows the pay expenditure for contracted staff, for agency staff.</w:t>
      </w:r>
    </w:p>
    <w:p w:rsidR="00BC59CC" w:rsidRPr="00BC59CC" w:rsidRDefault="00BC59CC" w:rsidP="00BC59CC">
      <w:pPr>
        <w:pStyle w:val="Heading2"/>
        <w:spacing w:after="100" w:afterAutospacing="1"/>
        <w:rPr>
          <w:color w:val="auto"/>
        </w:rPr>
      </w:pPr>
      <w:r>
        <w:rPr>
          <w:color w:val="auto"/>
        </w:rPr>
        <w:t>Figure 28:</w:t>
      </w:r>
    </w:p>
    <w:p w:rsidR="00BC59CC" w:rsidRDefault="00BC59CC" w:rsidP="00BC59CC">
      <w:pPr>
        <w:pStyle w:val="Default"/>
        <w:spacing w:after="100" w:afterAutospacing="1"/>
        <w:jc w:val="center"/>
      </w:pPr>
      <w:r w:rsidRPr="008229B6">
        <w:rPr>
          <w:noProof/>
        </w:rPr>
        <w:drawing>
          <wp:inline distT="0" distB="0" distL="0" distR="0">
            <wp:extent cx="5257800" cy="2676525"/>
            <wp:effectExtent l="38100" t="19050" r="38100" b="9525"/>
            <wp:docPr id="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C59CC" w:rsidRPr="00BC59CC" w:rsidRDefault="00BC59CC" w:rsidP="00BC59CC">
      <w:pPr>
        <w:pStyle w:val="Default"/>
        <w:jc w:val="both"/>
        <w:rPr>
          <w:rFonts w:asciiTheme="minorHAnsi" w:hAnsiTheme="minorHAnsi"/>
        </w:rPr>
      </w:pPr>
      <w:r w:rsidRPr="00BC59CC">
        <w:rPr>
          <w:rFonts w:asciiTheme="minorHAnsi" w:hAnsiTheme="minorHAnsi"/>
          <w:i/>
        </w:rPr>
        <w:lastRenderedPageBreak/>
        <w:t xml:space="preserve">Figure </w:t>
      </w:r>
      <w:r w:rsidR="00B56A67" w:rsidRPr="00BC59CC">
        <w:rPr>
          <w:rFonts w:asciiTheme="minorHAnsi" w:hAnsiTheme="minorHAnsi"/>
          <w:i/>
        </w:rPr>
        <w:t>29</w:t>
      </w:r>
      <w:r w:rsidRPr="00BC59CC">
        <w:rPr>
          <w:rFonts w:asciiTheme="minorHAnsi" w:hAnsiTheme="minorHAnsi"/>
        </w:rPr>
        <w:t xml:space="preserve"> shows the temporary staffing usage as a month on month comparator.  Whilst it was previously reported of a significant decrease in the number of nurse agency staff, this decrease has not been sustained.  An increase in nurse agency usage has been particularly high during August and September.  This is relating to a number of factors which include opening of Cheddar requiring additional staffing for a whole ward, increased number of vacancies, in June there were 4 WTE vacancies compared to 11 WTE in September, high levels of annual leave granted during the school holidays, and high sickness is some areas of nursing. All of which have contributed to an increased agency usage. </w:t>
      </w:r>
    </w:p>
    <w:p w:rsidR="00BC59CC" w:rsidRPr="00BC59CC" w:rsidRDefault="00BC59CC" w:rsidP="00BC59CC">
      <w:pPr>
        <w:pStyle w:val="Default"/>
        <w:jc w:val="both"/>
        <w:rPr>
          <w:rFonts w:asciiTheme="minorHAnsi" w:hAnsiTheme="minorHAnsi"/>
        </w:rPr>
      </w:pPr>
    </w:p>
    <w:p w:rsidR="00BC59CC" w:rsidRPr="00BC59CC" w:rsidRDefault="00BC59CC" w:rsidP="00BC59CC">
      <w:pPr>
        <w:pStyle w:val="Default"/>
        <w:jc w:val="both"/>
        <w:rPr>
          <w:rFonts w:asciiTheme="minorHAnsi" w:hAnsiTheme="minorHAnsi"/>
        </w:rPr>
      </w:pPr>
      <w:r w:rsidRPr="00BC59CC">
        <w:rPr>
          <w:rFonts w:asciiTheme="minorHAnsi" w:hAnsiTheme="minorHAnsi"/>
        </w:rPr>
        <w:t xml:space="preserve">Ongoing recruitment has been taking place, including overseas recruitment in Italy and through Skype interviews.  These activities have yielded some success but not to the level previously experienced in 2013 which is due in some to the competition with other NHS Trusts also recruiting from within Europe and the length of the NMC process which delay the start dates of successful candidates.  </w:t>
      </w:r>
    </w:p>
    <w:p w:rsidR="00BC59CC" w:rsidRPr="00BC59CC" w:rsidRDefault="00BC59CC" w:rsidP="00BC59CC">
      <w:pPr>
        <w:pStyle w:val="Default"/>
        <w:jc w:val="both"/>
        <w:rPr>
          <w:rFonts w:asciiTheme="minorHAnsi" w:hAnsiTheme="minorHAnsi"/>
        </w:rPr>
      </w:pPr>
      <w:r w:rsidRPr="00BC59CC">
        <w:rPr>
          <w:rFonts w:asciiTheme="minorHAnsi" w:hAnsiTheme="minorHAnsi"/>
        </w:rPr>
        <w:t xml:space="preserve">A separate paper outlined the current position and a projection of nursing numbers is included within the board papers. </w:t>
      </w:r>
    </w:p>
    <w:p w:rsidR="00BC59CC" w:rsidRPr="00BC59CC" w:rsidRDefault="00BC59CC" w:rsidP="00BC59CC">
      <w:pPr>
        <w:pStyle w:val="Default"/>
        <w:jc w:val="both"/>
        <w:rPr>
          <w:rFonts w:asciiTheme="minorHAnsi" w:hAnsiTheme="minorHAnsi"/>
        </w:rPr>
      </w:pPr>
    </w:p>
    <w:p w:rsidR="00BC59CC" w:rsidRPr="00BC59CC" w:rsidRDefault="00BC59CC" w:rsidP="00BC59CC">
      <w:pPr>
        <w:pStyle w:val="Default"/>
        <w:jc w:val="both"/>
        <w:rPr>
          <w:rFonts w:asciiTheme="minorHAnsi" w:hAnsiTheme="minorHAnsi"/>
        </w:rPr>
      </w:pPr>
      <w:r w:rsidRPr="00BC59CC">
        <w:rPr>
          <w:rFonts w:asciiTheme="minorHAnsi" w:hAnsiTheme="minorHAnsi"/>
        </w:rPr>
        <w:t>The level of temporary staffing usage in the medical workforce has remained high; recruitment activity has been taking place with some success recruiting within the Emergency Department where four Staff Grade Doctors have been appointed into permanent posts and two NHS locums have been appointed into Consultant posts. At the time of preparing the board paper, a conditional offer has been made to a Consultant Gastroenterologist who will be visiting the Trust in early November.</w:t>
      </w:r>
    </w:p>
    <w:p w:rsidR="00BC59CC" w:rsidRPr="00BC59CC" w:rsidRDefault="00BC59CC" w:rsidP="00BC59CC">
      <w:pPr>
        <w:pStyle w:val="Default"/>
        <w:jc w:val="both"/>
        <w:rPr>
          <w:rFonts w:asciiTheme="minorHAnsi" w:hAnsiTheme="minorHAnsi"/>
        </w:rPr>
      </w:pPr>
    </w:p>
    <w:p w:rsidR="00BC59CC" w:rsidRPr="00BC59CC" w:rsidRDefault="00BC59CC" w:rsidP="00BC59CC">
      <w:pPr>
        <w:pStyle w:val="Default"/>
        <w:jc w:val="both"/>
        <w:rPr>
          <w:rFonts w:asciiTheme="minorHAnsi" w:hAnsiTheme="minorHAnsi"/>
        </w:rPr>
      </w:pPr>
      <w:r w:rsidRPr="00BC59CC">
        <w:rPr>
          <w:rFonts w:asciiTheme="minorHAnsi" w:hAnsiTheme="minorHAnsi"/>
        </w:rPr>
        <w:t>Unfortunately we have not made any appointments to the difficult to recruit positions within acute medicine, , and community paediatrics.</w:t>
      </w:r>
    </w:p>
    <w:p w:rsidR="00BC59CC" w:rsidRDefault="00BC59CC" w:rsidP="00BC59CC">
      <w:pPr>
        <w:pStyle w:val="Default"/>
        <w:rPr>
          <w:rFonts w:asciiTheme="minorHAnsi" w:hAnsiTheme="minorHAnsi"/>
        </w:rPr>
      </w:pPr>
    </w:p>
    <w:p w:rsidR="00BC59CC" w:rsidRPr="00BC59CC" w:rsidRDefault="00BC59CC" w:rsidP="00BC59CC">
      <w:pPr>
        <w:pStyle w:val="Default"/>
        <w:rPr>
          <w:rFonts w:asciiTheme="minorHAnsi" w:hAnsiTheme="minorHAnsi"/>
          <w:b/>
        </w:rPr>
        <w:sectPr w:rsidR="00BC59CC" w:rsidRPr="00BC59CC" w:rsidSect="00BC59CC">
          <w:pgSz w:w="11906" w:h="16838"/>
          <w:pgMar w:top="1440" w:right="1440" w:bottom="1440" w:left="1440" w:header="709" w:footer="709" w:gutter="0"/>
          <w:cols w:space="708"/>
          <w:docGrid w:linePitch="360"/>
        </w:sectPr>
      </w:pPr>
    </w:p>
    <w:p w:rsidR="00BC59CC" w:rsidRDefault="00BC59CC" w:rsidP="00BC59CC">
      <w:pPr>
        <w:pStyle w:val="Default"/>
      </w:pPr>
      <w:r w:rsidRPr="0073062A">
        <w:rPr>
          <w:noProof/>
        </w:rPr>
        <w:lastRenderedPageBreak/>
        <w:drawing>
          <wp:inline distT="0" distB="0" distL="0" distR="0">
            <wp:extent cx="8715375" cy="5334000"/>
            <wp:effectExtent l="38100" t="19050" r="28575" b="1905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C59CC" w:rsidRDefault="00BC59CC" w:rsidP="00BC59CC">
      <w:pPr>
        <w:pStyle w:val="Heading3"/>
        <w:spacing w:before="0" w:after="100" w:afterAutospacing="1"/>
        <w:rPr>
          <w:i/>
        </w:rPr>
        <w:sectPr w:rsidR="00BC59CC" w:rsidSect="00BC59CC">
          <w:pgSz w:w="16838" w:h="11906" w:orient="landscape"/>
          <w:pgMar w:top="1440" w:right="1440" w:bottom="1440" w:left="1440" w:header="709" w:footer="709" w:gutter="0"/>
          <w:cols w:space="708"/>
          <w:docGrid w:linePitch="360"/>
        </w:sectPr>
      </w:pPr>
      <w:bookmarkStart w:id="52" w:name="_Toc328574066"/>
      <w:bookmarkStart w:id="53" w:name="_Toc339280281"/>
    </w:p>
    <w:p w:rsidR="00BC59CC" w:rsidRPr="00BC59CC" w:rsidRDefault="00BC59CC" w:rsidP="00BC59CC">
      <w:pPr>
        <w:pStyle w:val="Heading3"/>
        <w:spacing w:before="0" w:after="100" w:afterAutospacing="1"/>
        <w:jc w:val="both"/>
        <w:rPr>
          <w:i/>
          <w:sz w:val="24"/>
          <w:szCs w:val="24"/>
        </w:rPr>
      </w:pPr>
      <w:r w:rsidRPr="00BC59CC">
        <w:rPr>
          <w:sz w:val="24"/>
          <w:szCs w:val="24"/>
        </w:rPr>
        <w:lastRenderedPageBreak/>
        <w:t>4.2.1</w:t>
      </w:r>
      <w:r w:rsidRPr="00BC59CC">
        <w:rPr>
          <w:sz w:val="24"/>
          <w:szCs w:val="24"/>
        </w:rPr>
        <w:tab/>
        <w:t>Sickness</w:t>
      </w:r>
      <w:bookmarkEnd w:id="52"/>
      <w:bookmarkEnd w:id="53"/>
    </w:p>
    <w:p w:rsidR="00BC59CC" w:rsidRPr="00BC59CC" w:rsidRDefault="00BC59CC" w:rsidP="00BC59CC">
      <w:pPr>
        <w:pStyle w:val="NoSpacing"/>
        <w:spacing w:after="100" w:afterAutospacing="1"/>
        <w:jc w:val="both"/>
      </w:pPr>
      <w:r w:rsidRPr="00BC59CC">
        <w:t xml:space="preserve">Sickness has continued to remain higher than in previous years and is higher than at this time last year.  The current level of sickness is disappointing, and whilst improvements have been made in some areas the overall Trust position requires urgent improvement.  Sickness audits have been completed which have identified some issues that are currently being worked on to help reduce sickness. </w:t>
      </w:r>
    </w:p>
    <w:p w:rsidR="00BC59CC" w:rsidRPr="00A567C7" w:rsidRDefault="00A567C7" w:rsidP="00BC59CC">
      <w:pPr>
        <w:pStyle w:val="Heading3"/>
        <w:spacing w:before="0" w:after="100" w:afterAutospacing="1"/>
        <w:rPr>
          <w:i/>
          <w:color w:val="auto"/>
        </w:rPr>
      </w:pPr>
      <w:r w:rsidRPr="00A567C7">
        <w:rPr>
          <w:color w:val="auto"/>
        </w:rPr>
        <w:t>Figure 30:</w:t>
      </w:r>
    </w:p>
    <w:p w:rsidR="00BC59CC" w:rsidRDefault="00BC59CC" w:rsidP="00BC59CC">
      <w:pPr>
        <w:spacing w:after="100" w:afterAutospacing="1"/>
        <w:rPr>
          <w:rFonts w:cs="Arial"/>
        </w:rPr>
      </w:pPr>
      <w:r w:rsidRPr="0073062A">
        <w:rPr>
          <w:rFonts w:cs="Arial"/>
          <w:noProof/>
        </w:rPr>
        <w:drawing>
          <wp:inline distT="0" distB="0" distL="0" distR="0">
            <wp:extent cx="5731510" cy="3746913"/>
            <wp:effectExtent l="38100" t="19050" r="40640" b="24987"/>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C59CC" w:rsidRPr="00BC59CC" w:rsidRDefault="00BC59CC" w:rsidP="00BC59CC">
      <w:pPr>
        <w:pStyle w:val="Default"/>
        <w:spacing w:after="100" w:afterAutospacing="1"/>
        <w:jc w:val="both"/>
      </w:pPr>
      <w:r w:rsidRPr="00BC59CC">
        <w:t xml:space="preserve">* Trust standard is </w:t>
      </w:r>
      <w:r w:rsidRPr="00BC59CC">
        <w:rPr>
          <w:rFonts w:asciiTheme="minorHAnsi" w:hAnsiTheme="minorHAnsi"/>
        </w:rPr>
        <w:t xml:space="preserve">≤ </w:t>
      </w:r>
      <w:r w:rsidRPr="00BC59CC">
        <w:t>3.0%</w:t>
      </w:r>
    </w:p>
    <w:p w:rsidR="00BC59CC" w:rsidRPr="00BC59CC" w:rsidRDefault="00BC59CC" w:rsidP="00BC59CC">
      <w:pPr>
        <w:pStyle w:val="Heading3"/>
        <w:spacing w:before="0" w:after="100" w:afterAutospacing="1"/>
        <w:jc w:val="both"/>
        <w:rPr>
          <w:i/>
          <w:sz w:val="24"/>
          <w:szCs w:val="24"/>
        </w:rPr>
      </w:pPr>
      <w:bookmarkStart w:id="54" w:name="_Toc328574067"/>
      <w:bookmarkStart w:id="55" w:name="_Toc339280282"/>
      <w:r w:rsidRPr="00BC59CC">
        <w:rPr>
          <w:sz w:val="24"/>
          <w:szCs w:val="24"/>
        </w:rPr>
        <w:t xml:space="preserve">4.2.2 </w:t>
      </w:r>
      <w:r w:rsidRPr="00BC59CC">
        <w:rPr>
          <w:sz w:val="24"/>
          <w:szCs w:val="24"/>
        </w:rPr>
        <w:tab/>
        <w:t>Statutory/Mandatory Training</w:t>
      </w:r>
      <w:bookmarkEnd w:id="54"/>
      <w:bookmarkEnd w:id="55"/>
    </w:p>
    <w:p w:rsidR="00BC59CC" w:rsidRPr="00BC59CC" w:rsidRDefault="00BC59CC" w:rsidP="00BC59CC">
      <w:pPr>
        <w:jc w:val="both"/>
        <w:rPr>
          <w:rFonts w:cs="Arial"/>
          <w:sz w:val="24"/>
          <w:szCs w:val="24"/>
        </w:rPr>
      </w:pPr>
      <w:r w:rsidRPr="00BC59CC">
        <w:rPr>
          <w:rFonts w:cs="Arial"/>
          <w:sz w:val="24"/>
          <w:szCs w:val="24"/>
        </w:rPr>
        <w:t xml:space="preserve">The statutory/mandatory training compliance rate was 82.54 in August and decreased to 81.84% in September.  As previously outlined the Trust has been taking a more robust approach towards staff that are non compliant, the first phase of this has been completed and the second phase is currently being implemented. </w:t>
      </w:r>
    </w:p>
    <w:p w:rsidR="00BC59CC" w:rsidRPr="00BC59CC" w:rsidRDefault="00BC59CC" w:rsidP="00BC59CC">
      <w:pPr>
        <w:pStyle w:val="Default"/>
        <w:jc w:val="both"/>
        <w:rPr>
          <w:rFonts w:asciiTheme="minorHAnsi" w:hAnsiTheme="minorHAnsi"/>
        </w:rPr>
      </w:pPr>
    </w:p>
    <w:p w:rsidR="00BC59CC" w:rsidRPr="00BC59CC" w:rsidRDefault="00BC59CC" w:rsidP="00BC59CC">
      <w:pPr>
        <w:pStyle w:val="Heading3"/>
        <w:spacing w:before="0" w:after="100" w:afterAutospacing="1"/>
        <w:jc w:val="both"/>
        <w:rPr>
          <w:i/>
          <w:sz w:val="24"/>
          <w:szCs w:val="24"/>
        </w:rPr>
      </w:pPr>
      <w:bookmarkStart w:id="56" w:name="_Toc328574068"/>
      <w:bookmarkStart w:id="57" w:name="_Toc339280283"/>
      <w:r w:rsidRPr="00BC59CC">
        <w:rPr>
          <w:sz w:val="24"/>
          <w:szCs w:val="24"/>
        </w:rPr>
        <w:lastRenderedPageBreak/>
        <w:t>4.2.3 Appraisal</w:t>
      </w:r>
      <w:bookmarkEnd w:id="56"/>
      <w:bookmarkEnd w:id="57"/>
    </w:p>
    <w:p w:rsidR="00BC59CC" w:rsidRPr="00A567C7" w:rsidRDefault="00BC59CC" w:rsidP="00A567C7">
      <w:pPr>
        <w:spacing w:after="100" w:afterAutospacing="1"/>
        <w:jc w:val="both"/>
        <w:rPr>
          <w:rFonts w:cs="Arial"/>
          <w:sz w:val="24"/>
          <w:szCs w:val="24"/>
        </w:rPr>
      </w:pPr>
      <w:r w:rsidRPr="00BC59CC">
        <w:rPr>
          <w:rFonts w:cs="Arial"/>
          <w:sz w:val="24"/>
          <w:szCs w:val="24"/>
        </w:rPr>
        <w:t xml:space="preserve">The appraisal compliance rate for August was 87.84% and decreased to 86.95% on September, with the Trust continuing to maintain a high appraisal rate. </w:t>
      </w:r>
    </w:p>
    <w:p w:rsidR="00BC59CC" w:rsidRPr="00BC59CC" w:rsidRDefault="00BC59CC" w:rsidP="00BC59CC">
      <w:pPr>
        <w:pStyle w:val="Heading3"/>
        <w:spacing w:before="0" w:after="100" w:afterAutospacing="1"/>
        <w:jc w:val="both"/>
        <w:rPr>
          <w:i/>
          <w:sz w:val="24"/>
          <w:szCs w:val="24"/>
        </w:rPr>
      </w:pPr>
      <w:r w:rsidRPr="00BC59CC">
        <w:rPr>
          <w:sz w:val="24"/>
          <w:szCs w:val="24"/>
        </w:rPr>
        <w:t>4.2.5 Staff Friends and Family Test</w:t>
      </w:r>
    </w:p>
    <w:p w:rsidR="00BC59CC" w:rsidRPr="00BC59CC" w:rsidRDefault="00BC59CC" w:rsidP="00BC59CC">
      <w:pPr>
        <w:spacing w:after="0"/>
        <w:jc w:val="both"/>
        <w:rPr>
          <w:sz w:val="24"/>
          <w:szCs w:val="24"/>
        </w:rPr>
      </w:pPr>
      <w:r w:rsidRPr="00BC59CC">
        <w:rPr>
          <w:sz w:val="24"/>
          <w:szCs w:val="24"/>
        </w:rPr>
        <w:t>The quarter one results for the friends and family test for staff have been received and show that:</w:t>
      </w:r>
    </w:p>
    <w:p w:rsidR="00BC59CC" w:rsidRPr="00BC59CC" w:rsidRDefault="00BC59CC" w:rsidP="00BC59CC">
      <w:pPr>
        <w:pStyle w:val="Default"/>
        <w:jc w:val="both"/>
        <w:rPr>
          <w:rFonts w:asciiTheme="minorHAnsi" w:hAnsiTheme="minorHAnsi"/>
        </w:rPr>
      </w:pPr>
    </w:p>
    <w:p w:rsidR="00BC59CC" w:rsidRPr="00BC59CC" w:rsidRDefault="00BC59CC" w:rsidP="00BC59CC">
      <w:pPr>
        <w:pStyle w:val="Default"/>
        <w:numPr>
          <w:ilvl w:val="0"/>
          <w:numId w:val="38"/>
        </w:numPr>
        <w:jc w:val="both"/>
        <w:rPr>
          <w:rFonts w:asciiTheme="minorHAnsi" w:hAnsiTheme="minorHAnsi"/>
        </w:rPr>
      </w:pPr>
      <w:r w:rsidRPr="00BC59CC">
        <w:rPr>
          <w:rFonts w:asciiTheme="minorHAnsi" w:hAnsiTheme="minorHAnsi"/>
        </w:rPr>
        <w:t>62% of staff would recommend the Trust as a place to work</w:t>
      </w:r>
    </w:p>
    <w:p w:rsidR="00BC59CC" w:rsidRPr="00BC59CC" w:rsidRDefault="00BC59CC" w:rsidP="00BC59CC">
      <w:pPr>
        <w:pStyle w:val="Default"/>
        <w:numPr>
          <w:ilvl w:val="0"/>
          <w:numId w:val="38"/>
        </w:numPr>
        <w:jc w:val="both"/>
        <w:rPr>
          <w:rFonts w:asciiTheme="minorHAnsi" w:hAnsiTheme="minorHAnsi"/>
        </w:rPr>
      </w:pPr>
      <w:r w:rsidRPr="00BC59CC">
        <w:rPr>
          <w:rFonts w:asciiTheme="minorHAnsi" w:hAnsiTheme="minorHAnsi"/>
        </w:rPr>
        <w:t>60% of staff would recommend the Trust as a place to receive treatment</w:t>
      </w:r>
    </w:p>
    <w:p w:rsidR="00BC59CC" w:rsidRPr="00BC59CC" w:rsidRDefault="00BC59CC" w:rsidP="00BC59CC">
      <w:pPr>
        <w:spacing w:after="0"/>
        <w:jc w:val="both"/>
        <w:rPr>
          <w:sz w:val="24"/>
          <w:szCs w:val="24"/>
        </w:rPr>
      </w:pPr>
    </w:p>
    <w:p w:rsidR="00BC59CC" w:rsidRPr="00BC59CC" w:rsidRDefault="00BC59CC" w:rsidP="00BC59CC">
      <w:pPr>
        <w:spacing w:after="0"/>
        <w:jc w:val="both"/>
        <w:rPr>
          <w:sz w:val="24"/>
          <w:szCs w:val="24"/>
        </w:rPr>
      </w:pPr>
      <w:r w:rsidRPr="00BC59CC">
        <w:rPr>
          <w:sz w:val="24"/>
          <w:szCs w:val="24"/>
        </w:rPr>
        <w:t>These results have been shared with staff through a number of listening events, where members of the executive have met with staff, discussed the results to help identify actions to help improve the outcomes of these two questions.</w:t>
      </w:r>
    </w:p>
    <w:p w:rsidR="00BC59CC" w:rsidRPr="00BC59CC" w:rsidRDefault="00BC59CC" w:rsidP="00BC59CC">
      <w:pPr>
        <w:pStyle w:val="Default"/>
        <w:jc w:val="both"/>
        <w:rPr>
          <w:rFonts w:asciiTheme="minorHAnsi" w:hAnsiTheme="minorHAnsi"/>
        </w:rPr>
      </w:pPr>
    </w:p>
    <w:p w:rsidR="00BC59CC" w:rsidRPr="00BC59CC" w:rsidRDefault="00BC59CC" w:rsidP="00BC59CC">
      <w:pPr>
        <w:pStyle w:val="Default"/>
        <w:jc w:val="both"/>
        <w:rPr>
          <w:rFonts w:asciiTheme="minorHAnsi" w:hAnsiTheme="minorHAnsi"/>
        </w:rPr>
      </w:pPr>
      <w:r w:rsidRPr="00BC59CC">
        <w:rPr>
          <w:rFonts w:asciiTheme="minorHAnsi" w:hAnsiTheme="minorHAnsi"/>
        </w:rPr>
        <w:t>The quarter two friends and family test have been completed and comments made by staff have been received, with a full report to be provided to the Trust by the end of November.  At the time of preparing this update, the results have not yet been issued to be within the public domain.</w:t>
      </w:r>
    </w:p>
    <w:p w:rsidR="00BC59CC" w:rsidRPr="00335543" w:rsidRDefault="00BC59CC" w:rsidP="00BC59CC">
      <w:pPr>
        <w:pStyle w:val="Default"/>
        <w:rPr>
          <w:rFonts w:asciiTheme="minorHAnsi" w:hAnsiTheme="minorHAnsi"/>
        </w:rPr>
      </w:pPr>
    </w:p>
    <w:p w:rsidR="008F22EE" w:rsidRPr="008F22EE" w:rsidRDefault="008F22EE" w:rsidP="00BC59CC">
      <w:pPr>
        <w:pStyle w:val="Heading2"/>
        <w:spacing w:after="100" w:afterAutospacing="1"/>
        <w:rPr>
          <w:rFonts w:cstheme="minorHAnsi"/>
          <w:sz w:val="24"/>
          <w:szCs w:val="24"/>
        </w:rPr>
      </w:pPr>
    </w:p>
    <w:p w:rsidR="008F22EE" w:rsidRDefault="008F22EE" w:rsidP="008F22EE">
      <w:pPr>
        <w:widowControl w:val="0"/>
        <w:autoSpaceDE w:val="0"/>
        <w:autoSpaceDN w:val="0"/>
        <w:adjustRightInd w:val="0"/>
        <w:spacing w:after="240" w:line="240" w:lineRule="auto"/>
        <w:jc w:val="both"/>
        <w:rPr>
          <w:rFonts w:asciiTheme="majorHAnsi" w:hAnsiTheme="majorHAnsi" w:cstheme="majorHAnsi"/>
          <w:b/>
          <w:color w:val="21798E" w:themeColor="accent1" w:themeShade="BF"/>
          <w:sz w:val="48"/>
          <w:szCs w:val="48"/>
        </w:rPr>
      </w:pPr>
    </w:p>
    <w:p w:rsidR="008F22EE" w:rsidRDefault="008F22EE" w:rsidP="008F22EE">
      <w:pPr>
        <w:widowControl w:val="0"/>
        <w:autoSpaceDE w:val="0"/>
        <w:autoSpaceDN w:val="0"/>
        <w:adjustRightInd w:val="0"/>
        <w:spacing w:after="240" w:line="240" w:lineRule="auto"/>
        <w:jc w:val="both"/>
        <w:rPr>
          <w:rFonts w:asciiTheme="majorHAnsi" w:hAnsiTheme="majorHAnsi" w:cstheme="majorHAnsi"/>
          <w:b/>
          <w:color w:val="21798E" w:themeColor="accent1" w:themeShade="BF"/>
          <w:sz w:val="48"/>
          <w:szCs w:val="48"/>
        </w:rPr>
      </w:pPr>
    </w:p>
    <w:p w:rsidR="008F22EE" w:rsidRDefault="008F22EE" w:rsidP="008F22EE">
      <w:pPr>
        <w:widowControl w:val="0"/>
        <w:autoSpaceDE w:val="0"/>
        <w:autoSpaceDN w:val="0"/>
        <w:adjustRightInd w:val="0"/>
        <w:spacing w:after="240" w:line="240" w:lineRule="auto"/>
        <w:jc w:val="both"/>
        <w:rPr>
          <w:rFonts w:asciiTheme="majorHAnsi" w:hAnsiTheme="majorHAnsi" w:cstheme="majorHAnsi"/>
          <w:b/>
          <w:color w:val="21798E" w:themeColor="accent1" w:themeShade="BF"/>
          <w:sz w:val="48"/>
          <w:szCs w:val="48"/>
        </w:rPr>
      </w:pPr>
    </w:p>
    <w:p w:rsidR="008F22EE" w:rsidRDefault="008F22EE" w:rsidP="008F22EE">
      <w:pPr>
        <w:widowControl w:val="0"/>
        <w:autoSpaceDE w:val="0"/>
        <w:autoSpaceDN w:val="0"/>
        <w:adjustRightInd w:val="0"/>
        <w:spacing w:after="240" w:line="240" w:lineRule="auto"/>
        <w:jc w:val="both"/>
        <w:rPr>
          <w:rFonts w:asciiTheme="majorHAnsi" w:hAnsiTheme="majorHAnsi" w:cstheme="majorHAnsi"/>
          <w:b/>
          <w:color w:val="21798E" w:themeColor="accent1" w:themeShade="BF"/>
          <w:sz w:val="48"/>
          <w:szCs w:val="48"/>
        </w:rPr>
      </w:pPr>
    </w:p>
    <w:p w:rsidR="00EC7890" w:rsidRPr="006236C6" w:rsidRDefault="00EC7890" w:rsidP="00EC7890">
      <w:pPr>
        <w:pStyle w:val="Title"/>
        <w:outlineLvl w:val="0"/>
        <w:rPr>
          <w:b/>
        </w:rPr>
      </w:pPr>
      <w:bookmarkStart w:id="58" w:name="_Toc388626829"/>
      <w:r w:rsidRPr="006236C6">
        <w:rPr>
          <w:b/>
        </w:rPr>
        <w:lastRenderedPageBreak/>
        <w:t>Section 5 - Finance Report</w:t>
      </w:r>
      <w:bookmarkEnd w:id="58"/>
    </w:p>
    <w:p w:rsidR="00EC7890" w:rsidRPr="006236C6" w:rsidRDefault="006101CF" w:rsidP="00EC7890">
      <w:pPr>
        <w:pStyle w:val="Heading2"/>
      </w:pPr>
      <w:bookmarkStart w:id="59" w:name="_Toc318461791"/>
      <w:r w:rsidRPr="006101CF">
        <w:rPr>
          <w:b w:val="0"/>
          <w:noProof/>
        </w:rPr>
        <w:pict>
          <v:roundrect id="_x0000_s1044" style="position:absolute;margin-left:-24.5pt;margin-top:22.15pt;width:511.55pt;height:207pt;z-index:-251581440" arcsize="10923f" fillcolor="white [3201]" strokecolor="#79cbdf [1940]" strokeweight="1pt">
            <v:fill color2="#a6dcea [1300]" focusposition="1" focussize="" focus="100%" type="gradient"/>
            <v:shadow on="t" type="perspective" color="#16505e [1604]" opacity=".5" offset="1pt" offset2="-3pt"/>
            <v:textbox style="mso-next-textbox:#_x0000_s1044">
              <w:txbxContent>
                <w:p w:rsidR="002D316E" w:rsidRPr="00EC7890" w:rsidRDefault="002D316E" w:rsidP="00EC7890"/>
              </w:txbxContent>
            </v:textbox>
          </v:roundrect>
        </w:pict>
      </w:r>
    </w:p>
    <w:p w:rsidR="00EC7890" w:rsidRPr="006236C6" w:rsidRDefault="00EC7890" w:rsidP="00EC7890">
      <w:pPr>
        <w:pStyle w:val="Heading2"/>
      </w:pPr>
      <w:bookmarkStart w:id="60" w:name="_Toc326332014"/>
      <w:bookmarkStart w:id="61" w:name="_Toc339280261"/>
      <w:bookmarkStart w:id="62" w:name="_Toc388626830"/>
      <w:r w:rsidRPr="006236C6">
        <w:t>5.1 Executive Summary Headlines</w:t>
      </w:r>
      <w:bookmarkEnd w:id="59"/>
      <w:bookmarkEnd w:id="60"/>
      <w:bookmarkEnd w:id="61"/>
      <w:bookmarkEnd w:id="62"/>
    </w:p>
    <w:p w:rsidR="00EC7890" w:rsidRPr="006236C6" w:rsidRDefault="00EC7890" w:rsidP="00EC7890">
      <w:pPr>
        <w:pStyle w:val="Heading2"/>
      </w:pPr>
      <w:r w:rsidRPr="006236C6">
        <w:t xml:space="preserve"> </w:t>
      </w:r>
    </w:p>
    <w:p w:rsidR="00EC7890" w:rsidRPr="006236C6" w:rsidRDefault="00EC7890" w:rsidP="00EC7890">
      <w:pPr>
        <w:pStyle w:val="BodyTextIndent"/>
        <w:widowControl/>
        <w:numPr>
          <w:ilvl w:val="0"/>
          <w:numId w:val="32"/>
        </w:numPr>
        <w:autoSpaceDE/>
        <w:autoSpaceDN/>
        <w:adjustRightInd/>
        <w:spacing w:after="240"/>
        <w:ind w:hanging="578"/>
        <w:jc w:val="both"/>
        <w:rPr>
          <w:rFonts w:asciiTheme="minorHAnsi" w:hAnsiTheme="minorHAnsi" w:cs="Arial"/>
        </w:rPr>
      </w:pPr>
      <w:r w:rsidRPr="006236C6">
        <w:rPr>
          <w:rFonts w:asciiTheme="minorHAnsi" w:hAnsiTheme="minorHAnsi" w:cs="Arial"/>
        </w:rPr>
        <w:t xml:space="preserve">The financial position at Month 6 is that the Trust is reporting a year to-date deficit of £2,508k which is in line with the plan. </w:t>
      </w:r>
    </w:p>
    <w:p w:rsidR="00EC7890" w:rsidRPr="006236C6" w:rsidRDefault="00EC7890" w:rsidP="00EC7890">
      <w:pPr>
        <w:pStyle w:val="BodyTextIndent"/>
        <w:widowControl/>
        <w:numPr>
          <w:ilvl w:val="0"/>
          <w:numId w:val="32"/>
        </w:numPr>
        <w:autoSpaceDE/>
        <w:autoSpaceDN/>
        <w:adjustRightInd/>
        <w:spacing w:after="240"/>
        <w:ind w:hanging="578"/>
        <w:jc w:val="both"/>
        <w:rPr>
          <w:rFonts w:asciiTheme="minorHAnsi" w:hAnsiTheme="minorHAnsi" w:cs="Arial"/>
        </w:rPr>
      </w:pPr>
      <w:r w:rsidRPr="006236C6">
        <w:rPr>
          <w:rFonts w:asciiTheme="minorHAnsi" w:hAnsiTheme="minorHAnsi" w:cs="Arial"/>
        </w:rPr>
        <w:t>Overall income is £256k over plan at the end of September.</w:t>
      </w:r>
    </w:p>
    <w:p w:rsidR="00EC7890" w:rsidRPr="006236C6" w:rsidRDefault="00EC7890" w:rsidP="00EC7890">
      <w:pPr>
        <w:pStyle w:val="BodyTextIndent"/>
        <w:widowControl/>
        <w:numPr>
          <w:ilvl w:val="0"/>
          <w:numId w:val="32"/>
        </w:numPr>
        <w:autoSpaceDE/>
        <w:autoSpaceDN/>
        <w:adjustRightInd/>
        <w:spacing w:after="240"/>
        <w:ind w:hanging="578"/>
        <w:jc w:val="both"/>
        <w:rPr>
          <w:rFonts w:asciiTheme="minorHAnsi" w:hAnsiTheme="minorHAnsi" w:cs="Arial"/>
        </w:rPr>
      </w:pPr>
      <w:r w:rsidRPr="006236C6">
        <w:rPr>
          <w:rFonts w:asciiTheme="minorHAnsi" w:hAnsiTheme="minorHAnsi" w:cs="Arial"/>
        </w:rPr>
        <w:t>Overall expenditure is £298k over plan at the end of September.</w:t>
      </w:r>
    </w:p>
    <w:p w:rsidR="00EC7890" w:rsidRPr="006236C6" w:rsidRDefault="00EC7890" w:rsidP="00EC7890">
      <w:pPr>
        <w:pStyle w:val="BodyTextIndent"/>
        <w:widowControl/>
        <w:numPr>
          <w:ilvl w:val="0"/>
          <w:numId w:val="32"/>
        </w:numPr>
        <w:autoSpaceDE/>
        <w:autoSpaceDN/>
        <w:adjustRightInd/>
        <w:spacing w:after="240"/>
        <w:ind w:hanging="578"/>
        <w:jc w:val="both"/>
        <w:rPr>
          <w:rFonts w:asciiTheme="minorHAnsi" w:hAnsiTheme="minorHAnsi" w:cs="Arial"/>
        </w:rPr>
      </w:pPr>
      <w:r w:rsidRPr="006236C6">
        <w:rPr>
          <w:rFonts w:asciiTheme="minorHAnsi" w:hAnsiTheme="minorHAnsi" w:cs="Arial"/>
        </w:rPr>
        <w:t xml:space="preserve">The Trusts plan for the year is a deficit budget of £4.95m. </w:t>
      </w:r>
    </w:p>
    <w:p w:rsidR="00EC7890" w:rsidRPr="006236C6" w:rsidRDefault="00EC7890" w:rsidP="00EC7890">
      <w:pPr>
        <w:pStyle w:val="Heading3"/>
        <w:spacing w:after="240"/>
        <w:rPr>
          <w:rStyle w:val="IntenseEmphasis"/>
        </w:rPr>
      </w:pPr>
      <w:bookmarkStart w:id="63" w:name="_Toc313625296"/>
      <w:bookmarkStart w:id="64" w:name="_Toc326332015"/>
      <w:bookmarkStart w:id="65" w:name="_Toc339280262"/>
    </w:p>
    <w:p w:rsidR="00EC7890" w:rsidRPr="00F33C2D" w:rsidRDefault="00EC7890" w:rsidP="00EC7890">
      <w:pPr>
        <w:pStyle w:val="Heading3"/>
        <w:spacing w:after="240"/>
        <w:rPr>
          <w:b w:val="0"/>
          <w:bCs w:val="0"/>
          <w:i/>
          <w:iCs/>
          <w:sz w:val="24"/>
          <w:szCs w:val="24"/>
        </w:rPr>
      </w:pPr>
      <w:bookmarkStart w:id="66" w:name="_Toc388626831"/>
      <w:r w:rsidRPr="00F33C2D">
        <w:rPr>
          <w:rStyle w:val="IntenseEmphasis"/>
          <w:i w:val="0"/>
          <w:sz w:val="24"/>
          <w:szCs w:val="24"/>
        </w:rPr>
        <w:t>5.1.1 Statement of Comprehensive Income Position to Date</w:t>
      </w:r>
      <w:bookmarkEnd w:id="66"/>
      <w:r w:rsidRPr="00F33C2D">
        <w:rPr>
          <w:rStyle w:val="IntenseEmphasis"/>
          <w:i w:val="0"/>
          <w:sz w:val="24"/>
          <w:szCs w:val="24"/>
        </w:rPr>
        <w:t xml:space="preserve"> </w:t>
      </w:r>
      <w:bookmarkEnd w:id="63"/>
      <w:bookmarkEnd w:id="64"/>
      <w:bookmarkEnd w:id="65"/>
    </w:p>
    <w:p w:rsidR="00EC7890" w:rsidRPr="006236C6" w:rsidRDefault="00EC7890" w:rsidP="00F33C2D">
      <w:pPr>
        <w:pStyle w:val="BodyTextIndent"/>
        <w:spacing w:after="240"/>
        <w:jc w:val="both"/>
        <w:rPr>
          <w:rFonts w:asciiTheme="minorHAnsi" w:hAnsiTheme="minorHAnsi" w:cs="Arial"/>
        </w:rPr>
      </w:pPr>
      <w:r w:rsidRPr="006236C6">
        <w:rPr>
          <w:rFonts w:asciiTheme="minorHAnsi" w:hAnsiTheme="minorHAnsi" w:cs="Arial"/>
        </w:rPr>
        <w:t>The financial position at Month 6 is that the Trust is reporting a £2,508k deficit which is in line with the annual plan.</w:t>
      </w:r>
    </w:p>
    <w:p w:rsidR="00EC7890" w:rsidRPr="00F33C2D" w:rsidRDefault="00EC7890" w:rsidP="00F33C2D">
      <w:pPr>
        <w:jc w:val="both"/>
        <w:rPr>
          <w:rFonts w:cs="Arial"/>
          <w:sz w:val="24"/>
          <w:szCs w:val="24"/>
        </w:rPr>
      </w:pPr>
      <w:r w:rsidRPr="00F33C2D">
        <w:rPr>
          <w:rFonts w:cs="Arial"/>
          <w:sz w:val="24"/>
          <w:szCs w:val="24"/>
        </w:rPr>
        <w:t xml:space="preserve">Revenue from patient activity is £6k over plan for the 6 months to the end of September 2014. Other sources of income are £250k over plan. </w:t>
      </w:r>
    </w:p>
    <w:p w:rsidR="00EC7890" w:rsidRPr="00F33C2D" w:rsidRDefault="00EC7890" w:rsidP="00F33C2D">
      <w:pPr>
        <w:pStyle w:val="Default"/>
        <w:jc w:val="both"/>
      </w:pPr>
    </w:p>
    <w:p w:rsidR="00EC7890" w:rsidRPr="00F33C2D" w:rsidRDefault="00EC7890" w:rsidP="00F33C2D">
      <w:pPr>
        <w:pStyle w:val="ListParagraph"/>
        <w:spacing w:after="240"/>
        <w:ind w:left="5"/>
        <w:jc w:val="both"/>
        <w:rPr>
          <w:rFonts w:cs="Arial"/>
          <w:sz w:val="24"/>
          <w:szCs w:val="24"/>
        </w:rPr>
      </w:pPr>
      <w:r w:rsidRPr="00F33C2D">
        <w:rPr>
          <w:rFonts w:cs="Arial"/>
          <w:sz w:val="24"/>
          <w:szCs w:val="24"/>
        </w:rPr>
        <w:t>Overall expenditure for pay, non pay and depreciation is £587k over plan for the 6 months to the end of September.  Pay and non pay expenditure is £622k over plan and this is offset by £324k of reserves.</w:t>
      </w:r>
    </w:p>
    <w:p w:rsidR="00EC7890" w:rsidRPr="006236C6" w:rsidRDefault="00EC7890" w:rsidP="00F33C2D">
      <w:pPr>
        <w:pStyle w:val="BodyTextIndent"/>
        <w:spacing w:after="240"/>
        <w:ind w:left="5"/>
        <w:jc w:val="both"/>
        <w:rPr>
          <w:rFonts w:asciiTheme="minorHAnsi" w:hAnsiTheme="minorHAnsi"/>
        </w:rPr>
      </w:pPr>
      <w:r w:rsidRPr="006236C6">
        <w:rPr>
          <w:rFonts w:asciiTheme="minorHAnsi" w:hAnsiTheme="minorHAnsi" w:cs="Arial"/>
        </w:rPr>
        <w:t xml:space="preserve">The Trust’s Service Improvement Programme (SIP) is below target by £118k with </w:t>
      </w:r>
      <w:r w:rsidRPr="006236C6">
        <w:rPr>
          <w:rFonts w:asciiTheme="minorHAnsi" w:hAnsiTheme="minorHAnsi"/>
        </w:rPr>
        <w:t>a year to date achievement of £1,858k against the target of £1,976k.</w:t>
      </w:r>
    </w:p>
    <w:p w:rsidR="00EC7890" w:rsidRPr="00F33C2D" w:rsidRDefault="00EC7890" w:rsidP="00F33C2D">
      <w:pPr>
        <w:jc w:val="both"/>
        <w:rPr>
          <w:rStyle w:val="IntenseEmphasis"/>
          <w:b w:val="0"/>
          <w:bCs w:val="0"/>
          <w:i w:val="0"/>
          <w:iCs w:val="0"/>
          <w:sz w:val="24"/>
          <w:szCs w:val="24"/>
        </w:rPr>
      </w:pPr>
      <w:r w:rsidRPr="00F33C2D">
        <w:rPr>
          <w:rFonts w:cs="Arial"/>
          <w:sz w:val="24"/>
          <w:szCs w:val="24"/>
        </w:rPr>
        <w:t>The adjusted run rate for expenditure has increased by £215k in September when compared with the August level.</w:t>
      </w:r>
      <w:bookmarkStart w:id="67" w:name="_Toc313625297"/>
      <w:bookmarkStart w:id="68" w:name="_Toc326332016"/>
      <w:bookmarkStart w:id="69" w:name="_Toc339280263"/>
      <w:bookmarkStart w:id="70" w:name="_Toc388626832"/>
    </w:p>
    <w:p w:rsidR="00EC7890" w:rsidRPr="00F33C2D" w:rsidRDefault="00EC7890" w:rsidP="00EC7890">
      <w:pPr>
        <w:pStyle w:val="Heading3"/>
        <w:spacing w:after="240"/>
        <w:rPr>
          <w:rStyle w:val="IntenseEmphasis"/>
          <w:i w:val="0"/>
          <w:sz w:val="24"/>
          <w:szCs w:val="24"/>
        </w:rPr>
      </w:pPr>
      <w:r w:rsidRPr="00F33C2D">
        <w:rPr>
          <w:rStyle w:val="IntenseEmphasis"/>
          <w:i w:val="0"/>
          <w:sz w:val="24"/>
          <w:szCs w:val="24"/>
        </w:rPr>
        <w:t xml:space="preserve">5.1.2 Statement of Comprehensive Income Position </w:t>
      </w:r>
      <w:r w:rsidR="00F33C2D" w:rsidRPr="00F33C2D">
        <w:rPr>
          <w:rStyle w:val="IntenseEmphasis"/>
          <w:i w:val="0"/>
          <w:sz w:val="24"/>
          <w:szCs w:val="24"/>
        </w:rPr>
        <w:t>i</w:t>
      </w:r>
      <w:r w:rsidRPr="00F33C2D">
        <w:rPr>
          <w:rStyle w:val="IntenseEmphasis"/>
          <w:i w:val="0"/>
          <w:sz w:val="24"/>
          <w:szCs w:val="24"/>
        </w:rPr>
        <w:t xml:space="preserve">n Month </w:t>
      </w:r>
    </w:p>
    <w:p w:rsidR="00EC7890" w:rsidRPr="00F33C2D" w:rsidRDefault="00EC7890" w:rsidP="008E036C">
      <w:pPr>
        <w:jc w:val="both"/>
        <w:rPr>
          <w:sz w:val="24"/>
          <w:szCs w:val="24"/>
        </w:rPr>
      </w:pPr>
      <w:r w:rsidRPr="00F33C2D">
        <w:rPr>
          <w:sz w:val="24"/>
          <w:szCs w:val="24"/>
        </w:rPr>
        <w:t>Income from patient care activity is £130k greater than plan whilst other sources of income generated £55k more than plan.</w:t>
      </w:r>
    </w:p>
    <w:p w:rsidR="00EC7890" w:rsidRPr="006236C6" w:rsidRDefault="00EC7890" w:rsidP="00EC7890">
      <w:pPr>
        <w:pStyle w:val="Default"/>
        <w:rPr>
          <w:rFonts w:asciiTheme="minorHAnsi" w:hAnsiTheme="minorHAnsi"/>
        </w:rPr>
      </w:pPr>
    </w:p>
    <w:p w:rsidR="00EC7890" w:rsidRPr="006236C6" w:rsidRDefault="00EC7890" w:rsidP="00EC7890">
      <w:pPr>
        <w:pStyle w:val="Default"/>
        <w:rPr>
          <w:rFonts w:asciiTheme="minorHAnsi" w:hAnsiTheme="minorHAnsi"/>
        </w:rPr>
      </w:pPr>
      <w:r w:rsidRPr="006236C6">
        <w:rPr>
          <w:rFonts w:asciiTheme="minorHAnsi" w:hAnsiTheme="minorHAnsi"/>
        </w:rPr>
        <w:t xml:space="preserve">Pay and non pay expenditure, including savings delivery, is £220k over plan for the month of </w:t>
      </w:r>
      <w:bookmarkEnd w:id="67"/>
      <w:bookmarkEnd w:id="68"/>
      <w:bookmarkEnd w:id="69"/>
      <w:bookmarkEnd w:id="70"/>
      <w:r w:rsidRPr="006236C6">
        <w:rPr>
          <w:rFonts w:asciiTheme="minorHAnsi" w:hAnsiTheme="minorHAnsi"/>
        </w:rPr>
        <w:t xml:space="preserve">September. </w:t>
      </w:r>
    </w:p>
    <w:p w:rsidR="00EC7890" w:rsidRPr="006236C6" w:rsidRDefault="00EC7890" w:rsidP="00EC7890">
      <w:pPr>
        <w:pStyle w:val="Default"/>
        <w:rPr>
          <w:rStyle w:val="IntenseEmphasis"/>
          <w:rFonts w:asciiTheme="minorHAnsi" w:hAnsiTheme="minorHAnsi"/>
          <w:b w:val="0"/>
          <w:bCs w:val="0"/>
          <w:i w:val="0"/>
          <w:iCs w:val="0"/>
        </w:rPr>
      </w:pPr>
    </w:p>
    <w:p w:rsidR="00EC7890" w:rsidRPr="006236C6" w:rsidRDefault="00EC7890" w:rsidP="00EC7890">
      <w:pPr>
        <w:pStyle w:val="BodyTextIndent"/>
        <w:spacing w:after="240"/>
        <w:ind w:left="5"/>
        <w:jc w:val="both"/>
        <w:rPr>
          <w:rFonts w:asciiTheme="minorHAnsi" w:hAnsiTheme="minorHAnsi"/>
        </w:rPr>
      </w:pPr>
      <w:r w:rsidRPr="006236C6">
        <w:rPr>
          <w:rFonts w:asciiTheme="minorHAnsi" w:hAnsiTheme="minorHAnsi" w:cs="Arial"/>
        </w:rPr>
        <w:t>The Trust’s Service Improvement Programme (SIP) delivered £410k in September against a plan of £413k and is now only £118k below target for the year to date.</w:t>
      </w:r>
    </w:p>
    <w:p w:rsidR="00EC7890" w:rsidRPr="00F33C2D" w:rsidRDefault="00EC7890" w:rsidP="00EC7890">
      <w:pPr>
        <w:pStyle w:val="Heading3"/>
        <w:spacing w:after="240"/>
        <w:rPr>
          <w:rStyle w:val="IntenseEmphasis"/>
          <w:b/>
          <w:bCs/>
          <w:i w:val="0"/>
          <w:iCs w:val="0"/>
          <w:sz w:val="24"/>
          <w:szCs w:val="24"/>
        </w:rPr>
      </w:pPr>
      <w:bookmarkStart w:id="71" w:name="_Toc326332018"/>
      <w:bookmarkStart w:id="72" w:name="_Toc388626833"/>
      <w:bookmarkStart w:id="73" w:name="_Toc313625301"/>
      <w:r w:rsidRPr="00F33C2D">
        <w:rPr>
          <w:rStyle w:val="IntenseEmphasis"/>
          <w:i w:val="0"/>
          <w:sz w:val="24"/>
          <w:szCs w:val="24"/>
        </w:rPr>
        <w:t>5.1.3 Cash</w:t>
      </w:r>
      <w:bookmarkEnd w:id="71"/>
      <w:bookmarkEnd w:id="72"/>
      <w:r w:rsidRPr="00F33C2D">
        <w:rPr>
          <w:rStyle w:val="IntenseEmphasis"/>
          <w:i w:val="0"/>
          <w:sz w:val="24"/>
          <w:szCs w:val="24"/>
        </w:rPr>
        <w:t xml:space="preserve"> </w:t>
      </w:r>
      <w:bookmarkEnd w:id="73"/>
    </w:p>
    <w:p w:rsidR="00EC7890" w:rsidRPr="008E036C" w:rsidRDefault="00EC7890" w:rsidP="00EC7890">
      <w:pPr>
        <w:jc w:val="both"/>
        <w:rPr>
          <w:rFonts w:cs="Arial"/>
          <w:sz w:val="24"/>
          <w:szCs w:val="24"/>
        </w:rPr>
      </w:pPr>
      <w:r w:rsidRPr="008E036C">
        <w:rPr>
          <w:rFonts w:cs="Arial"/>
          <w:sz w:val="24"/>
          <w:szCs w:val="24"/>
        </w:rPr>
        <w:t>The cash plan for 2014/15 is to hold a balance of £532k at 31</w:t>
      </w:r>
      <w:r w:rsidRPr="008E036C">
        <w:rPr>
          <w:rFonts w:cs="Arial"/>
          <w:sz w:val="24"/>
          <w:szCs w:val="24"/>
          <w:vertAlign w:val="superscript"/>
        </w:rPr>
        <w:t>st</w:t>
      </w:r>
      <w:r w:rsidRPr="008E036C">
        <w:rPr>
          <w:rFonts w:cs="Arial"/>
          <w:sz w:val="24"/>
          <w:szCs w:val="24"/>
        </w:rPr>
        <w:t xml:space="preserve"> March 2015 and this will be delivered through the in year management of cash and working balances. The cash balance of £2,617k, as at 30th September, is £1,111k higher than the planned position of £1,506k. </w:t>
      </w:r>
    </w:p>
    <w:p w:rsidR="00EC7890" w:rsidRPr="008E036C" w:rsidRDefault="00EC7890" w:rsidP="00EC7890">
      <w:pPr>
        <w:jc w:val="both"/>
        <w:rPr>
          <w:rFonts w:cs="Arial"/>
          <w:sz w:val="24"/>
          <w:szCs w:val="24"/>
        </w:rPr>
      </w:pPr>
      <w:r w:rsidRPr="008E036C">
        <w:rPr>
          <w:rFonts w:cs="Arial"/>
          <w:sz w:val="24"/>
          <w:szCs w:val="24"/>
        </w:rPr>
        <w:t>The Trust will drawdown £2,475k permanent Public Dividend Capital (PDC) Revenue in October and repay the advance of cash received by the North Somerset CCG.</w:t>
      </w:r>
      <w:bookmarkStart w:id="74" w:name="_Toc388626834"/>
      <w:r w:rsidRPr="008E036C">
        <w:rPr>
          <w:rFonts w:cs="Arial"/>
          <w:sz w:val="24"/>
          <w:szCs w:val="24"/>
        </w:rPr>
        <w:t xml:space="preserve"> </w:t>
      </w:r>
    </w:p>
    <w:p w:rsidR="00EC7890" w:rsidRPr="00F33C2D" w:rsidRDefault="00EC7890" w:rsidP="00EC7890">
      <w:pPr>
        <w:pStyle w:val="Heading3"/>
        <w:spacing w:after="240"/>
        <w:rPr>
          <w:rStyle w:val="IntenseEmphasis"/>
          <w:i w:val="0"/>
          <w:sz w:val="24"/>
          <w:szCs w:val="24"/>
        </w:rPr>
      </w:pPr>
      <w:r w:rsidRPr="00F33C2D">
        <w:rPr>
          <w:rStyle w:val="IntenseEmphasis"/>
          <w:i w:val="0"/>
          <w:sz w:val="24"/>
          <w:szCs w:val="24"/>
        </w:rPr>
        <w:t>5.1.4 External Financing Limit</w:t>
      </w:r>
      <w:bookmarkEnd w:id="74"/>
      <w:r w:rsidRPr="00F33C2D">
        <w:rPr>
          <w:rStyle w:val="IntenseEmphasis"/>
          <w:i w:val="0"/>
          <w:sz w:val="24"/>
          <w:szCs w:val="24"/>
        </w:rPr>
        <w:t xml:space="preserve"> </w:t>
      </w:r>
    </w:p>
    <w:p w:rsidR="00EC7890" w:rsidRPr="008E036C" w:rsidRDefault="00EC7890" w:rsidP="00EC7890">
      <w:pPr>
        <w:spacing w:after="0"/>
        <w:jc w:val="both"/>
        <w:rPr>
          <w:rFonts w:cs="Arial"/>
          <w:sz w:val="24"/>
          <w:szCs w:val="24"/>
        </w:rPr>
      </w:pPr>
      <w:r w:rsidRPr="008E036C">
        <w:rPr>
          <w:rFonts w:cs="Arial"/>
          <w:sz w:val="24"/>
          <w:szCs w:val="24"/>
        </w:rPr>
        <w:t>The Trust’s External Financing Limit will be achieved through the management of cash and working balances along with the planned level of Public Dividend Capital.</w:t>
      </w:r>
    </w:p>
    <w:p w:rsidR="00EC7890" w:rsidRPr="008E036C" w:rsidRDefault="00EC7890" w:rsidP="00EC7890">
      <w:pPr>
        <w:pStyle w:val="Heading3"/>
        <w:spacing w:after="240"/>
        <w:rPr>
          <w:rStyle w:val="IntenseEmphasis"/>
          <w:i w:val="0"/>
          <w:sz w:val="24"/>
          <w:szCs w:val="24"/>
        </w:rPr>
      </w:pPr>
      <w:bookmarkStart w:id="75" w:name="_Toc313625299"/>
      <w:bookmarkStart w:id="76" w:name="_Toc326332017"/>
      <w:bookmarkStart w:id="77" w:name="_Toc339280264"/>
      <w:bookmarkStart w:id="78" w:name="_Toc388626835"/>
      <w:r w:rsidRPr="008E036C">
        <w:rPr>
          <w:rStyle w:val="IntenseEmphasis"/>
          <w:i w:val="0"/>
          <w:sz w:val="24"/>
          <w:szCs w:val="24"/>
        </w:rPr>
        <w:t>5.1.5 C</w:t>
      </w:r>
      <w:bookmarkEnd w:id="75"/>
      <w:bookmarkEnd w:id="76"/>
      <w:bookmarkEnd w:id="77"/>
      <w:r w:rsidRPr="008E036C">
        <w:rPr>
          <w:rStyle w:val="IntenseEmphasis"/>
          <w:i w:val="0"/>
          <w:sz w:val="24"/>
          <w:szCs w:val="24"/>
        </w:rPr>
        <w:t>apital Resource Limit</w:t>
      </w:r>
      <w:bookmarkEnd w:id="78"/>
    </w:p>
    <w:p w:rsidR="00EC7890" w:rsidRPr="008E036C" w:rsidRDefault="00EC7890" w:rsidP="008E036C">
      <w:pPr>
        <w:jc w:val="both"/>
        <w:rPr>
          <w:rFonts w:cs="Arial"/>
          <w:sz w:val="24"/>
          <w:szCs w:val="24"/>
        </w:rPr>
      </w:pPr>
      <w:r w:rsidRPr="008E036C">
        <w:rPr>
          <w:rFonts w:cs="Arial"/>
          <w:sz w:val="24"/>
          <w:szCs w:val="24"/>
        </w:rPr>
        <w:t>The capital resource limit is £3,858k and in addition to this the Trust is due to receive £124k matched funding from the NHS Safer Hospital, Safer Wards Technology Fund for the implementation of a new Order Communications system. Therefore the Trust’s anticipated forecast capital resource and spend on capital projects is £3,982k at 31st March 2015.</w:t>
      </w:r>
    </w:p>
    <w:p w:rsidR="00EC7890" w:rsidRPr="008E036C" w:rsidRDefault="00EC7890" w:rsidP="008E036C">
      <w:pPr>
        <w:jc w:val="both"/>
        <w:rPr>
          <w:rFonts w:cs="Arial"/>
          <w:sz w:val="24"/>
          <w:szCs w:val="24"/>
        </w:rPr>
      </w:pPr>
      <w:r w:rsidRPr="008E036C">
        <w:rPr>
          <w:rFonts w:cs="Arial"/>
          <w:sz w:val="24"/>
          <w:szCs w:val="24"/>
        </w:rPr>
        <w:t xml:space="preserve">As at the 30th September the programme has delivered capital expenditure of £148k. The Trust will operate within its Capital Resource Limit and continued capital programme management will enable this to be achieved. </w:t>
      </w:r>
    </w:p>
    <w:p w:rsidR="00EC7890" w:rsidRPr="00F33C2D" w:rsidRDefault="00F33C2D" w:rsidP="00EC7890">
      <w:pPr>
        <w:pStyle w:val="Heading3"/>
        <w:spacing w:after="240"/>
        <w:rPr>
          <w:rStyle w:val="IntenseEmphasis"/>
          <w:b/>
          <w:bCs/>
          <w:i w:val="0"/>
          <w:iCs w:val="0"/>
          <w:sz w:val="24"/>
          <w:szCs w:val="24"/>
        </w:rPr>
      </w:pPr>
      <w:bookmarkStart w:id="79" w:name="_Toc388626836"/>
      <w:r>
        <w:rPr>
          <w:rStyle w:val="IntenseEmphasis"/>
          <w:i w:val="0"/>
          <w:sz w:val="24"/>
          <w:szCs w:val="24"/>
        </w:rPr>
        <w:lastRenderedPageBreak/>
        <w:t>5.1.6 Capital Cost Absorption R</w:t>
      </w:r>
      <w:r w:rsidR="00EC7890" w:rsidRPr="00F33C2D">
        <w:rPr>
          <w:rStyle w:val="IntenseEmphasis"/>
          <w:i w:val="0"/>
          <w:sz w:val="24"/>
          <w:szCs w:val="24"/>
        </w:rPr>
        <w:t>ate</w:t>
      </w:r>
      <w:bookmarkEnd w:id="79"/>
    </w:p>
    <w:p w:rsidR="00EC7890" w:rsidRPr="008E036C" w:rsidRDefault="00EC7890" w:rsidP="00EC7890">
      <w:pPr>
        <w:spacing w:before="240"/>
        <w:jc w:val="both"/>
        <w:rPr>
          <w:rFonts w:cs="Arial"/>
          <w:sz w:val="24"/>
          <w:szCs w:val="24"/>
        </w:rPr>
      </w:pPr>
      <w:r w:rsidRPr="008E036C">
        <w:rPr>
          <w:rFonts w:cs="Arial"/>
          <w:sz w:val="24"/>
          <w:szCs w:val="24"/>
        </w:rPr>
        <w:t xml:space="preserve">The Trust’s Capital Cost Absorption (CCA) rate is fixed at 3.5% and this will be calculated based on 3.5% of actual balance sheet values at the end of the financial year. </w:t>
      </w:r>
    </w:p>
    <w:p w:rsidR="00EC7890" w:rsidRPr="00F33C2D" w:rsidRDefault="00EC7890" w:rsidP="00EC7890">
      <w:pPr>
        <w:pStyle w:val="Heading3"/>
        <w:spacing w:after="240"/>
        <w:rPr>
          <w:rStyle w:val="IntenseEmphasis"/>
          <w:b/>
          <w:bCs/>
          <w:i w:val="0"/>
          <w:iCs w:val="0"/>
          <w:sz w:val="24"/>
          <w:szCs w:val="24"/>
        </w:rPr>
      </w:pPr>
      <w:bookmarkStart w:id="80" w:name="_Toc388626837"/>
      <w:r w:rsidRPr="00F33C2D">
        <w:rPr>
          <w:rStyle w:val="IntenseEmphasis"/>
          <w:i w:val="0"/>
          <w:sz w:val="24"/>
          <w:szCs w:val="24"/>
        </w:rPr>
        <w:t>5.1.7 Better Payment Practice Code (BPPC)</w:t>
      </w:r>
      <w:bookmarkEnd w:id="80"/>
      <w:r w:rsidRPr="00F33C2D">
        <w:rPr>
          <w:rStyle w:val="IntenseEmphasis"/>
          <w:i w:val="0"/>
          <w:sz w:val="24"/>
          <w:szCs w:val="24"/>
        </w:rPr>
        <w:t xml:space="preserve"> </w:t>
      </w:r>
    </w:p>
    <w:p w:rsidR="00EC7890" w:rsidRPr="008E036C" w:rsidRDefault="00EC7890" w:rsidP="00EC7890">
      <w:pPr>
        <w:spacing w:before="240" w:after="0"/>
        <w:jc w:val="both"/>
        <w:rPr>
          <w:rFonts w:cs="Arial"/>
          <w:sz w:val="24"/>
          <w:szCs w:val="24"/>
        </w:rPr>
      </w:pPr>
      <w:r w:rsidRPr="008E036C">
        <w:rPr>
          <w:rFonts w:cs="Arial"/>
          <w:sz w:val="24"/>
          <w:szCs w:val="24"/>
        </w:rPr>
        <w:t xml:space="preserve">The Trust’s overall performance as at 30th September is 97.0% on the BPPC. </w:t>
      </w:r>
    </w:p>
    <w:p w:rsidR="00EC7890" w:rsidRPr="00F33C2D" w:rsidRDefault="00F33C2D" w:rsidP="00EC7890">
      <w:pPr>
        <w:pStyle w:val="Heading3"/>
        <w:spacing w:after="240"/>
        <w:rPr>
          <w:rStyle w:val="IntenseEmphasis"/>
          <w:b/>
          <w:bCs/>
          <w:i w:val="0"/>
          <w:iCs w:val="0"/>
          <w:sz w:val="24"/>
          <w:szCs w:val="24"/>
        </w:rPr>
      </w:pPr>
      <w:bookmarkStart w:id="81" w:name="_Toc388626838"/>
      <w:r>
        <w:rPr>
          <w:rStyle w:val="IntenseEmphasis"/>
          <w:i w:val="0"/>
          <w:sz w:val="24"/>
          <w:szCs w:val="24"/>
        </w:rPr>
        <w:t>5.1.8 Forecast O</w:t>
      </w:r>
      <w:r w:rsidR="00EC7890" w:rsidRPr="00F33C2D">
        <w:rPr>
          <w:rStyle w:val="IntenseEmphasis"/>
          <w:i w:val="0"/>
          <w:sz w:val="24"/>
          <w:szCs w:val="24"/>
        </w:rPr>
        <w:t>utturn</w:t>
      </w:r>
      <w:bookmarkEnd w:id="81"/>
      <w:r w:rsidR="00EC7890" w:rsidRPr="00F33C2D">
        <w:rPr>
          <w:rStyle w:val="IntenseEmphasis"/>
          <w:i w:val="0"/>
          <w:sz w:val="24"/>
          <w:szCs w:val="24"/>
        </w:rPr>
        <w:t xml:space="preserve"> </w:t>
      </w:r>
    </w:p>
    <w:p w:rsidR="00EC7890" w:rsidRPr="006236C6" w:rsidRDefault="00EC7890" w:rsidP="008E036C">
      <w:pPr>
        <w:pStyle w:val="Default"/>
        <w:jc w:val="both"/>
        <w:rPr>
          <w:rFonts w:asciiTheme="minorHAnsi" w:hAnsiTheme="minorHAnsi" w:cs="Arial"/>
        </w:rPr>
      </w:pPr>
      <w:r w:rsidRPr="006236C6">
        <w:rPr>
          <w:rFonts w:asciiTheme="minorHAnsi" w:hAnsiTheme="minorHAnsi" w:cs="Arial"/>
        </w:rPr>
        <w:t>The Trust is forecasting to deliver the plan for the year although this will require delivery of the Trusts savings plans and the continued management of the Trusts services within the available budgets.</w:t>
      </w:r>
    </w:p>
    <w:p w:rsidR="00EC7890" w:rsidRPr="006236C6" w:rsidRDefault="00EC7890" w:rsidP="00EC7890">
      <w:pPr>
        <w:pStyle w:val="Default"/>
        <w:rPr>
          <w:rFonts w:asciiTheme="minorHAnsi" w:hAnsiTheme="minorHAnsi" w:cs="Arial"/>
        </w:rPr>
      </w:pPr>
    </w:p>
    <w:p w:rsidR="00EC7890" w:rsidRPr="006236C6" w:rsidRDefault="00EC7890" w:rsidP="008E036C">
      <w:pPr>
        <w:pStyle w:val="Default"/>
        <w:jc w:val="both"/>
        <w:rPr>
          <w:rFonts w:asciiTheme="minorHAnsi" w:hAnsiTheme="minorHAnsi" w:cs="Arial"/>
        </w:rPr>
      </w:pPr>
      <w:r w:rsidRPr="006236C6">
        <w:rPr>
          <w:rFonts w:asciiTheme="minorHAnsi" w:hAnsiTheme="minorHAnsi" w:cs="Arial"/>
        </w:rPr>
        <w:t xml:space="preserve">The financial forecast outturn includes an overspend against pay budgets for the Medical and Nursing categories, a non pay overspend on drugs and a shortfall in the savings programme. The income has been forecast based on current referral patterns and activity levels which would result in a shortfall from Patient care activities against the plan. </w:t>
      </w:r>
    </w:p>
    <w:p w:rsidR="00EC7890" w:rsidRPr="00F33C2D" w:rsidRDefault="00F33C2D" w:rsidP="00EC7890">
      <w:pPr>
        <w:pStyle w:val="Heading3"/>
        <w:spacing w:after="240"/>
        <w:rPr>
          <w:rStyle w:val="IntenseEmphasis"/>
          <w:i w:val="0"/>
          <w:sz w:val="24"/>
          <w:szCs w:val="24"/>
        </w:rPr>
      </w:pPr>
      <w:bookmarkStart w:id="82" w:name="_Toc388626839"/>
      <w:r>
        <w:rPr>
          <w:rStyle w:val="IntenseEmphasis"/>
          <w:i w:val="0"/>
          <w:sz w:val="24"/>
          <w:szCs w:val="24"/>
        </w:rPr>
        <w:t>5.1.9 Risk to D</w:t>
      </w:r>
      <w:r w:rsidR="00EC7890" w:rsidRPr="00F33C2D">
        <w:rPr>
          <w:rStyle w:val="IntenseEmphasis"/>
          <w:i w:val="0"/>
          <w:sz w:val="24"/>
          <w:szCs w:val="24"/>
        </w:rPr>
        <w:t xml:space="preserve">elivery of </w:t>
      </w:r>
      <w:r>
        <w:rPr>
          <w:rStyle w:val="IntenseEmphasis"/>
          <w:i w:val="0"/>
          <w:sz w:val="24"/>
          <w:szCs w:val="24"/>
        </w:rPr>
        <w:t>F</w:t>
      </w:r>
      <w:r w:rsidR="00EC7890" w:rsidRPr="00F33C2D">
        <w:rPr>
          <w:rStyle w:val="IntenseEmphasis"/>
          <w:i w:val="0"/>
          <w:sz w:val="24"/>
          <w:szCs w:val="24"/>
        </w:rPr>
        <w:t xml:space="preserve">inancial </w:t>
      </w:r>
      <w:r>
        <w:rPr>
          <w:rStyle w:val="IntenseEmphasis"/>
          <w:i w:val="0"/>
          <w:sz w:val="24"/>
          <w:szCs w:val="24"/>
        </w:rPr>
        <w:t>P</w:t>
      </w:r>
      <w:r w:rsidR="00EC7890" w:rsidRPr="00F33C2D">
        <w:rPr>
          <w:rStyle w:val="IntenseEmphasis"/>
          <w:i w:val="0"/>
          <w:sz w:val="24"/>
          <w:szCs w:val="24"/>
        </w:rPr>
        <w:t>lan</w:t>
      </w:r>
      <w:bookmarkEnd w:id="82"/>
    </w:p>
    <w:p w:rsidR="00EC7890" w:rsidRPr="006236C6" w:rsidRDefault="00EC7890" w:rsidP="00EC7890">
      <w:pPr>
        <w:pStyle w:val="BodyTextIndent"/>
        <w:spacing w:after="240"/>
        <w:ind w:left="5"/>
        <w:jc w:val="both"/>
        <w:rPr>
          <w:rFonts w:asciiTheme="minorHAnsi" w:hAnsiTheme="minorHAnsi" w:cs="Arial"/>
        </w:rPr>
      </w:pPr>
      <w:r w:rsidRPr="006236C6">
        <w:rPr>
          <w:rFonts w:asciiTheme="minorHAnsi" w:hAnsiTheme="minorHAnsi" w:cs="Arial"/>
        </w:rPr>
        <w:t>The major financial risks are the delivery of the £4.5m savings programme, the management of Medical staffing to minimise locum agency expenditure, the higher than planned use of agency nursing staff, and the delivery of NHS service income in line with plan</w:t>
      </w:r>
      <w:r>
        <w:rPr>
          <w:rFonts w:asciiTheme="minorHAnsi" w:hAnsiTheme="minorHAnsi" w:cs="Arial"/>
        </w:rPr>
        <w:t xml:space="preserve"> and </w:t>
      </w:r>
      <w:r w:rsidRPr="006236C6">
        <w:rPr>
          <w:rFonts w:asciiTheme="minorHAnsi" w:hAnsiTheme="minorHAnsi" w:cs="Arial"/>
        </w:rPr>
        <w:t>with minimal contract penalties.</w:t>
      </w:r>
    </w:p>
    <w:p w:rsidR="00EC7890" w:rsidRPr="006236C6" w:rsidRDefault="00EC7890" w:rsidP="00EC7890">
      <w:pPr>
        <w:pStyle w:val="Default"/>
      </w:pPr>
    </w:p>
    <w:p w:rsidR="00EC7890" w:rsidRPr="006236C6" w:rsidRDefault="00EC7890" w:rsidP="00EC7890">
      <w:pPr>
        <w:pStyle w:val="Default"/>
      </w:pPr>
    </w:p>
    <w:p w:rsidR="00EC7890" w:rsidRPr="006236C6" w:rsidRDefault="00EC7890" w:rsidP="00EC7890">
      <w:pPr>
        <w:pStyle w:val="Default"/>
      </w:pPr>
    </w:p>
    <w:p w:rsidR="00EC7890" w:rsidRPr="006236C6" w:rsidRDefault="00EC7890" w:rsidP="00EC7890">
      <w:pPr>
        <w:pStyle w:val="Default"/>
        <w:sectPr w:rsidR="00EC7890" w:rsidRPr="006236C6" w:rsidSect="00EC7890">
          <w:pgSz w:w="11900" w:h="16840"/>
          <w:pgMar w:top="680" w:right="1410" w:bottom="640" w:left="1300" w:header="720" w:footer="115" w:gutter="0"/>
          <w:cols w:space="720"/>
          <w:noEndnote/>
        </w:sectPr>
      </w:pPr>
    </w:p>
    <w:p w:rsidR="00EC7890" w:rsidRPr="00F33C2D" w:rsidRDefault="00EC7890" w:rsidP="00EC7890">
      <w:pPr>
        <w:rPr>
          <w:rStyle w:val="IntenseEmphasis"/>
          <w:rFonts w:eastAsiaTheme="majorEastAsia"/>
          <w:i w:val="0"/>
          <w:sz w:val="24"/>
          <w:szCs w:val="24"/>
        </w:rPr>
      </w:pPr>
      <w:bookmarkStart w:id="83" w:name="_Toc313625310"/>
      <w:r w:rsidRPr="00F33C2D">
        <w:rPr>
          <w:rStyle w:val="IntenseEmphasis"/>
          <w:rFonts w:eastAsiaTheme="majorEastAsia"/>
          <w:i w:val="0"/>
          <w:sz w:val="24"/>
          <w:szCs w:val="24"/>
        </w:rPr>
        <w:lastRenderedPageBreak/>
        <w:t xml:space="preserve">Financial Dashboards 2014/15: </w:t>
      </w:r>
      <w:bookmarkEnd w:id="83"/>
      <w:r w:rsidRPr="00F33C2D">
        <w:rPr>
          <w:rStyle w:val="IntenseEmphasis"/>
          <w:rFonts w:eastAsiaTheme="majorEastAsia"/>
          <w:i w:val="0"/>
          <w:sz w:val="24"/>
          <w:szCs w:val="24"/>
        </w:rPr>
        <w:t>Month 6</w:t>
      </w:r>
    </w:p>
    <w:p w:rsidR="00EC7890" w:rsidRPr="006236C6" w:rsidRDefault="00EC7890" w:rsidP="00EC7890">
      <w:pPr>
        <w:pStyle w:val="Default"/>
      </w:pPr>
      <w:r w:rsidRPr="006236C6">
        <w:rPr>
          <w:noProof/>
        </w:rPr>
        <w:drawing>
          <wp:inline distT="0" distB="0" distL="0" distR="0">
            <wp:extent cx="9631045" cy="5150839"/>
            <wp:effectExtent l="19050" t="0" r="8255"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srcRect/>
                    <a:stretch>
                      <a:fillRect/>
                    </a:stretch>
                  </pic:blipFill>
                  <pic:spPr bwMode="auto">
                    <a:xfrm>
                      <a:off x="0" y="0"/>
                      <a:ext cx="9631045" cy="5150839"/>
                    </a:xfrm>
                    <a:prstGeom prst="rect">
                      <a:avLst/>
                    </a:prstGeom>
                    <a:noFill/>
                    <a:ln w="9525">
                      <a:noFill/>
                      <a:miter lim="800000"/>
                      <a:headEnd/>
                      <a:tailEnd/>
                    </a:ln>
                  </pic:spPr>
                </pic:pic>
              </a:graphicData>
            </a:graphic>
          </wp:inline>
        </w:drawing>
      </w:r>
    </w:p>
    <w:p w:rsidR="00EC7890" w:rsidRPr="006236C6" w:rsidRDefault="00EC7890" w:rsidP="00EC7890">
      <w:pPr>
        <w:rPr>
          <w:rStyle w:val="IntenseEmphasis"/>
          <w:rFonts w:eastAsiaTheme="majorEastAsia"/>
        </w:rPr>
      </w:pPr>
    </w:p>
    <w:p w:rsidR="00EC7890" w:rsidRPr="006236C6" w:rsidRDefault="00EC7890" w:rsidP="00EC7890">
      <w:pPr>
        <w:pStyle w:val="Default"/>
        <w:rPr>
          <w:rFonts w:ascii="Arial" w:hAnsi="Arial" w:cs="Arial"/>
          <w:sz w:val="18"/>
        </w:rPr>
      </w:pPr>
    </w:p>
    <w:p w:rsidR="00EC7890" w:rsidRPr="006236C6" w:rsidRDefault="00EC7890" w:rsidP="00EC7890">
      <w:pPr>
        <w:rPr>
          <w:rFonts w:ascii="Arial" w:hAnsi="Arial" w:cs="Arial"/>
        </w:rPr>
        <w:sectPr w:rsidR="00EC7890" w:rsidRPr="006236C6" w:rsidSect="00EC7890">
          <w:pgSz w:w="16840" w:h="11900" w:orient="landscape"/>
          <w:pgMar w:top="630" w:right="680" w:bottom="990" w:left="993" w:header="720" w:footer="115" w:gutter="0"/>
          <w:cols w:space="720"/>
          <w:noEndnote/>
          <w:docGrid w:linePitch="326"/>
        </w:sectPr>
      </w:pPr>
    </w:p>
    <w:p w:rsidR="00EC7890" w:rsidRPr="00F33C2D" w:rsidRDefault="00EC7890" w:rsidP="00EC7890">
      <w:pPr>
        <w:pStyle w:val="Heading2"/>
        <w:spacing w:before="240"/>
        <w:rPr>
          <w:sz w:val="24"/>
          <w:szCs w:val="24"/>
        </w:rPr>
      </w:pPr>
      <w:bookmarkStart w:id="84" w:name="_Toc388626840"/>
      <w:bookmarkStart w:id="85" w:name="_Toc313625313"/>
      <w:bookmarkStart w:id="86" w:name="_Toc318461793"/>
      <w:bookmarkStart w:id="87" w:name="_Toc326332020"/>
      <w:bookmarkStart w:id="88" w:name="_Toc339280267"/>
      <w:r w:rsidRPr="00F33C2D">
        <w:rPr>
          <w:sz w:val="24"/>
          <w:szCs w:val="24"/>
        </w:rPr>
        <w:lastRenderedPageBreak/>
        <w:t>5.2 The Income and Expenditure Position of the Trust</w:t>
      </w:r>
      <w:bookmarkEnd w:id="84"/>
      <w:r w:rsidRPr="00F33C2D">
        <w:rPr>
          <w:sz w:val="24"/>
          <w:szCs w:val="24"/>
        </w:rPr>
        <w:t xml:space="preserve"> </w:t>
      </w:r>
      <w:bookmarkEnd w:id="85"/>
      <w:bookmarkEnd w:id="86"/>
      <w:bookmarkEnd w:id="87"/>
      <w:bookmarkEnd w:id="88"/>
    </w:p>
    <w:p w:rsidR="00EC7890" w:rsidRPr="006236C6" w:rsidRDefault="00EC7890" w:rsidP="00EC7890">
      <w:pPr>
        <w:pStyle w:val="BodyTextIndent"/>
        <w:spacing w:before="240"/>
        <w:jc w:val="both"/>
        <w:rPr>
          <w:rFonts w:asciiTheme="minorHAnsi" w:hAnsiTheme="minorHAnsi" w:cs="Arial"/>
        </w:rPr>
      </w:pPr>
      <w:r w:rsidRPr="006236C6">
        <w:rPr>
          <w:rFonts w:asciiTheme="minorHAnsi" w:hAnsiTheme="minorHAnsi" w:cs="Arial"/>
          <w:b/>
        </w:rPr>
        <w:t>5.2.1</w:t>
      </w:r>
      <w:r w:rsidRPr="006236C6">
        <w:rPr>
          <w:rFonts w:asciiTheme="minorHAnsi" w:hAnsiTheme="minorHAnsi" w:cs="Arial"/>
        </w:rPr>
        <w:t xml:space="preserve"> The financial position at Month 6 is a deficit of £2,508k, which is in line with the plan.</w:t>
      </w:r>
    </w:p>
    <w:p w:rsidR="00EC7890" w:rsidRPr="00F33C2D" w:rsidRDefault="00EC7890" w:rsidP="00EC7890">
      <w:pPr>
        <w:pStyle w:val="Heading2"/>
        <w:spacing w:before="240"/>
        <w:rPr>
          <w:sz w:val="24"/>
          <w:szCs w:val="24"/>
        </w:rPr>
      </w:pPr>
      <w:bookmarkStart w:id="89" w:name="_Toc388626841"/>
      <w:r w:rsidRPr="00F33C2D">
        <w:rPr>
          <w:sz w:val="24"/>
          <w:szCs w:val="24"/>
        </w:rPr>
        <w:t>5.3 Expenditure</w:t>
      </w:r>
      <w:bookmarkEnd w:id="89"/>
    </w:p>
    <w:p w:rsidR="00EC7890" w:rsidRPr="006236C6" w:rsidRDefault="00EC7890" w:rsidP="00EC7890">
      <w:pPr>
        <w:pStyle w:val="BodyTextIndent"/>
        <w:spacing w:before="240"/>
        <w:jc w:val="both"/>
        <w:rPr>
          <w:rFonts w:asciiTheme="minorHAnsi" w:hAnsiTheme="minorHAnsi" w:cs="Arial"/>
        </w:rPr>
      </w:pPr>
      <w:bookmarkStart w:id="90" w:name="_Toc313625318"/>
      <w:r w:rsidRPr="006236C6">
        <w:rPr>
          <w:rFonts w:asciiTheme="minorHAnsi" w:hAnsiTheme="minorHAnsi" w:cs="Arial"/>
          <w:b/>
        </w:rPr>
        <w:t>5.3.1</w:t>
      </w:r>
      <w:r w:rsidRPr="006236C6">
        <w:rPr>
          <w:rFonts w:asciiTheme="minorHAnsi" w:hAnsiTheme="minorHAnsi" w:cs="Arial"/>
        </w:rPr>
        <w:t xml:space="preserve"> The main points are:</w:t>
      </w:r>
    </w:p>
    <w:p w:rsidR="00EC7890" w:rsidRPr="006236C6" w:rsidRDefault="00EC7890" w:rsidP="00EC7890">
      <w:pPr>
        <w:pStyle w:val="BodyTextIndent"/>
        <w:widowControl/>
        <w:numPr>
          <w:ilvl w:val="0"/>
          <w:numId w:val="5"/>
        </w:numPr>
        <w:tabs>
          <w:tab w:val="clear" w:pos="360"/>
          <w:tab w:val="num" w:pos="644"/>
        </w:tabs>
        <w:autoSpaceDE/>
        <w:autoSpaceDN/>
        <w:adjustRightInd/>
        <w:spacing w:before="240"/>
        <w:ind w:left="644"/>
        <w:jc w:val="both"/>
        <w:rPr>
          <w:rFonts w:asciiTheme="minorHAnsi" w:hAnsiTheme="minorHAnsi" w:cs="Arial"/>
        </w:rPr>
      </w:pPr>
      <w:r w:rsidRPr="006236C6">
        <w:rPr>
          <w:rFonts w:asciiTheme="minorHAnsi" w:hAnsiTheme="minorHAnsi" w:cs="Arial"/>
        </w:rPr>
        <w:t>The position is that o</w:t>
      </w:r>
      <w:r w:rsidRPr="006236C6">
        <w:rPr>
          <w:rFonts w:asciiTheme="minorHAnsi" w:hAnsiTheme="minorHAnsi" w:cs="Arial"/>
          <w:bCs/>
        </w:rPr>
        <w:t>verall the Trust has overspent the expenditure budgets by £622k which includes under delivery of Savings (SIP) of £117k.  This has been offset with £324k from reserves.</w:t>
      </w:r>
    </w:p>
    <w:p w:rsidR="00EC7890" w:rsidRPr="006236C6" w:rsidRDefault="00EC7890" w:rsidP="00EC7890">
      <w:pPr>
        <w:pStyle w:val="BodyTextIndent"/>
        <w:widowControl/>
        <w:numPr>
          <w:ilvl w:val="0"/>
          <w:numId w:val="5"/>
        </w:numPr>
        <w:tabs>
          <w:tab w:val="clear" w:pos="360"/>
          <w:tab w:val="num" w:pos="644"/>
        </w:tabs>
        <w:autoSpaceDE/>
        <w:autoSpaceDN/>
        <w:adjustRightInd/>
        <w:spacing w:before="240"/>
        <w:ind w:left="644"/>
        <w:jc w:val="both"/>
        <w:rPr>
          <w:rFonts w:asciiTheme="minorHAnsi" w:hAnsiTheme="minorHAnsi" w:cs="Arial"/>
        </w:rPr>
      </w:pPr>
      <w:r w:rsidRPr="006236C6">
        <w:rPr>
          <w:rFonts w:asciiTheme="minorHAnsi" w:hAnsiTheme="minorHAnsi" w:cs="Arial"/>
        </w:rPr>
        <w:t>Pay expenditure is higher than budgeted with an</w:t>
      </w:r>
      <w:r>
        <w:rPr>
          <w:rFonts w:asciiTheme="minorHAnsi" w:hAnsiTheme="minorHAnsi" w:cs="Arial"/>
        </w:rPr>
        <w:t xml:space="preserve"> </w:t>
      </w:r>
      <w:r w:rsidRPr="006236C6">
        <w:rPr>
          <w:rFonts w:asciiTheme="minorHAnsi" w:hAnsiTheme="minorHAnsi" w:cs="Arial"/>
        </w:rPr>
        <w:t>overspend of £348k. The staff category with the highest overspend at the end of September was Nursing (£407k), this was due to additional capacity, the closure of some beds due to infection control outbreaks and an increase in vacancies resulting in a significant increase in agency staff and expenditure. This overspend was offset by an underspend in the following categories AHP’s (£219k), Admin and Clerical (£138k) and Biomedical Scientists (£71k).</w:t>
      </w:r>
    </w:p>
    <w:p w:rsidR="00EC7890" w:rsidRPr="006236C6" w:rsidRDefault="00EC7890" w:rsidP="00EC7890">
      <w:pPr>
        <w:pStyle w:val="BodyTextIndent"/>
        <w:widowControl/>
        <w:numPr>
          <w:ilvl w:val="0"/>
          <w:numId w:val="5"/>
        </w:numPr>
        <w:tabs>
          <w:tab w:val="clear" w:pos="360"/>
          <w:tab w:val="num" w:pos="644"/>
        </w:tabs>
        <w:autoSpaceDE/>
        <w:autoSpaceDN/>
        <w:adjustRightInd/>
        <w:spacing w:before="240"/>
        <w:ind w:left="644"/>
        <w:jc w:val="both"/>
        <w:rPr>
          <w:rFonts w:asciiTheme="minorHAnsi" w:hAnsiTheme="minorHAnsi" w:cs="Arial"/>
        </w:rPr>
      </w:pPr>
      <w:r w:rsidRPr="006236C6">
        <w:rPr>
          <w:rFonts w:asciiTheme="minorHAnsi" w:hAnsiTheme="minorHAnsi" w:cs="Arial"/>
        </w:rPr>
        <w:t xml:space="preserve">Non pay expenditure is £274k over budget at the end of September, including the underachievement of savings. There are underspends on Training (£69k), Blood Products (£55k), Catering (£28k), Office Equipment (£21k) and Rent &amp; Rates (£24k) offset by overspends on Management Consultants (£80k), Internal recharges (£65k), Drugs (£62k), Linen &amp; Laundry (£61k), NHS recharges (£47k) and Utilities (£31k). </w:t>
      </w:r>
    </w:p>
    <w:p w:rsidR="00EC7890" w:rsidRPr="00B56A67" w:rsidRDefault="00EC7890" w:rsidP="00EC7890">
      <w:pPr>
        <w:pStyle w:val="ListParagraph"/>
        <w:widowControl w:val="0"/>
        <w:numPr>
          <w:ilvl w:val="0"/>
          <w:numId w:val="5"/>
        </w:numPr>
        <w:tabs>
          <w:tab w:val="clear" w:pos="360"/>
          <w:tab w:val="num" w:pos="644"/>
        </w:tabs>
        <w:autoSpaceDE w:val="0"/>
        <w:autoSpaceDN w:val="0"/>
        <w:adjustRightInd w:val="0"/>
        <w:spacing w:before="240" w:after="240" w:line="240" w:lineRule="auto"/>
        <w:ind w:left="644"/>
        <w:contextualSpacing w:val="0"/>
        <w:jc w:val="both"/>
        <w:rPr>
          <w:rFonts w:cs="Arial"/>
          <w:bCs/>
          <w:sz w:val="24"/>
          <w:szCs w:val="24"/>
        </w:rPr>
      </w:pPr>
      <w:r w:rsidRPr="008E036C">
        <w:rPr>
          <w:rFonts w:cs="Arial"/>
          <w:sz w:val="24"/>
          <w:szCs w:val="24"/>
        </w:rPr>
        <w:t>Bank and agency expenditure on Nursing increased in September to £204k whereas it was £201k in August. Bank expenditure reduced from £141k in August to £129k in September.  Of the Bank and Agency expenditure £35k agency and £5k bank was attributable to the RTT initiative work in Month 6.</w:t>
      </w:r>
    </w:p>
    <w:p w:rsidR="00B56A67" w:rsidRDefault="00B56A67" w:rsidP="00B56A67">
      <w:pPr>
        <w:widowControl w:val="0"/>
        <w:tabs>
          <w:tab w:val="num" w:pos="644"/>
        </w:tabs>
        <w:autoSpaceDE w:val="0"/>
        <w:autoSpaceDN w:val="0"/>
        <w:adjustRightInd w:val="0"/>
        <w:spacing w:before="240" w:after="240" w:line="240" w:lineRule="auto"/>
        <w:jc w:val="both"/>
        <w:rPr>
          <w:rFonts w:cs="Arial"/>
          <w:bCs/>
          <w:sz w:val="24"/>
          <w:szCs w:val="24"/>
        </w:rPr>
      </w:pPr>
    </w:p>
    <w:p w:rsidR="00B56A67" w:rsidRDefault="00B56A67" w:rsidP="00B56A67">
      <w:pPr>
        <w:widowControl w:val="0"/>
        <w:tabs>
          <w:tab w:val="num" w:pos="644"/>
        </w:tabs>
        <w:autoSpaceDE w:val="0"/>
        <w:autoSpaceDN w:val="0"/>
        <w:adjustRightInd w:val="0"/>
        <w:spacing w:before="240" w:after="240" w:line="240" w:lineRule="auto"/>
        <w:jc w:val="both"/>
        <w:rPr>
          <w:rFonts w:cs="Arial"/>
          <w:bCs/>
          <w:sz w:val="24"/>
          <w:szCs w:val="24"/>
        </w:rPr>
      </w:pPr>
    </w:p>
    <w:p w:rsidR="00B56A67" w:rsidRDefault="00B56A67" w:rsidP="00B56A67">
      <w:pPr>
        <w:widowControl w:val="0"/>
        <w:tabs>
          <w:tab w:val="num" w:pos="644"/>
        </w:tabs>
        <w:autoSpaceDE w:val="0"/>
        <w:autoSpaceDN w:val="0"/>
        <w:adjustRightInd w:val="0"/>
        <w:spacing w:before="240" w:after="240" w:line="240" w:lineRule="auto"/>
        <w:jc w:val="both"/>
        <w:rPr>
          <w:rFonts w:cs="Arial"/>
          <w:bCs/>
          <w:sz w:val="24"/>
          <w:szCs w:val="24"/>
        </w:rPr>
      </w:pPr>
    </w:p>
    <w:p w:rsidR="00B56A67" w:rsidRPr="00B56A67" w:rsidRDefault="00B56A67" w:rsidP="00B56A67">
      <w:pPr>
        <w:widowControl w:val="0"/>
        <w:tabs>
          <w:tab w:val="num" w:pos="644"/>
        </w:tabs>
        <w:autoSpaceDE w:val="0"/>
        <w:autoSpaceDN w:val="0"/>
        <w:adjustRightInd w:val="0"/>
        <w:spacing w:before="240" w:after="240" w:line="240" w:lineRule="auto"/>
        <w:jc w:val="both"/>
        <w:rPr>
          <w:rFonts w:cs="Arial"/>
          <w:bCs/>
          <w:sz w:val="24"/>
          <w:szCs w:val="24"/>
        </w:rPr>
      </w:pPr>
    </w:p>
    <w:p w:rsidR="00EC7890" w:rsidRPr="008E036C" w:rsidRDefault="00EC7890" w:rsidP="00EC7890">
      <w:pPr>
        <w:pStyle w:val="ListParagraph"/>
        <w:widowControl w:val="0"/>
        <w:numPr>
          <w:ilvl w:val="0"/>
          <w:numId w:val="5"/>
        </w:numPr>
        <w:tabs>
          <w:tab w:val="clear" w:pos="360"/>
          <w:tab w:val="num" w:pos="644"/>
        </w:tabs>
        <w:autoSpaceDE w:val="0"/>
        <w:autoSpaceDN w:val="0"/>
        <w:adjustRightInd w:val="0"/>
        <w:spacing w:before="240" w:after="240" w:line="240" w:lineRule="auto"/>
        <w:ind w:left="644"/>
        <w:contextualSpacing w:val="0"/>
        <w:jc w:val="both"/>
        <w:rPr>
          <w:rFonts w:cs="Arial"/>
          <w:bCs/>
          <w:sz w:val="24"/>
          <w:szCs w:val="24"/>
        </w:rPr>
      </w:pPr>
      <w:r w:rsidRPr="008E036C">
        <w:rPr>
          <w:rFonts w:cs="Arial"/>
          <w:sz w:val="24"/>
          <w:szCs w:val="24"/>
        </w:rPr>
        <w:lastRenderedPageBreak/>
        <w:t>In recent months the Trust has had an increasing number of Medical staff vacancies which has led to an increase in the use of Agency locums to cover the Trusts services. In September £269k was spent, down from £305k in August which was the highest level used during the last 2 years. However £55k of this expenditure was attributable to the additional RTT initiative work.  Some of this locum expenditure is offset by the medical staff vacancy savings, particularly in ED where there are a total of 8 vacant posts including a consultant vacancy and Medicine where there are a further 10 vacancies.</w:t>
      </w:r>
    </w:p>
    <w:p w:rsidR="00EC7890" w:rsidRPr="008E036C" w:rsidRDefault="00EC7890" w:rsidP="00EC7890">
      <w:pPr>
        <w:spacing w:before="240" w:after="240"/>
        <w:ind w:left="284"/>
        <w:jc w:val="both"/>
        <w:rPr>
          <w:rFonts w:cs="Arial"/>
          <w:bCs/>
          <w:sz w:val="24"/>
          <w:szCs w:val="24"/>
        </w:rPr>
      </w:pPr>
      <w:r w:rsidRPr="008E036C">
        <w:rPr>
          <w:rFonts w:cs="Arial"/>
          <w:b/>
          <w:bCs/>
          <w:sz w:val="24"/>
          <w:szCs w:val="24"/>
        </w:rPr>
        <w:t xml:space="preserve">5.3.2 </w:t>
      </w:r>
      <w:r w:rsidRPr="008E036C">
        <w:rPr>
          <w:rFonts w:cs="Arial"/>
          <w:bCs/>
          <w:sz w:val="24"/>
          <w:szCs w:val="24"/>
        </w:rPr>
        <w:t>At Month 6 the main points for the Divisional and Corporate performance are as follows:</w:t>
      </w:r>
    </w:p>
    <w:p w:rsidR="00EC7890" w:rsidRPr="008E036C" w:rsidRDefault="00EC7890" w:rsidP="00EC7890">
      <w:pPr>
        <w:pStyle w:val="ListParagraph"/>
        <w:numPr>
          <w:ilvl w:val="0"/>
          <w:numId w:val="18"/>
        </w:numPr>
        <w:spacing w:before="240" w:after="240"/>
        <w:jc w:val="both"/>
        <w:rPr>
          <w:rFonts w:cs="Arial"/>
          <w:sz w:val="24"/>
          <w:szCs w:val="24"/>
        </w:rPr>
      </w:pPr>
      <w:r w:rsidRPr="008E036C">
        <w:rPr>
          <w:rFonts w:cs="Arial"/>
          <w:sz w:val="24"/>
          <w:szCs w:val="24"/>
        </w:rPr>
        <w:t>The Emergency Division has overspent by £264k year to date. Of this, Pay expenditure is overspent by £313k whilst Non Pay is underspent by £90k. There is SIP under delivery of £40k.  The Pay overspend is mainly due to Medical Staffing (£193k), Uphill (£92k), ED (£76k), and Kewstoke (£59k), offset by an underspend on Pathology (£64k).  The Non Pay underspend is due to a saving on drugs (£104k), Blood (£34k) &amp; Pharmacy (£22k) offset by an overspend on Pathology (£94k).</w:t>
      </w:r>
    </w:p>
    <w:p w:rsidR="00EC7890" w:rsidRPr="008E036C" w:rsidRDefault="00EC7890" w:rsidP="00EC7890">
      <w:pPr>
        <w:pStyle w:val="ListParagraph"/>
        <w:numPr>
          <w:ilvl w:val="0"/>
          <w:numId w:val="18"/>
        </w:numPr>
        <w:spacing w:before="240" w:after="240"/>
        <w:jc w:val="both"/>
        <w:rPr>
          <w:rFonts w:cs="Arial"/>
          <w:sz w:val="24"/>
          <w:szCs w:val="24"/>
        </w:rPr>
      </w:pPr>
      <w:r w:rsidRPr="008E036C">
        <w:rPr>
          <w:rFonts w:cs="Arial"/>
          <w:sz w:val="24"/>
          <w:szCs w:val="24"/>
        </w:rPr>
        <w:t>The Planned care Division has overspent by £454k year to date. The pay overspend is £76k whilst non pay is overspent by £226k. The divisional income is £38k above the planned level. The SIP underachievement is £191k. The pay overspend is Theatres (£102k), Hutton (£70k) and SAU (£66k), offset by Planned Care Management (£40k), Hospital at Night (£26k) and ITU (£15k).  The non pay overspend is mainly on drugs (£180k), Radiology (£39k) and Theatres (£23k), offset by savings on Radiography (£62k), PPU (£39k) and Blood (£17k).</w:t>
      </w:r>
    </w:p>
    <w:p w:rsidR="00EC7890" w:rsidRDefault="00EC7890" w:rsidP="00EC7890">
      <w:pPr>
        <w:pStyle w:val="ListParagraph"/>
        <w:numPr>
          <w:ilvl w:val="0"/>
          <w:numId w:val="18"/>
        </w:numPr>
        <w:spacing w:before="240" w:after="240"/>
        <w:jc w:val="both"/>
        <w:rPr>
          <w:rFonts w:cs="Arial"/>
          <w:sz w:val="24"/>
          <w:szCs w:val="24"/>
        </w:rPr>
      </w:pPr>
      <w:r w:rsidRPr="008E036C">
        <w:rPr>
          <w:rFonts w:cs="Arial"/>
          <w:sz w:val="24"/>
          <w:szCs w:val="24"/>
        </w:rPr>
        <w:t>The Estates and Facilities Division has overspent by £89k at the end of month 6, mainly due to savings non-delivery of £76k and a Pay overspend of £32k.  The Pay overspend is due to Housekeeping additional hours (£43k) and Property Services having to employ agency cover for a vacancy (£10k), offset by savings on Portering (£9k).  The non pay overspend is mainly on Utilities (£27k) offset by an underspend on Property Services (£33k).</w:t>
      </w:r>
    </w:p>
    <w:p w:rsidR="00B56A67" w:rsidRPr="008E036C" w:rsidRDefault="00B56A67" w:rsidP="00B56A67">
      <w:pPr>
        <w:pStyle w:val="ListParagraph"/>
        <w:spacing w:before="240" w:after="240"/>
        <w:ind w:left="644"/>
        <w:jc w:val="both"/>
        <w:rPr>
          <w:rFonts w:cs="Arial"/>
          <w:sz w:val="24"/>
          <w:szCs w:val="24"/>
        </w:rPr>
      </w:pPr>
    </w:p>
    <w:p w:rsidR="00EC7890" w:rsidRPr="008E036C" w:rsidRDefault="00EC7890" w:rsidP="00EC7890">
      <w:pPr>
        <w:pStyle w:val="ListParagraph"/>
        <w:numPr>
          <w:ilvl w:val="0"/>
          <w:numId w:val="18"/>
        </w:numPr>
        <w:spacing w:before="240" w:after="240"/>
        <w:jc w:val="both"/>
        <w:rPr>
          <w:rFonts w:cs="Arial"/>
          <w:sz w:val="24"/>
          <w:szCs w:val="24"/>
        </w:rPr>
      </w:pPr>
      <w:r w:rsidRPr="008E036C">
        <w:rPr>
          <w:rFonts w:cs="Arial"/>
          <w:sz w:val="24"/>
          <w:szCs w:val="24"/>
        </w:rPr>
        <w:lastRenderedPageBreak/>
        <w:t>The Corporate Departments have underspent by £252k year to date.</w:t>
      </w:r>
    </w:p>
    <w:p w:rsidR="00EC7890" w:rsidRPr="008E036C" w:rsidRDefault="00EC7890" w:rsidP="008E036C">
      <w:pPr>
        <w:pStyle w:val="Default"/>
        <w:jc w:val="both"/>
        <w:rPr>
          <w:rFonts w:asciiTheme="minorHAnsi" w:hAnsiTheme="minorHAnsi" w:cs="Arial"/>
          <w:color w:val="auto"/>
        </w:rPr>
      </w:pPr>
      <w:r w:rsidRPr="008E036C">
        <w:rPr>
          <w:rFonts w:asciiTheme="minorHAnsi" w:hAnsiTheme="minorHAnsi" w:cs="Arial"/>
          <w:color w:val="auto"/>
        </w:rPr>
        <w:t>Reserves have been deployed to cover spend where there are agreed allocations such as the cover of Medical agency premiums, RTT initiative work and agreed waiting list initiatives.</w:t>
      </w:r>
    </w:p>
    <w:p w:rsidR="00EC7890" w:rsidRPr="006236C6" w:rsidRDefault="00EC7890" w:rsidP="00EC7890">
      <w:pPr>
        <w:pStyle w:val="BodyTextIndent"/>
        <w:tabs>
          <w:tab w:val="left" w:pos="0"/>
        </w:tabs>
        <w:spacing w:before="240"/>
        <w:jc w:val="both"/>
        <w:rPr>
          <w:rFonts w:asciiTheme="minorHAnsi" w:hAnsiTheme="minorHAnsi" w:cs="Arial"/>
        </w:rPr>
      </w:pPr>
      <w:r w:rsidRPr="006236C6">
        <w:rPr>
          <w:rFonts w:asciiTheme="minorHAnsi" w:hAnsiTheme="minorHAnsi" w:cs="Arial"/>
          <w:b/>
          <w:bCs/>
        </w:rPr>
        <w:t xml:space="preserve">5.3.3 </w:t>
      </w:r>
      <w:r w:rsidRPr="006236C6">
        <w:rPr>
          <w:rFonts w:asciiTheme="minorHAnsi" w:hAnsiTheme="minorHAnsi" w:cs="Arial"/>
          <w:b/>
          <w:bCs/>
        </w:rPr>
        <w:tab/>
      </w:r>
      <w:r w:rsidRPr="006236C6">
        <w:rPr>
          <w:rFonts w:asciiTheme="minorHAnsi" w:hAnsiTheme="minorHAnsi"/>
        </w:rPr>
        <w:t>The Trust</w:t>
      </w:r>
      <w:r w:rsidR="008E036C">
        <w:rPr>
          <w:rFonts w:asciiTheme="minorHAnsi" w:hAnsiTheme="minorHAnsi"/>
        </w:rPr>
        <w:t>’</w:t>
      </w:r>
      <w:r w:rsidRPr="006236C6">
        <w:rPr>
          <w:rFonts w:asciiTheme="minorHAnsi" w:hAnsiTheme="minorHAnsi"/>
        </w:rPr>
        <w:t>s expenditure run-rate information has been rebased to neutralise the affect on both expenditure and budgets for variations in monthly NICE funded drugs expenditure which has no overall impact on the Trusts net financial position. There have also been some amendments for one-off exceptional items which includes the impact of any work undertaken a part of the RTT recovery project.</w:t>
      </w:r>
      <w:r w:rsidRPr="006236C6">
        <w:rPr>
          <w:rFonts w:asciiTheme="minorHAnsi" w:hAnsiTheme="minorHAnsi" w:cs="Arial"/>
          <w:bCs/>
        </w:rPr>
        <w:t xml:space="preserve"> The Trust’s expenditure run rate is shown in the table below compared to the adjusted expenditure level for each month.</w:t>
      </w:r>
      <w:r w:rsidRPr="006236C6">
        <w:rPr>
          <w:rFonts w:asciiTheme="minorHAnsi" w:hAnsiTheme="minorHAnsi" w:cs="Arial"/>
        </w:rPr>
        <w:t xml:space="preserve"> </w:t>
      </w:r>
    </w:p>
    <w:p w:rsidR="00EC7890" w:rsidRPr="006236C6" w:rsidRDefault="00EC7890" w:rsidP="00EC7890">
      <w:pPr>
        <w:pStyle w:val="Default"/>
      </w:pPr>
    </w:p>
    <w:p w:rsidR="00EC7890" w:rsidRPr="006236C6" w:rsidRDefault="00EC7890" w:rsidP="00EC7890">
      <w:pPr>
        <w:pStyle w:val="Default"/>
      </w:pPr>
    </w:p>
    <w:p w:rsidR="00EC7890" w:rsidRPr="006236C6" w:rsidRDefault="00EC7890" w:rsidP="00EC7890">
      <w:pPr>
        <w:pStyle w:val="Default"/>
      </w:pPr>
      <w:r w:rsidRPr="006236C6">
        <w:rPr>
          <w:noProof/>
        </w:rPr>
        <w:drawing>
          <wp:inline distT="0" distB="0" distL="0" distR="0">
            <wp:extent cx="5835650" cy="3959638"/>
            <wp:effectExtent l="19050" t="0" r="0" b="0"/>
            <wp:docPr id="1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835650" cy="3959638"/>
                    </a:xfrm>
                    <a:prstGeom prst="rect">
                      <a:avLst/>
                    </a:prstGeom>
                  </pic:spPr>
                </pic:pic>
              </a:graphicData>
            </a:graphic>
          </wp:inline>
        </w:drawing>
      </w:r>
    </w:p>
    <w:p w:rsidR="00EC7890" w:rsidRPr="006236C6" w:rsidRDefault="00EC7890" w:rsidP="00D10CC7">
      <w:pPr>
        <w:pStyle w:val="Default"/>
        <w:jc w:val="both"/>
        <w:rPr>
          <w:rFonts w:asciiTheme="minorHAnsi" w:hAnsiTheme="minorHAnsi" w:cs="Arial"/>
        </w:rPr>
      </w:pPr>
      <w:r w:rsidRPr="006236C6">
        <w:rPr>
          <w:rFonts w:asciiTheme="minorHAnsi" w:hAnsiTheme="minorHAnsi" w:cs="Arial"/>
        </w:rPr>
        <w:t xml:space="preserve">The budgeted adjusted run rate for September is £8.053m. The adjusted expenditure run rate has increased in September by £215k, from £7.838 in August to £8.053m in September. </w:t>
      </w:r>
    </w:p>
    <w:p w:rsidR="00EC7890" w:rsidRPr="006236C6" w:rsidRDefault="00EC7890" w:rsidP="00D10CC7">
      <w:pPr>
        <w:pStyle w:val="Default"/>
        <w:jc w:val="both"/>
        <w:rPr>
          <w:rFonts w:asciiTheme="minorHAnsi" w:hAnsiTheme="minorHAnsi" w:cs="Arial"/>
        </w:rPr>
      </w:pPr>
    </w:p>
    <w:p w:rsidR="00EC7890" w:rsidRPr="006236C6" w:rsidRDefault="00EC7890" w:rsidP="00D10CC7">
      <w:pPr>
        <w:pStyle w:val="Default"/>
        <w:jc w:val="both"/>
        <w:rPr>
          <w:rFonts w:asciiTheme="minorHAnsi" w:hAnsiTheme="minorHAnsi" w:cs="Arial"/>
        </w:rPr>
      </w:pPr>
      <w:r w:rsidRPr="006236C6">
        <w:rPr>
          <w:rFonts w:asciiTheme="minorHAnsi" w:hAnsiTheme="minorHAnsi" w:cs="Arial"/>
        </w:rPr>
        <w:t xml:space="preserve">The main increases in spend were Drugs (£207k increase), Nursing staff (£64k increase) and Medical staff (£17k increase). This was offset by in month by reduced expenditure in the Admin &amp; Clerical (£18k reduction) and legal fees (£44k reduction) categories. </w:t>
      </w:r>
    </w:p>
    <w:p w:rsidR="00EC7890" w:rsidRPr="00F33C2D" w:rsidRDefault="00EC7890" w:rsidP="00EC7890">
      <w:pPr>
        <w:pStyle w:val="Heading2"/>
        <w:spacing w:before="240" w:after="240"/>
        <w:rPr>
          <w:sz w:val="24"/>
          <w:szCs w:val="24"/>
        </w:rPr>
      </w:pPr>
      <w:bookmarkStart w:id="91" w:name="_Toc313625319"/>
      <w:bookmarkStart w:id="92" w:name="_Toc318461794"/>
      <w:bookmarkStart w:id="93" w:name="_Toc326332021"/>
      <w:bookmarkStart w:id="94" w:name="_Toc339280268"/>
      <w:bookmarkStart w:id="95" w:name="_Toc388626842"/>
      <w:bookmarkEnd w:id="90"/>
      <w:r w:rsidRPr="00F33C2D">
        <w:rPr>
          <w:sz w:val="24"/>
          <w:szCs w:val="24"/>
        </w:rPr>
        <w:lastRenderedPageBreak/>
        <w:t>5.</w:t>
      </w:r>
      <w:r w:rsidRPr="00F33C2D">
        <w:rPr>
          <w:noProof/>
          <w:sz w:val="24"/>
          <w:szCs w:val="24"/>
        </w:rPr>
        <w:t>4</w:t>
      </w:r>
      <w:r w:rsidRPr="00F33C2D">
        <w:rPr>
          <w:sz w:val="24"/>
          <w:szCs w:val="24"/>
        </w:rPr>
        <w:t xml:space="preserve"> Savings Plans (SIP)</w:t>
      </w:r>
      <w:bookmarkEnd w:id="91"/>
      <w:bookmarkEnd w:id="92"/>
      <w:bookmarkEnd w:id="93"/>
      <w:bookmarkEnd w:id="94"/>
      <w:bookmarkEnd w:id="95"/>
      <w:r w:rsidRPr="00F33C2D">
        <w:rPr>
          <w:sz w:val="24"/>
          <w:szCs w:val="24"/>
        </w:rPr>
        <w:t xml:space="preserve"> </w:t>
      </w:r>
    </w:p>
    <w:p w:rsidR="00EC7890" w:rsidRPr="006236C6" w:rsidRDefault="00EC7890" w:rsidP="00EC7890">
      <w:pPr>
        <w:pStyle w:val="BodyTextIndent"/>
        <w:spacing w:before="240" w:after="240"/>
        <w:jc w:val="both"/>
      </w:pPr>
      <w:r w:rsidRPr="006236C6">
        <w:rPr>
          <w:rFonts w:asciiTheme="minorHAnsi" w:hAnsiTheme="minorHAnsi" w:cs="Arial"/>
          <w:b/>
          <w:bCs/>
        </w:rPr>
        <w:t>5.4.1</w:t>
      </w:r>
      <w:r w:rsidRPr="006236C6">
        <w:rPr>
          <w:rFonts w:asciiTheme="minorHAnsi" w:hAnsiTheme="minorHAnsi"/>
          <w:b/>
          <w:bCs/>
        </w:rPr>
        <w:t xml:space="preserve"> </w:t>
      </w:r>
      <w:r w:rsidRPr="006236C6">
        <w:rPr>
          <w:rFonts w:asciiTheme="minorHAnsi" w:hAnsiTheme="minorHAnsi" w:cs="Arial"/>
          <w:bCs/>
        </w:rPr>
        <w:t>The Trust</w:t>
      </w:r>
      <w:r w:rsidRPr="006236C6">
        <w:rPr>
          <w:rFonts w:asciiTheme="minorHAnsi" w:hAnsiTheme="minorHAnsi" w:cs="Arial"/>
          <w:b/>
          <w:bCs/>
        </w:rPr>
        <w:t xml:space="preserve"> </w:t>
      </w:r>
      <w:r w:rsidRPr="006236C6">
        <w:rPr>
          <w:rFonts w:asciiTheme="minorHAnsi" w:hAnsiTheme="minorHAnsi" w:cs="Arial"/>
          <w:bCs/>
        </w:rPr>
        <w:t xml:space="preserve">has a savings requirement of £4,500k for the year which represents 4.45% of expenditure budgets. </w:t>
      </w:r>
      <w:r w:rsidRPr="006236C6">
        <w:rPr>
          <w:rFonts w:asciiTheme="minorHAnsi" w:hAnsiTheme="minorHAnsi" w:cs="Arial"/>
        </w:rPr>
        <w:t>Savings plans have delivered £1,859k against the profiled plan of £1,967k for the six months, an under-</w:t>
      </w:r>
      <w:r>
        <w:rPr>
          <w:rFonts w:asciiTheme="minorHAnsi" w:hAnsiTheme="minorHAnsi" w:cs="Arial"/>
        </w:rPr>
        <w:t>delivery of £118</w:t>
      </w:r>
      <w:r w:rsidRPr="006236C6">
        <w:rPr>
          <w:rFonts w:asciiTheme="minorHAnsi" w:hAnsiTheme="minorHAnsi" w:cs="Arial"/>
        </w:rPr>
        <w:t>k. Of the SIP savings delivered £1,151k is from recurrent schemes and £708k from non-recurrent schemes. In month the Trust delivered £411k against the £413k required. The</w:t>
      </w:r>
      <w:r w:rsidRPr="006236C6">
        <w:rPr>
          <w:rFonts w:asciiTheme="minorHAnsi" w:hAnsiTheme="minorHAnsi"/>
        </w:rPr>
        <w:t xml:space="preserve"> Trusts performance against its monthly SIP savings requirement is shown below along with the monthly phased plan.</w:t>
      </w:r>
    </w:p>
    <w:p w:rsidR="00EC7890" w:rsidRPr="006236C6" w:rsidRDefault="00EC7890" w:rsidP="00D10CC7">
      <w:pPr>
        <w:pStyle w:val="Default"/>
        <w:jc w:val="both"/>
        <w:rPr>
          <w:rFonts w:asciiTheme="minorHAnsi" w:hAnsiTheme="minorHAnsi" w:cs="Arial"/>
          <w:color w:val="auto"/>
        </w:rPr>
      </w:pPr>
      <w:r w:rsidRPr="006236C6">
        <w:rPr>
          <w:rFonts w:asciiTheme="minorHAnsi" w:hAnsiTheme="minorHAnsi" w:cs="Arial"/>
          <w:color w:val="auto"/>
        </w:rPr>
        <w:t>The Trust will continue to take actions to ensure that the savings plans are implemented, with mitigating action taken where needed, to maximise the delivery of savings. Progress of individual schemes is reviewed at the monthly Business plan delivery meetings.</w:t>
      </w:r>
    </w:p>
    <w:p w:rsidR="00EC7890" w:rsidRPr="006236C6" w:rsidRDefault="00EC7890" w:rsidP="00D10CC7">
      <w:pPr>
        <w:pStyle w:val="Default"/>
        <w:jc w:val="both"/>
        <w:rPr>
          <w:rFonts w:asciiTheme="minorHAnsi" w:hAnsiTheme="minorHAnsi" w:cs="Arial"/>
          <w:color w:val="auto"/>
        </w:rPr>
      </w:pPr>
    </w:p>
    <w:p w:rsidR="00EC7890" w:rsidRPr="006236C6" w:rsidRDefault="00EC7890" w:rsidP="00EC7890">
      <w:pPr>
        <w:pStyle w:val="Default"/>
        <w:rPr>
          <w:rFonts w:asciiTheme="minorHAnsi" w:hAnsiTheme="minorHAnsi" w:cs="Arial"/>
          <w:color w:val="auto"/>
        </w:rPr>
      </w:pPr>
    </w:p>
    <w:p w:rsidR="00EC7890" w:rsidRPr="006236C6" w:rsidRDefault="00EC7890" w:rsidP="00EC7890">
      <w:pPr>
        <w:pStyle w:val="Default"/>
      </w:pPr>
      <w:r w:rsidRPr="006236C6">
        <w:rPr>
          <w:noProof/>
        </w:rPr>
        <w:drawing>
          <wp:inline distT="0" distB="0" distL="0" distR="0">
            <wp:extent cx="5835650" cy="2998876"/>
            <wp:effectExtent l="19050" t="0" r="0" b="0"/>
            <wp:docPr id="2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835650" cy="2998876"/>
                    </a:xfrm>
                    <a:prstGeom prst="rect">
                      <a:avLst/>
                    </a:prstGeom>
                  </pic:spPr>
                </pic:pic>
              </a:graphicData>
            </a:graphic>
          </wp:inline>
        </w:drawing>
      </w:r>
    </w:p>
    <w:p w:rsidR="00EC7890" w:rsidRPr="006236C6" w:rsidRDefault="00EC7890" w:rsidP="00EC7890">
      <w:pPr>
        <w:pStyle w:val="Default"/>
      </w:pPr>
    </w:p>
    <w:p w:rsidR="00EC7890" w:rsidRPr="00F33C2D" w:rsidRDefault="00EC7890" w:rsidP="00EC7890">
      <w:pPr>
        <w:pStyle w:val="Heading2"/>
        <w:spacing w:before="240" w:after="240"/>
        <w:rPr>
          <w:sz w:val="24"/>
          <w:szCs w:val="24"/>
        </w:rPr>
      </w:pPr>
      <w:bookmarkStart w:id="96" w:name="_Toc388626843"/>
      <w:r w:rsidRPr="00F33C2D">
        <w:rPr>
          <w:sz w:val="24"/>
          <w:szCs w:val="24"/>
        </w:rPr>
        <w:t>5.</w:t>
      </w:r>
      <w:r w:rsidRPr="00F33C2D">
        <w:rPr>
          <w:noProof/>
          <w:sz w:val="24"/>
          <w:szCs w:val="24"/>
        </w:rPr>
        <w:t xml:space="preserve"> 5</w:t>
      </w:r>
      <w:r w:rsidRPr="00F33C2D">
        <w:rPr>
          <w:sz w:val="24"/>
          <w:szCs w:val="24"/>
        </w:rPr>
        <w:t xml:space="preserve"> Activity and Income</w:t>
      </w:r>
      <w:bookmarkEnd w:id="96"/>
      <w:r w:rsidRPr="00F33C2D">
        <w:rPr>
          <w:sz w:val="24"/>
          <w:szCs w:val="24"/>
        </w:rPr>
        <w:t xml:space="preserve"> </w:t>
      </w:r>
    </w:p>
    <w:p w:rsidR="00EC7890" w:rsidRPr="00D10CC7" w:rsidRDefault="00EC7890" w:rsidP="00D10CC7">
      <w:pPr>
        <w:pStyle w:val="ListParagraph"/>
        <w:widowControl w:val="0"/>
        <w:numPr>
          <w:ilvl w:val="2"/>
          <w:numId w:val="33"/>
        </w:numPr>
        <w:autoSpaceDE w:val="0"/>
        <w:autoSpaceDN w:val="0"/>
        <w:adjustRightInd w:val="0"/>
        <w:spacing w:after="0" w:line="240" w:lineRule="auto"/>
        <w:contextualSpacing w:val="0"/>
        <w:jc w:val="both"/>
        <w:rPr>
          <w:rFonts w:cs="Arial"/>
          <w:sz w:val="24"/>
          <w:szCs w:val="24"/>
        </w:rPr>
      </w:pPr>
      <w:r w:rsidRPr="00D10CC7">
        <w:rPr>
          <w:rFonts w:cs="Arial"/>
          <w:sz w:val="24"/>
          <w:szCs w:val="24"/>
        </w:rPr>
        <w:t>Overall patient activity income is assessed at £6k over plan at the end of September 2014. This will include the impact of the RTT additional work.</w:t>
      </w:r>
    </w:p>
    <w:p w:rsidR="00EC7890" w:rsidRPr="00D10CC7" w:rsidRDefault="00EC7890" w:rsidP="00D10CC7">
      <w:pPr>
        <w:pStyle w:val="Default"/>
        <w:jc w:val="both"/>
      </w:pPr>
    </w:p>
    <w:p w:rsidR="00EC7890" w:rsidRPr="00D10CC7" w:rsidRDefault="00EC7890" w:rsidP="00D10CC7">
      <w:pPr>
        <w:pStyle w:val="ListParagraph"/>
        <w:numPr>
          <w:ilvl w:val="0"/>
          <w:numId w:val="6"/>
        </w:numPr>
        <w:jc w:val="both"/>
        <w:rPr>
          <w:sz w:val="24"/>
          <w:szCs w:val="24"/>
        </w:rPr>
      </w:pPr>
      <w:r w:rsidRPr="00D10CC7">
        <w:rPr>
          <w:rFonts w:cs="Arial"/>
          <w:sz w:val="24"/>
          <w:szCs w:val="24"/>
        </w:rPr>
        <w:t xml:space="preserve">Income related to North Somerset CCG contract is £490k under plan. </w:t>
      </w:r>
    </w:p>
    <w:p w:rsidR="00EC7890" w:rsidRPr="00D10CC7" w:rsidRDefault="00EC7890" w:rsidP="00D10CC7">
      <w:pPr>
        <w:pStyle w:val="ListParagraph"/>
        <w:numPr>
          <w:ilvl w:val="0"/>
          <w:numId w:val="6"/>
        </w:numPr>
        <w:jc w:val="both"/>
        <w:rPr>
          <w:rFonts w:cs="Arial"/>
          <w:sz w:val="24"/>
          <w:szCs w:val="24"/>
        </w:rPr>
      </w:pPr>
      <w:r w:rsidRPr="00D10CC7">
        <w:rPr>
          <w:rFonts w:cs="Arial"/>
          <w:sz w:val="24"/>
          <w:szCs w:val="24"/>
        </w:rPr>
        <w:t>Income related to the NHS Somerset contract is £71k over plan</w:t>
      </w:r>
    </w:p>
    <w:p w:rsidR="00EC7890" w:rsidRPr="00D10CC7" w:rsidRDefault="00EC7890" w:rsidP="00D10CC7">
      <w:pPr>
        <w:pStyle w:val="ListParagraph"/>
        <w:numPr>
          <w:ilvl w:val="0"/>
          <w:numId w:val="6"/>
        </w:numPr>
        <w:jc w:val="both"/>
        <w:rPr>
          <w:rFonts w:cs="Arial"/>
          <w:sz w:val="24"/>
          <w:szCs w:val="24"/>
        </w:rPr>
      </w:pPr>
      <w:r w:rsidRPr="00D10CC7">
        <w:rPr>
          <w:rFonts w:cs="Arial"/>
          <w:sz w:val="24"/>
          <w:szCs w:val="24"/>
        </w:rPr>
        <w:t>Other CCG patient care activities is £139k over plan</w:t>
      </w:r>
    </w:p>
    <w:p w:rsidR="00EC7890" w:rsidRPr="00D10CC7" w:rsidRDefault="00EC7890" w:rsidP="00D10CC7">
      <w:pPr>
        <w:pStyle w:val="ListParagraph"/>
        <w:numPr>
          <w:ilvl w:val="0"/>
          <w:numId w:val="6"/>
        </w:numPr>
        <w:jc w:val="both"/>
        <w:rPr>
          <w:rFonts w:cs="Arial"/>
          <w:sz w:val="24"/>
          <w:szCs w:val="24"/>
        </w:rPr>
      </w:pPr>
      <w:r w:rsidRPr="00D10CC7">
        <w:rPr>
          <w:rFonts w:cs="Arial"/>
          <w:sz w:val="24"/>
          <w:szCs w:val="24"/>
        </w:rPr>
        <w:lastRenderedPageBreak/>
        <w:t>The Specialist services contract is £340k over plan</w:t>
      </w:r>
    </w:p>
    <w:p w:rsidR="00EC7890" w:rsidRPr="00D10CC7" w:rsidRDefault="00EC7890" w:rsidP="00D10CC7">
      <w:pPr>
        <w:pStyle w:val="ListParagraph"/>
        <w:numPr>
          <w:ilvl w:val="0"/>
          <w:numId w:val="6"/>
        </w:numPr>
        <w:jc w:val="both"/>
        <w:rPr>
          <w:rFonts w:cs="Arial"/>
          <w:sz w:val="24"/>
          <w:szCs w:val="24"/>
        </w:rPr>
      </w:pPr>
      <w:r w:rsidRPr="00D10CC7">
        <w:rPr>
          <w:rFonts w:cs="Arial"/>
          <w:sz w:val="24"/>
          <w:szCs w:val="24"/>
        </w:rPr>
        <w:t>Local authorities is £24k over plan</w:t>
      </w:r>
    </w:p>
    <w:p w:rsidR="00EC7890" w:rsidRPr="00D10CC7" w:rsidRDefault="00EC7890" w:rsidP="00D10CC7">
      <w:pPr>
        <w:pStyle w:val="ListParagraph"/>
        <w:numPr>
          <w:ilvl w:val="0"/>
          <w:numId w:val="6"/>
        </w:numPr>
        <w:jc w:val="both"/>
        <w:rPr>
          <w:rFonts w:cs="Arial"/>
          <w:sz w:val="24"/>
          <w:szCs w:val="24"/>
        </w:rPr>
      </w:pPr>
      <w:r w:rsidRPr="00D10CC7">
        <w:rPr>
          <w:rFonts w:cs="Arial"/>
          <w:sz w:val="24"/>
          <w:szCs w:val="24"/>
        </w:rPr>
        <w:t>Private patient income is £78k under plan.</w:t>
      </w:r>
    </w:p>
    <w:p w:rsidR="00EC7890" w:rsidRPr="006236C6" w:rsidRDefault="00EC7890" w:rsidP="00EC7890">
      <w:pPr>
        <w:ind w:left="218"/>
        <w:contextualSpacing/>
        <w:rPr>
          <w:rFonts w:cs="Arial"/>
        </w:rPr>
      </w:pPr>
    </w:p>
    <w:tbl>
      <w:tblPr>
        <w:tblW w:w="9766" w:type="dxa"/>
        <w:tblInd w:w="108" w:type="dxa"/>
        <w:tblLook w:val="04A0"/>
      </w:tblPr>
      <w:tblGrid>
        <w:gridCol w:w="3993"/>
        <w:gridCol w:w="272"/>
        <w:gridCol w:w="1043"/>
        <w:gridCol w:w="944"/>
        <w:gridCol w:w="997"/>
        <w:gridCol w:w="1146"/>
        <w:gridCol w:w="1149"/>
        <w:gridCol w:w="222"/>
      </w:tblGrid>
      <w:tr w:rsidR="00EC7890" w:rsidRPr="006236C6" w:rsidTr="00D10CC7">
        <w:trPr>
          <w:trHeight w:val="315"/>
        </w:trPr>
        <w:tc>
          <w:tcPr>
            <w:tcW w:w="9766" w:type="dxa"/>
            <w:gridSpan w:val="8"/>
            <w:tcBorders>
              <w:top w:val="nil"/>
              <w:left w:val="nil"/>
              <w:bottom w:val="nil"/>
              <w:right w:val="nil"/>
            </w:tcBorders>
            <w:shd w:val="clear" w:color="auto" w:fill="auto"/>
            <w:noWrap/>
            <w:vAlign w:val="bottom"/>
            <w:hideMark/>
          </w:tcPr>
          <w:p w:rsidR="00EC7890" w:rsidRPr="006236C6" w:rsidRDefault="00EC7890" w:rsidP="00EC7890">
            <w:pPr>
              <w:spacing w:after="0"/>
              <w:jc w:val="center"/>
              <w:rPr>
                <w:rFonts w:ascii="Calibri" w:hAnsi="Calibri" w:cs="Arial"/>
                <w:b/>
                <w:bCs/>
              </w:rPr>
            </w:pPr>
            <w:r w:rsidRPr="006236C6">
              <w:rPr>
                <w:rFonts w:ascii="Calibri" w:hAnsi="Calibri" w:cs="Arial"/>
                <w:b/>
                <w:bCs/>
              </w:rPr>
              <w:t>6 Months ending September 2014 Activity and Income Report</w:t>
            </w:r>
          </w:p>
        </w:tc>
      </w:tr>
      <w:tr w:rsidR="00EC7890" w:rsidRPr="006236C6" w:rsidTr="00D10CC7">
        <w:trPr>
          <w:trHeight w:val="255"/>
        </w:trPr>
        <w:tc>
          <w:tcPr>
            <w:tcW w:w="399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c>
          <w:tcPr>
            <w:tcW w:w="104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c>
          <w:tcPr>
            <w:tcW w:w="944"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c>
          <w:tcPr>
            <w:tcW w:w="114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c>
          <w:tcPr>
            <w:tcW w:w="1149"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c>
          <w:tcPr>
            <w:tcW w:w="22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r>
      <w:tr w:rsidR="00EC7890" w:rsidRPr="006236C6" w:rsidTr="00D10CC7">
        <w:trPr>
          <w:trHeight w:val="945"/>
        </w:trPr>
        <w:tc>
          <w:tcPr>
            <w:tcW w:w="3993" w:type="dxa"/>
            <w:tcBorders>
              <w:top w:val="single" w:sz="4" w:space="0" w:color="auto"/>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r w:rsidRPr="006236C6">
              <w:rPr>
                <w:rFonts w:ascii="Arial" w:hAnsi="Arial" w:cs="Arial"/>
                <w:sz w:val="20"/>
                <w:szCs w:val="20"/>
              </w:rPr>
              <w:t> </w:t>
            </w:r>
          </w:p>
        </w:tc>
        <w:tc>
          <w:tcPr>
            <w:tcW w:w="272" w:type="dxa"/>
            <w:tcBorders>
              <w:top w:val="single" w:sz="4" w:space="0" w:color="auto"/>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r w:rsidRPr="006236C6">
              <w:rPr>
                <w:rFonts w:ascii="Arial" w:hAnsi="Arial" w:cs="Arial"/>
                <w:sz w:val="20"/>
                <w:szCs w:val="20"/>
              </w:rPr>
              <w:t> </w:t>
            </w:r>
          </w:p>
        </w:tc>
        <w:tc>
          <w:tcPr>
            <w:tcW w:w="1043" w:type="dxa"/>
            <w:tcBorders>
              <w:top w:val="single" w:sz="4" w:space="0" w:color="auto"/>
              <w:left w:val="nil"/>
              <w:bottom w:val="nil"/>
              <w:right w:val="nil"/>
            </w:tcBorders>
            <w:shd w:val="clear" w:color="auto" w:fill="auto"/>
            <w:vAlign w:val="bottom"/>
            <w:hideMark/>
          </w:tcPr>
          <w:p w:rsidR="00EC7890" w:rsidRPr="006236C6" w:rsidRDefault="00EC7890" w:rsidP="00EC7890">
            <w:pPr>
              <w:spacing w:after="0"/>
              <w:jc w:val="center"/>
              <w:rPr>
                <w:rFonts w:ascii="Calibri" w:hAnsi="Calibri" w:cs="Arial"/>
                <w:b/>
                <w:bCs/>
              </w:rPr>
            </w:pPr>
            <w:r w:rsidRPr="006236C6">
              <w:rPr>
                <w:rFonts w:ascii="Calibri" w:hAnsi="Calibri" w:cs="Arial"/>
                <w:b/>
                <w:bCs/>
              </w:rPr>
              <w:t>Annual Plan</w:t>
            </w:r>
          </w:p>
        </w:tc>
        <w:tc>
          <w:tcPr>
            <w:tcW w:w="944" w:type="dxa"/>
            <w:tcBorders>
              <w:top w:val="single" w:sz="4" w:space="0" w:color="auto"/>
              <w:left w:val="nil"/>
              <w:bottom w:val="nil"/>
              <w:right w:val="nil"/>
            </w:tcBorders>
            <w:shd w:val="clear" w:color="auto" w:fill="auto"/>
            <w:vAlign w:val="bottom"/>
            <w:hideMark/>
          </w:tcPr>
          <w:p w:rsidR="00EC7890" w:rsidRPr="006236C6" w:rsidRDefault="00EC7890" w:rsidP="00EC7890">
            <w:pPr>
              <w:spacing w:after="0"/>
              <w:jc w:val="center"/>
              <w:rPr>
                <w:rFonts w:ascii="Calibri" w:hAnsi="Calibri" w:cs="Arial"/>
                <w:b/>
                <w:bCs/>
              </w:rPr>
            </w:pPr>
            <w:r w:rsidRPr="006236C6">
              <w:rPr>
                <w:rFonts w:ascii="Calibri" w:hAnsi="Calibri" w:cs="Arial"/>
                <w:b/>
                <w:bCs/>
              </w:rPr>
              <w:t>YTD Plan</w:t>
            </w:r>
          </w:p>
        </w:tc>
        <w:tc>
          <w:tcPr>
            <w:tcW w:w="997" w:type="dxa"/>
            <w:tcBorders>
              <w:top w:val="single" w:sz="4" w:space="0" w:color="auto"/>
              <w:left w:val="nil"/>
              <w:bottom w:val="nil"/>
              <w:right w:val="nil"/>
            </w:tcBorders>
            <w:shd w:val="clear" w:color="auto" w:fill="auto"/>
            <w:vAlign w:val="bottom"/>
            <w:hideMark/>
          </w:tcPr>
          <w:p w:rsidR="00EC7890" w:rsidRPr="006236C6" w:rsidRDefault="00EC7890" w:rsidP="00EC7890">
            <w:pPr>
              <w:spacing w:after="0"/>
              <w:jc w:val="center"/>
              <w:rPr>
                <w:rFonts w:ascii="Calibri" w:hAnsi="Calibri" w:cs="Arial"/>
                <w:b/>
                <w:bCs/>
              </w:rPr>
            </w:pPr>
            <w:r w:rsidRPr="006236C6">
              <w:rPr>
                <w:rFonts w:ascii="Calibri" w:hAnsi="Calibri" w:cs="Arial"/>
                <w:b/>
                <w:bCs/>
              </w:rPr>
              <w:t>YTD Actual</w:t>
            </w:r>
          </w:p>
        </w:tc>
        <w:tc>
          <w:tcPr>
            <w:tcW w:w="1146" w:type="dxa"/>
            <w:tcBorders>
              <w:top w:val="single" w:sz="4" w:space="0" w:color="auto"/>
              <w:left w:val="nil"/>
              <w:bottom w:val="nil"/>
              <w:right w:val="nil"/>
            </w:tcBorders>
            <w:shd w:val="clear" w:color="auto" w:fill="auto"/>
            <w:vAlign w:val="bottom"/>
            <w:hideMark/>
          </w:tcPr>
          <w:p w:rsidR="00EC7890" w:rsidRPr="006236C6" w:rsidRDefault="00EC7890" w:rsidP="00EC7890">
            <w:pPr>
              <w:spacing w:after="0"/>
              <w:jc w:val="center"/>
              <w:rPr>
                <w:rFonts w:ascii="Calibri" w:hAnsi="Calibri" w:cs="Arial"/>
                <w:b/>
                <w:bCs/>
              </w:rPr>
            </w:pPr>
            <w:r w:rsidRPr="006236C6">
              <w:rPr>
                <w:rFonts w:ascii="Calibri" w:hAnsi="Calibri" w:cs="Arial"/>
                <w:b/>
                <w:bCs/>
              </w:rPr>
              <w:t>YTD Variance</w:t>
            </w:r>
          </w:p>
        </w:tc>
        <w:tc>
          <w:tcPr>
            <w:tcW w:w="1149" w:type="dxa"/>
            <w:tcBorders>
              <w:top w:val="single" w:sz="4" w:space="0" w:color="auto"/>
              <w:left w:val="nil"/>
              <w:bottom w:val="nil"/>
              <w:right w:val="single" w:sz="4" w:space="0" w:color="auto"/>
            </w:tcBorders>
            <w:shd w:val="clear" w:color="auto" w:fill="auto"/>
            <w:vAlign w:val="bottom"/>
            <w:hideMark/>
          </w:tcPr>
          <w:p w:rsidR="00EC7890" w:rsidRPr="006236C6" w:rsidRDefault="00EC7890" w:rsidP="00EC7890">
            <w:pPr>
              <w:spacing w:after="0"/>
              <w:jc w:val="center"/>
              <w:rPr>
                <w:rFonts w:ascii="Calibri" w:hAnsi="Calibri" w:cs="Arial"/>
                <w:b/>
                <w:bCs/>
              </w:rPr>
            </w:pPr>
            <w:r w:rsidRPr="006236C6">
              <w:rPr>
                <w:rFonts w:ascii="Calibri" w:hAnsi="Calibri" w:cs="Arial"/>
                <w:b/>
                <w:bCs/>
              </w:rPr>
              <w:t>Variance</w:t>
            </w:r>
          </w:p>
        </w:tc>
        <w:tc>
          <w:tcPr>
            <w:tcW w:w="22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r>
      <w:tr w:rsidR="00EC7890" w:rsidRPr="006236C6" w:rsidTr="00D10CC7">
        <w:trPr>
          <w:trHeight w:val="315"/>
        </w:trPr>
        <w:tc>
          <w:tcPr>
            <w:tcW w:w="3993" w:type="dxa"/>
            <w:tcBorders>
              <w:top w:val="nil"/>
              <w:left w:val="single" w:sz="4" w:space="0" w:color="auto"/>
              <w:bottom w:val="single" w:sz="4" w:space="0" w:color="auto"/>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r w:rsidRPr="006236C6">
              <w:rPr>
                <w:rFonts w:ascii="Arial"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r w:rsidRPr="006236C6">
              <w:rPr>
                <w:rFonts w:ascii="Arial" w:hAnsi="Arial" w:cs="Arial"/>
                <w:sz w:val="20"/>
                <w:szCs w:val="20"/>
              </w:rPr>
              <w:t> </w:t>
            </w:r>
          </w:p>
        </w:tc>
        <w:tc>
          <w:tcPr>
            <w:tcW w:w="1043" w:type="dxa"/>
            <w:tcBorders>
              <w:top w:val="nil"/>
              <w:left w:val="nil"/>
              <w:bottom w:val="single" w:sz="4" w:space="0" w:color="auto"/>
              <w:right w:val="nil"/>
            </w:tcBorders>
            <w:shd w:val="clear" w:color="auto" w:fill="auto"/>
            <w:vAlign w:val="bottom"/>
            <w:hideMark/>
          </w:tcPr>
          <w:p w:rsidR="00EC7890" w:rsidRPr="006236C6" w:rsidRDefault="00EC7890" w:rsidP="00EC7890">
            <w:pPr>
              <w:spacing w:after="0"/>
              <w:jc w:val="center"/>
              <w:rPr>
                <w:rFonts w:ascii="Calibri" w:hAnsi="Calibri" w:cs="Arial"/>
                <w:b/>
                <w:bCs/>
              </w:rPr>
            </w:pPr>
            <w:r w:rsidRPr="006236C6">
              <w:rPr>
                <w:rFonts w:ascii="Calibri" w:hAnsi="Calibri" w:cs="Arial"/>
                <w:b/>
                <w:bCs/>
              </w:rPr>
              <w:t>£,000</w:t>
            </w:r>
          </w:p>
        </w:tc>
        <w:tc>
          <w:tcPr>
            <w:tcW w:w="944" w:type="dxa"/>
            <w:tcBorders>
              <w:top w:val="nil"/>
              <w:left w:val="nil"/>
              <w:bottom w:val="single" w:sz="4" w:space="0" w:color="auto"/>
              <w:right w:val="nil"/>
            </w:tcBorders>
            <w:shd w:val="clear" w:color="auto" w:fill="auto"/>
            <w:vAlign w:val="bottom"/>
            <w:hideMark/>
          </w:tcPr>
          <w:p w:rsidR="00EC7890" w:rsidRPr="006236C6" w:rsidRDefault="00EC7890" w:rsidP="00EC7890">
            <w:pPr>
              <w:spacing w:after="0"/>
              <w:jc w:val="center"/>
              <w:rPr>
                <w:rFonts w:ascii="Calibri" w:hAnsi="Calibri" w:cs="Arial"/>
                <w:b/>
                <w:bCs/>
              </w:rPr>
            </w:pPr>
            <w:r w:rsidRPr="006236C6">
              <w:rPr>
                <w:rFonts w:ascii="Calibri" w:hAnsi="Calibri" w:cs="Arial"/>
                <w:b/>
                <w:bCs/>
              </w:rPr>
              <w:t>£,000</w:t>
            </w:r>
          </w:p>
        </w:tc>
        <w:tc>
          <w:tcPr>
            <w:tcW w:w="997" w:type="dxa"/>
            <w:tcBorders>
              <w:top w:val="nil"/>
              <w:left w:val="nil"/>
              <w:bottom w:val="single" w:sz="4" w:space="0" w:color="auto"/>
              <w:right w:val="nil"/>
            </w:tcBorders>
            <w:shd w:val="clear" w:color="auto" w:fill="auto"/>
            <w:vAlign w:val="bottom"/>
            <w:hideMark/>
          </w:tcPr>
          <w:p w:rsidR="00EC7890" w:rsidRPr="006236C6" w:rsidRDefault="00EC7890" w:rsidP="00EC7890">
            <w:pPr>
              <w:spacing w:after="0"/>
              <w:jc w:val="center"/>
              <w:rPr>
                <w:rFonts w:ascii="Calibri" w:hAnsi="Calibri" w:cs="Arial"/>
                <w:b/>
                <w:bCs/>
              </w:rPr>
            </w:pPr>
            <w:r w:rsidRPr="006236C6">
              <w:rPr>
                <w:rFonts w:ascii="Calibri" w:hAnsi="Calibri" w:cs="Arial"/>
                <w:b/>
                <w:bCs/>
              </w:rPr>
              <w:t>£,000</w:t>
            </w:r>
          </w:p>
        </w:tc>
        <w:tc>
          <w:tcPr>
            <w:tcW w:w="1146" w:type="dxa"/>
            <w:tcBorders>
              <w:top w:val="nil"/>
              <w:left w:val="nil"/>
              <w:bottom w:val="single" w:sz="4" w:space="0" w:color="auto"/>
              <w:right w:val="nil"/>
            </w:tcBorders>
            <w:shd w:val="clear" w:color="auto" w:fill="auto"/>
            <w:vAlign w:val="bottom"/>
            <w:hideMark/>
          </w:tcPr>
          <w:p w:rsidR="00EC7890" w:rsidRPr="006236C6" w:rsidRDefault="00EC7890" w:rsidP="00EC7890">
            <w:pPr>
              <w:spacing w:after="0"/>
              <w:jc w:val="center"/>
              <w:rPr>
                <w:rFonts w:ascii="Calibri" w:hAnsi="Calibri" w:cs="Arial"/>
                <w:b/>
                <w:bCs/>
              </w:rPr>
            </w:pPr>
            <w:r w:rsidRPr="006236C6">
              <w:rPr>
                <w:rFonts w:ascii="Calibri" w:hAnsi="Calibri" w:cs="Arial"/>
                <w:b/>
                <w:bCs/>
              </w:rPr>
              <w:t>£,000</w:t>
            </w:r>
          </w:p>
        </w:tc>
        <w:tc>
          <w:tcPr>
            <w:tcW w:w="1149" w:type="dxa"/>
            <w:tcBorders>
              <w:top w:val="nil"/>
              <w:left w:val="nil"/>
              <w:bottom w:val="single" w:sz="4" w:space="0" w:color="auto"/>
              <w:right w:val="single" w:sz="4" w:space="0" w:color="auto"/>
            </w:tcBorders>
            <w:shd w:val="clear" w:color="auto" w:fill="auto"/>
            <w:vAlign w:val="bottom"/>
            <w:hideMark/>
          </w:tcPr>
          <w:p w:rsidR="00EC7890" w:rsidRPr="006236C6" w:rsidRDefault="00EC7890" w:rsidP="00EC7890">
            <w:pPr>
              <w:spacing w:after="0"/>
              <w:jc w:val="center"/>
              <w:rPr>
                <w:rFonts w:ascii="Calibri" w:hAnsi="Calibri" w:cs="Arial"/>
                <w:b/>
                <w:bCs/>
              </w:rPr>
            </w:pPr>
            <w:r w:rsidRPr="006236C6">
              <w:rPr>
                <w:rFonts w:ascii="Calibri" w:hAnsi="Calibri" w:cs="Arial"/>
                <w:b/>
                <w:bCs/>
              </w:rPr>
              <w:t>%</w:t>
            </w:r>
          </w:p>
        </w:tc>
        <w:tc>
          <w:tcPr>
            <w:tcW w:w="22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r>
      <w:tr w:rsidR="00EC7890" w:rsidRPr="006236C6" w:rsidTr="00D10CC7">
        <w:trPr>
          <w:trHeight w:val="315"/>
        </w:trPr>
        <w:tc>
          <w:tcPr>
            <w:tcW w:w="3993"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r w:rsidRPr="006236C6">
              <w:rPr>
                <w:rFonts w:ascii="Arial" w:hAnsi="Arial" w:cs="Arial"/>
                <w:sz w:val="20"/>
                <w:szCs w:val="20"/>
              </w:rPr>
              <w:t> </w:t>
            </w:r>
          </w:p>
        </w:tc>
        <w:tc>
          <w:tcPr>
            <w:tcW w:w="27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c>
          <w:tcPr>
            <w:tcW w:w="1043" w:type="dxa"/>
            <w:tcBorders>
              <w:top w:val="nil"/>
              <w:left w:val="nil"/>
              <w:bottom w:val="nil"/>
              <w:right w:val="nil"/>
            </w:tcBorders>
            <w:shd w:val="clear" w:color="auto" w:fill="auto"/>
            <w:vAlign w:val="bottom"/>
            <w:hideMark/>
          </w:tcPr>
          <w:p w:rsidR="00EC7890" w:rsidRPr="006236C6" w:rsidRDefault="00EC7890" w:rsidP="00EC7890">
            <w:pPr>
              <w:spacing w:after="0"/>
              <w:jc w:val="center"/>
              <w:rPr>
                <w:rFonts w:ascii="Calibri" w:hAnsi="Calibri" w:cs="Arial"/>
                <w:b/>
                <w:bCs/>
              </w:rPr>
            </w:pPr>
          </w:p>
        </w:tc>
        <w:tc>
          <w:tcPr>
            <w:tcW w:w="944" w:type="dxa"/>
            <w:tcBorders>
              <w:top w:val="nil"/>
              <w:left w:val="nil"/>
              <w:bottom w:val="nil"/>
              <w:right w:val="nil"/>
            </w:tcBorders>
            <w:shd w:val="clear" w:color="auto" w:fill="auto"/>
            <w:vAlign w:val="bottom"/>
            <w:hideMark/>
          </w:tcPr>
          <w:p w:rsidR="00EC7890" w:rsidRPr="006236C6" w:rsidRDefault="00EC7890" w:rsidP="00EC7890">
            <w:pPr>
              <w:spacing w:after="0"/>
              <w:jc w:val="center"/>
              <w:rPr>
                <w:rFonts w:ascii="Calibri" w:hAnsi="Calibri" w:cs="Arial"/>
                <w:b/>
                <w:bCs/>
              </w:rPr>
            </w:pPr>
          </w:p>
        </w:tc>
        <w:tc>
          <w:tcPr>
            <w:tcW w:w="997" w:type="dxa"/>
            <w:tcBorders>
              <w:top w:val="nil"/>
              <w:left w:val="nil"/>
              <w:bottom w:val="nil"/>
              <w:right w:val="nil"/>
            </w:tcBorders>
            <w:shd w:val="clear" w:color="auto" w:fill="auto"/>
            <w:vAlign w:val="bottom"/>
            <w:hideMark/>
          </w:tcPr>
          <w:p w:rsidR="00EC7890" w:rsidRPr="006236C6" w:rsidRDefault="00EC7890" w:rsidP="00EC7890">
            <w:pPr>
              <w:spacing w:after="0"/>
              <w:jc w:val="center"/>
              <w:rPr>
                <w:rFonts w:ascii="Calibri" w:hAnsi="Calibri" w:cs="Arial"/>
                <w:b/>
                <w:bCs/>
              </w:rPr>
            </w:pPr>
          </w:p>
        </w:tc>
        <w:tc>
          <w:tcPr>
            <w:tcW w:w="1146" w:type="dxa"/>
            <w:tcBorders>
              <w:top w:val="nil"/>
              <w:left w:val="nil"/>
              <w:bottom w:val="nil"/>
              <w:right w:val="nil"/>
            </w:tcBorders>
            <w:shd w:val="clear" w:color="auto" w:fill="auto"/>
            <w:vAlign w:val="bottom"/>
            <w:hideMark/>
          </w:tcPr>
          <w:p w:rsidR="00EC7890" w:rsidRPr="006236C6" w:rsidRDefault="00EC7890" w:rsidP="00EC7890">
            <w:pPr>
              <w:spacing w:after="0"/>
              <w:jc w:val="center"/>
              <w:rPr>
                <w:rFonts w:ascii="Calibri" w:hAnsi="Calibri" w:cs="Arial"/>
                <w:b/>
                <w:bCs/>
              </w:rPr>
            </w:pPr>
          </w:p>
        </w:tc>
        <w:tc>
          <w:tcPr>
            <w:tcW w:w="1149" w:type="dxa"/>
            <w:tcBorders>
              <w:top w:val="nil"/>
              <w:left w:val="nil"/>
              <w:bottom w:val="nil"/>
              <w:right w:val="single" w:sz="4" w:space="0" w:color="auto"/>
            </w:tcBorders>
            <w:shd w:val="clear" w:color="auto" w:fill="auto"/>
            <w:vAlign w:val="bottom"/>
            <w:hideMark/>
          </w:tcPr>
          <w:p w:rsidR="00EC7890" w:rsidRPr="006236C6" w:rsidRDefault="00EC7890" w:rsidP="00EC7890">
            <w:pPr>
              <w:spacing w:after="0"/>
              <w:jc w:val="center"/>
              <w:rPr>
                <w:rFonts w:ascii="Calibri" w:hAnsi="Calibri" w:cs="Arial"/>
                <w:b/>
                <w:bCs/>
              </w:rPr>
            </w:pPr>
            <w:r w:rsidRPr="006236C6">
              <w:rPr>
                <w:rFonts w:ascii="Calibri" w:hAnsi="Calibri" w:cs="Arial"/>
                <w:b/>
                <w:bCs/>
              </w:rPr>
              <w:t> </w:t>
            </w:r>
          </w:p>
        </w:tc>
        <w:tc>
          <w:tcPr>
            <w:tcW w:w="22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r>
      <w:tr w:rsidR="00EC7890" w:rsidRPr="006236C6" w:rsidTr="00D10CC7">
        <w:trPr>
          <w:trHeight w:val="255"/>
        </w:trPr>
        <w:tc>
          <w:tcPr>
            <w:tcW w:w="3993"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r w:rsidRPr="006236C6">
              <w:rPr>
                <w:rFonts w:ascii="Arial" w:hAnsi="Arial" w:cs="Arial"/>
                <w:sz w:val="20"/>
                <w:szCs w:val="20"/>
              </w:rPr>
              <w:t>Day cases</w:t>
            </w:r>
          </w:p>
        </w:tc>
        <w:tc>
          <w:tcPr>
            <w:tcW w:w="27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c>
          <w:tcPr>
            <w:tcW w:w="10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8,087</w:t>
            </w:r>
          </w:p>
        </w:tc>
        <w:tc>
          <w:tcPr>
            <w:tcW w:w="944"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3,978</w:t>
            </w:r>
          </w:p>
        </w:tc>
        <w:tc>
          <w:tcPr>
            <w:tcW w:w="997"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4,438</w:t>
            </w:r>
          </w:p>
        </w:tc>
        <w:tc>
          <w:tcPr>
            <w:tcW w:w="114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460</w:t>
            </w:r>
          </w:p>
        </w:tc>
        <w:tc>
          <w:tcPr>
            <w:tcW w:w="1149"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11.6%</w:t>
            </w:r>
          </w:p>
        </w:tc>
        <w:tc>
          <w:tcPr>
            <w:tcW w:w="22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r>
      <w:tr w:rsidR="00EC7890" w:rsidRPr="006236C6" w:rsidTr="00D10CC7">
        <w:trPr>
          <w:trHeight w:val="255"/>
        </w:trPr>
        <w:tc>
          <w:tcPr>
            <w:tcW w:w="3993"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r w:rsidRPr="006236C6">
              <w:rPr>
                <w:rFonts w:ascii="Arial" w:hAnsi="Arial" w:cs="Arial"/>
                <w:sz w:val="20"/>
                <w:szCs w:val="20"/>
              </w:rPr>
              <w:t>Elective Inpatients</w:t>
            </w:r>
          </w:p>
        </w:tc>
        <w:tc>
          <w:tcPr>
            <w:tcW w:w="27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c>
          <w:tcPr>
            <w:tcW w:w="10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5,762</w:t>
            </w:r>
          </w:p>
        </w:tc>
        <w:tc>
          <w:tcPr>
            <w:tcW w:w="944"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2,852</w:t>
            </w:r>
          </w:p>
        </w:tc>
        <w:tc>
          <w:tcPr>
            <w:tcW w:w="997"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3,028</w:t>
            </w:r>
          </w:p>
        </w:tc>
        <w:tc>
          <w:tcPr>
            <w:tcW w:w="114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176</w:t>
            </w:r>
          </w:p>
        </w:tc>
        <w:tc>
          <w:tcPr>
            <w:tcW w:w="1149"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6.2%</w:t>
            </w:r>
          </w:p>
        </w:tc>
        <w:tc>
          <w:tcPr>
            <w:tcW w:w="22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r>
      <w:tr w:rsidR="00EC7890" w:rsidRPr="006236C6" w:rsidTr="00D10CC7">
        <w:trPr>
          <w:trHeight w:val="255"/>
        </w:trPr>
        <w:tc>
          <w:tcPr>
            <w:tcW w:w="3993"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r w:rsidRPr="006236C6">
              <w:rPr>
                <w:rFonts w:ascii="Arial" w:hAnsi="Arial" w:cs="Arial"/>
                <w:sz w:val="20"/>
                <w:szCs w:val="20"/>
              </w:rPr>
              <w:t>Non Elective Inpatients</w:t>
            </w:r>
          </w:p>
        </w:tc>
        <w:tc>
          <w:tcPr>
            <w:tcW w:w="27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c>
          <w:tcPr>
            <w:tcW w:w="10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26,946</w:t>
            </w:r>
          </w:p>
        </w:tc>
        <w:tc>
          <w:tcPr>
            <w:tcW w:w="944"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13,363</w:t>
            </w:r>
          </w:p>
        </w:tc>
        <w:tc>
          <w:tcPr>
            <w:tcW w:w="997"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13,333</w:t>
            </w:r>
          </w:p>
        </w:tc>
        <w:tc>
          <w:tcPr>
            <w:tcW w:w="114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color w:val="FF0000"/>
                <w:sz w:val="18"/>
                <w:szCs w:val="18"/>
              </w:rPr>
              <w:t>(30)</w:t>
            </w:r>
          </w:p>
        </w:tc>
        <w:tc>
          <w:tcPr>
            <w:tcW w:w="1149"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-0.2%</w:t>
            </w:r>
          </w:p>
        </w:tc>
        <w:tc>
          <w:tcPr>
            <w:tcW w:w="22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r>
      <w:tr w:rsidR="00EC7890" w:rsidRPr="006236C6" w:rsidTr="00D10CC7">
        <w:trPr>
          <w:trHeight w:val="255"/>
        </w:trPr>
        <w:tc>
          <w:tcPr>
            <w:tcW w:w="3993"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r w:rsidRPr="006236C6">
              <w:rPr>
                <w:rFonts w:ascii="Arial" w:hAnsi="Arial" w:cs="Arial"/>
                <w:sz w:val="20"/>
                <w:szCs w:val="20"/>
              </w:rPr>
              <w:t>Non Elective Excess Bed days</w:t>
            </w:r>
          </w:p>
        </w:tc>
        <w:tc>
          <w:tcPr>
            <w:tcW w:w="27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c>
          <w:tcPr>
            <w:tcW w:w="10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1,616</w:t>
            </w:r>
          </w:p>
        </w:tc>
        <w:tc>
          <w:tcPr>
            <w:tcW w:w="944"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795</w:t>
            </w:r>
          </w:p>
        </w:tc>
        <w:tc>
          <w:tcPr>
            <w:tcW w:w="997"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579</w:t>
            </w:r>
          </w:p>
        </w:tc>
        <w:tc>
          <w:tcPr>
            <w:tcW w:w="114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color w:val="FF0000"/>
                <w:sz w:val="18"/>
                <w:szCs w:val="18"/>
              </w:rPr>
              <w:t>(216)</w:t>
            </w:r>
          </w:p>
        </w:tc>
        <w:tc>
          <w:tcPr>
            <w:tcW w:w="1149"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-27.2%</w:t>
            </w:r>
          </w:p>
        </w:tc>
        <w:tc>
          <w:tcPr>
            <w:tcW w:w="22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r>
      <w:tr w:rsidR="00EC7890" w:rsidRPr="006236C6" w:rsidTr="00D10CC7">
        <w:trPr>
          <w:trHeight w:val="255"/>
        </w:trPr>
        <w:tc>
          <w:tcPr>
            <w:tcW w:w="3993"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r w:rsidRPr="006236C6">
              <w:rPr>
                <w:rFonts w:ascii="Arial" w:hAnsi="Arial" w:cs="Arial"/>
                <w:sz w:val="20"/>
                <w:szCs w:val="20"/>
              </w:rPr>
              <w:t>Emergency pathway reconfiguration</w:t>
            </w:r>
          </w:p>
        </w:tc>
        <w:tc>
          <w:tcPr>
            <w:tcW w:w="27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c>
          <w:tcPr>
            <w:tcW w:w="10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0</w:t>
            </w:r>
          </w:p>
        </w:tc>
        <w:tc>
          <w:tcPr>
            <w:tcW w:w="944"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0</w:t>
            </w:r>
          </w:p>
        </w:tc>
        <w:tc>
          <w:tcPr>
            <w:tcW w:w="997"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265</w:t>
            </w:r>
          </w:p>
        </w:tc>
        <w:tc>
          <w:tcPr>
            <w:tcW w:w="114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265</w:t>
            </w:r>
          </w:p>
        </w:tc>
        <w:tc>
          <w:tcPr>
            <w:tcW w:w="1149"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sz w:val="18"/>
                <w:szCs w:val="18"/>
              </w:rPr>
            </w:pPr>
            <w:r w:rsidRPr="006236C6">
              <w:rPr>
                <w:rFonts w:ascii="Arial" w:hAnsi="Arial" w:cs="Arial"/>
                <w:sz w:val="18"/>
                <w:szCs w:val="18"/>
              </w:rPr>
              <w:t> </w:t>
            </w:r>
          </w:p>
        </w:tc>
        <w:tc>
          <w:tcPr>
            <w:tcW w:w="22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r>
      <w:tr w:rsidR="00EC7890" w:rsidRPr="006236C6" w:rsidTr="00D10CC7">
        <w:trPr>
          <w:trHeight w:val="255"/>
        </w:trPr>
        <w:tc>
          <w:tcPr>
            <w:tcW w:w="3993"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r w:rsidRPr="006236C6">
              <w:rPr>
                <w:rFonts w:ascii="Arial" w:hAnsi="Arial" w:cs="Arial"/>
                <w:sz w:val="20"/>
                <w:szCs w:val="20"/>
              </w:rPr>
              <w:t>Excess Bed Days</w:t>
            </w:r>
          </w:p>
        </w:tc>
        <w:tc>
          <w:tcPr>
            <w:tcW w:w="27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c>
          <w:tcPr>
            <w:tcW w:w="10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74</w:t>
            </w:r>
          </w:p>
        </w:tc>
        <w:tc>
          <w:tcPr>
            <w:tcW w:w="944"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37</w:t>
            </w:r>
          </w:p>
        </w:tc>
        <w:tc>
          <w:tcPr>
            <w:tcW w:w="997"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222</w:t>
            </w:r>
          </w:p>
        </w:tc>
        <w:tc>
          <w:tcPr>
            <w:tcW w:w="114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185</w:t>
            </w:r>
          </w:p>
        </w:tc>
        <w:tc>
          <w:tcPr>
            <w:tcW w:w="1149"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500.0%</w:t>
            </w:r>
          </w:p>
        </w:tc>
        <w:tc>
          <w:tcPr>
            <w:tcW w:w="22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r>
      <w:tr w:rsidR="00EC7890" w:rsidRPr="006236C6" w:rsidTr="00D10CC7">
        <w:trPr>
          <w:trHeight w:val="255"/>
        </w:trPr>
        <w:tc>
          <w:tcPr>
            <w:tcW w:w="3993"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r w:rsidRPr="006236C6">
              <w:rPr>
                <w:rFonts w:ascii="Arial" w:hAnsi="Arial" w:cs="Arial"/>
                <w:sz w:val="20"/>
                <w:szCs w:val="20"/>
              </w:rPr>
              <w:t>First Outpatients</w:t>
            </w:r>
          </w:p>
        </w:tc>
        <w:tc>
          <w:tcPr>
            <w:tcW w:w="27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c>
          <w:tcPr>
            <w:tcW w:w="10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5,711</w:t>
            </w:r>
          </w:p>
        </w:tc>
        <w:tc>
          <w:tcPr>
            <w:tcW w:w="944"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2,869</w:t>
            </w:r>
          </w:p>
        </w:tc>
        <w:tc>
          <w:tcPr>
            <w:tcW w:w="997"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2,553</w:t>
            </w:r>
          </w:p>
        </w:tc>
        <w:tc>
          <w:tcPr>
            <w:tcW w:w="114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color w:val="FF0000"/>
                <w:sz w:val="18"/>
                <w:szCs w:val="18"/>
              </w:rPr>
              <w:t>(316)</w:t>
            </w:r>
          </w:p>
        </w:tc>
        <w:tc>
          <w:tcPr>
            <w:tcW w:w="1149"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-11.0%</w:t>
            </w:r>
          </w:p>
        </w:tc>
        <w:tc>
          <w:tcPr>
            <w:tcW w:w="22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r>
      <w:tr w:rsidR="00EC7890" w:rsidRPr="006236C6" w:rsidTr="00D10CC7">
        <w:trPr>
          <w:trHeight w:val="255"/>
        </w:trPr>
        <w:tc>
          <w:tcPr>
            <w:tcW w:w="3993"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r w:rsidRPr="006236C6">
              <w:rPr>
                <w:rFonts w:ascii="Arial" w:hAnsi="Arial" w:cs="Arial"/>
                <w:sz w:val="20"/>
                <w:szCs w:val="20"/>
              </w:rPr>
              <w:t>Follow up Outpatients</w:t>
            </w:r>
          </w:p>
        </w:tc>
        <w:tc>
          <w:tcPr>
            <w:tcW w:w="27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c>
          <w:tcPr>
            <w:tcW w:w="10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5,205</w:t>
            </w:r>
          </w:p>
        </w:tc>
        <w:tc>
          <w:tcPr>
            <w:tcW w:w="944"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2,587</w:t>
            </w:r>
          </w:p>
        </w:tc>
        <w:tc>
          <w:tcPr>
            <w:tcW w:w="997"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2,454</w:t>
            </w:r>
          </w:p>
        </w:tc>
        <w:tc>
          <w:tcPr>
            <w:tcW w:w="114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color w:val="FF0000"/>
                <w:sz w:val="18"/>
                <w:szCs w:val="18"/>
              </w:rPr>
              <w:t>(133)</w:t>
            </w:r>
          </w:p>
        </w:tc>
        <w:tc>
          <w:tcPr>
            <w:tcW w:w="1149"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-5.1%</w:t>
            </w:r>
          </w:p>
        </w:tc>
        <w:tc>
          <w:tcPr>
            <w:tcW w:w="22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r>
      <w:tr w:rsidR="00EC7890" w:rsidRPr="006236C6" w:rsidTr="00D10CC7">
        <w:trPr>
          <w:trHeight w:val="255"/>
        </w:trPr>
        <w:tc>
          <w:tcPr>
            <w:tcW w:w="3993"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r w:rsidRPr="006236C6">
              <w:rPr>
                <w:rFonts w:ascii="Arial" w:hAnsi="Arial" w:cs="Arial"/>
                <w:sz w:val="20"/>
                <w:szCs w:val="20"/>
              </w:rPr>
              <w:t>Outpatient procedures</w:t>
            </w:r>
          </w:p>
        </w:tc>
        <w:tc>
          <w:tcPr>
            <w:tcW w:w="27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c>
          <w:tcPr>
            <w:tcW w:w="10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2,146</w:t>
            </w:r>
          </w:p>
        </w:tc>
        <w:tc>
          <w:tcPr>
            <w:tcW w:w="944"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1,073</w:t>
            </w:r>
          </w:p>
        </w:tc>
        <w:tc>
          <w:tcPr>
            <w:tcW w:w="997"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1,081</w:t>
            </w:r>
          </w:p>
        </w:tc>
        <w:tc>
          <w:tcPr>
            <w:tcW w:w="114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8</w:t>
            </w:r>
          </w:p>
        </w:tc>
        <w:tc>
          <w:tcPr>
            <w:tcW w:w="1149"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0.7%</w:t>
            </w:r>
          </w:p>
        </w:tc>
        <w:tc>
          <w:tcPr>
            <w:tcW w:w="22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r>
      <w:tr w:rsidR="00EC7890" w:rsidRPr="006236C6" w:rsidTr="00D10CC7">
        <w:trPr>
          <w:trHeight w:val="255"/>
        </w:trPr>
        <w:tc>
          <w:tcPr>
            <w:tcW w:w="3993"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r w:rsidRPr="006236C6">
              <w:rPr>
                <w:rFonts w:ascii="Arial" w:hAnsi="Arial" w:cs="Arial"/>
                <w:sz w:val="20"/>
                <w:szCs w:val="20"/>
              </w:rPr>
              <w:t>Unbundle OP radiodiagnostic</w:t>
            </w:r>
          </w:p>
        </w:tc>
        <w:tc>
          <w:tcPr>
            <w:tcW w:w="27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c>
          <w:tcPr>
            <w:tcW w:w="10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1,390</w:t>
            </w:r>
          </w:p>
        </w:tc>
        <w:tc>
          <w:tcPr>
            <w:tcW w:w="944"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695</w:t>
            </w:r>
          </w:p>
        </w:tc>
        <w:tc>
          <w:tcPr>
            <w:tcW w:w="997"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660</w:t>
            </w:r>
          </w:p>
        </w:tc>
        <w:tc>
          <w:tcPr>
            <w:tcW w:w="114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color w:val="FF0000"/>
                <w:sz w:val="18"/>
                <w:szCs w:val="18"/>
              </w:rPr>
              <w:t>(35)</w:t>
            </w:r>
          </w:p>
        </w:tc>
        <w:tc>
          <w:tcPr>
            <w:tcW w:w="1149"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-5.0%</w:t>
            </w:r>
          </w:p>
        </w:tc>
        <w:tc>
          <w:tcPr>
            <w:tcW w:w="22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r>
      <w:tr w:rsidR="00EC7890" w:rsidRPr="006236C6" w:rsidTr="00D10CC7">
        <w:trPr>
          <w:trHeight w:val="255"/>
        </w:trPr>
        <w:tc>
          <w:tcPr>
            <w:tcW w:w="3993"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r w:rsidRPr="006236C6">
              <w:rPr>
                <w:rFonts w:ascii="Arial" w:hAnsi="Arial" w:cs="Arial"/>
                <w:sz w:val="20"/>
                <w:szCs w:val="20"/>
              </w:rPr>
              <w:t>ED attendances</w:t>
            </w:r>
          </w:p>
        </w:tc>
        <w:tc>
          <w:tcPr>
            <w:tcW w:w="27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c>
          <w:tcPr>
            <w:tcW w:w="10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6,182</w:t>
            </w:r>
          </w:p>
        </w:tc>
        <w:tc>
          <w:tcPr>
            <w:tcW w:w="944"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3,116</w:t>
            </w:r>
          </w:p>
        </w:tc>
        <w:tc>
          <w:tcPr>
            <w:tcW w:w="997"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3,066</w:t>
            </w:r>
          </w:p>
        </w:tc>
        <w:tc>
          <w:tcPr>
            <w:tcW w:w="114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color w:val="FF0000"/>
                <w:sz w:val="18"/>
                <w:szCs w:val="18"/>
              </w:rPr>
              <w:t>(50)</w:t>
            </w:r>
          </w:p>
        </w:tc>
        <w:tc>
          <w:tcPr>
            <w:tcW w:w="1149"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-1.6%</w:t>
            </w:r>
          </w:p>
        </w:tc>
        <w:tc>
          <w:tcPr>
            <w:tcW w:w="22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r>
      <w:tr w:rsidR="00EC7890" w:rsidRPr="006236C6" w:rsidTr="00D10CC7">
        <w:trPr>
          <w:trHeight w:val="255"/>
        </w:trPr>
        <w:tc>
          <w:tcPr>
            <w:tcW w:w="3993"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r w:rsidRPr="006236C6">
              <w:rPr>
                <w:rFonts w:ascii="Arial" w:hAnsi="Arial" w:cs="Arial"/>
                <w:sz w:val="20"/>
                <w:szCs w:val="20"/>
              </w:rPr>
              <w:t>Critical Care</w:t>
            </w:r>
          </w:p>
        </w:tc>
        <w:tc>
          <w:tcPr>
            <w:tcW w:w="27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c>
          <w:tcPr>
            <w:tcW w:w="10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2,608</w:t>
            </w:r>
          </w:p>
        </w:tc>
        <w:tc>
          <w:tcPr>
            <w:tcW w:w="944"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1,304</w:t>
            </w:r>
          </w:p>
        </w:tc>
        <w:tc>
          <w:tcPr>
            <w:tcW w:w="997"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1,304</w:t>
            </w:r>
          </w:p>
        </w:tc>
        <w:tc>
          <w:tcPr>
            <w:tcW w:w="114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0</w:t>
            </w:r>
          </w:p>
        </w:tc>
        <w:tc>
          <w:tcPr>
            <w:tcW w:w="1149"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0.0%</w:t>
            </w:r>
          </w:p>
        </w:tc>
        <w:tc>
          <w:tcPr>
            <w:tcW w:w="22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r>
      <w:tr w:rsidR="00EC7890" w:rsidRPr="006236C6" w:rsidTr="00D10CC7">
        <w:trPr>
          <w:trHeight w:val="255"/>
        </w:trPr>
        <w:tc>
          <w:tcPr>
            <w:tcW w:w="3993"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r w:rsidRPr="006236C6">
              <w:rPr>
                <w:rFonts w:ascii="Arial" w:hAnsi="Arial" w:cs="Arial"/>
                <w:sz w:val="20"/>
                <w:szCs w:val="20"/>
              </w:rPr>
              <w:t>Rehabilitation</w:t>
            </w:r>
          </w:p>
        </w:tc>
        <w:tc>
          <w:tcPr>
            <w:tcW w:w="27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c>
          <w:tcPr>
            <w:tcW w:w="10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1,577</w:t>
            </w:r>
          </w:p>
        </w:tc>
        <w:tc>
          <w:tcPr>
            <w:tcW w:w="944"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788</w:t>
            </w:r>
          </w:p>
        </w:tc>
        <w:tc>
          <w:tcPr>
            <w:tcW w:w="997"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768</w:t>
            </w:r>
          </w:p>
        </w:tc>
        <w:tc>
          <w:tcPr>
            <w:tcW w:w="114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color w:val="FF0000"/>
                <w:sz w:val="18"/>
                <w:szCs w:val="18"/>
              </w:rPr>
              <w:t>(20)</w:t>
            </w:r>
          </w:p>
        </w:tc>
        <w:tc>
          <w:tcPr>
            <w:tcW w:w="1149"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-2.5%</w:t>
            </w:r>
          </w:p>
        </w:tc>
        <w:tc>
          <w:tcPr>
            <w:tcW w:w="22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r>
      <w:tr w:rsidR="00EC7890" w:rsidRPr="006236C6" w:rsidTr="00D10CC7">
        <w:trPr>
          <w:trHeight w:val="255"/>
        </w:trPr>
        <w:tc>
          <w:tcPr>
            <w:tcW w:w="3993"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r w:rsidRPr="006236C6">
              <w:rPr>
                <w:rFonts w:ascii="Arial" w:hAnsi="Arial" w:cs="Arial"/>
                <w:sz w:val="20"/>
                <w:szCs w:val="20"/>
              </w:rPr>
              <w:t>Children Services</w:t>
            </w:r>
          </w:p>
        </w:tc>
        <w:tc>
          <w:tcPr>
            <w:tcW w:w="27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c>
          <w:tcPr>
            <w:tcW w:w="10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2,631</w:t>
            </w:r>
          </w:p>
        </w:tc>
        <w:tc>
          <w:tcPr>
            <w:tcW w:w="944"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1,315</w:t>
            </w:r>
          </w:p>
        </w:tc>
        <w:tc>
          <w:tcPr>
            <w:tcW w:w="997"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1,315</w:t>
            </w:r>
          </w:p>
        </w:tc>
        <w:tc>
          <w:tcPr>
            <w:tcW w:w="114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0</w:t>
            </w:r>
          </w:p>
        </w:tc>
        <w:tc>
          <w:tcPr>
            <w:tcW w:w="1149"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0.0%</w:t>
            </w:r>
          </w:p>
        </w:tc>
        <w:tc>
          <w:tcPr>
            <w:tcW w:w="22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r>
      <w:tr w:rsidR="00EC7890" w:rsidRPr="006236C6" w:rsidTr="00D10CC7">
        <w:trPr>
          <w:trHeight w:val="255"/>
        </w:trPr>
        <w:tc>
          <w:tcPr>
            <w:tcW w:w="3993"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r w:rsidRPr="006236C6">
              <w:rPr>
                <w:rFonts w:ascii="Arial" w:hAnsi="Arial" w:cs="Arial"/>
                <w:sz w:val="20"/>
                <w:szCs w:val="20"/>
              </w:rPr>
              <w:t xml:space="preserve">Direct Access </w:t>
            </w:r>
          </w:p>
        </w:tc>
        <w:tc>
          <w:tcPr>
            <w:tcW w:w="27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c>
          <w:tcPr>
            <w:tcW w:w="10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3,144</w:t>
            </w:r>
          </w:p>
        </w:tc>
        <w:tc>
          <w:tcPr>
            <w:tcW w:w="944"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1,572</w:t>
            </w:r>
          </w:p>
        </w:tc>
        <w:tc>
          <w:tcPr>
            <w:tcW w:w="997"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1,677</w:t>
            </w:r>
          </w:p>
        </w:tc>
        <w:tc>
          <w:tcPr>
            <w:tcW w:w="114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105</w:t>
            </w:r>
          </w:p>
        </w:tc>
        <w:tc>
          <w:tcPr>
            <w:tcW w:w="1149"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6.7%</w:t>
            </w:r>
          </w:p>
        </w:tc>
        <w:tc>
          <w:tcPr>
            <w:tcW w:w="22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r>
      <w:tr w:rsidR="00EC7890" w:rsidRPr="006236C6" w:rsidTr="00D10CC7">
        <w:trPr>
          <w:trHeight w:val="255"/>
        </w:trPr>
        <w:tc>
          <w:tcPr>
            <w:tcW w:w="3993"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r w:rsidRPr="006236C6">
              <w:rPr>
                <w:rFonts w:ascii="Arial" w:hAnsi="Arial" w:cs="Arial"/>
                <w:sz w:val="20"/>
                <w:szCs w:val="20"/>
              </w:rPr>
              <w:t>Maternity Services</w:t>
            </w:r>
          </w:p>
        </w:tc>
        <w:tc>
          <w:tcPr>
            <w:tcW w:w="27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c>
          <w:tcPr>
            <w:tcW w:w="10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2,784</w:t>
            </w:r>
          </w:p>
        </w:tc>
        <w:tc>
          <w:tcPr>
            <w:tcW w:w="944"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1,392</w:t>
            </w:r>
          </w:p>
        </w:tc>
        <w:tc>
          <w:tcPr>
            <w:tcW w:w="997"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1,280</w:t>
            </w:r>
          </w:p>
        </w:tc>
        <w:tc>
          <w:tcPr>
            <w:tcW w:w="114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color w:val="FF0000"/>
                <w:sz w:val="18"/>
                <w:szCs w:val="18"/>
              </w:rPr>
              <w:t>(112)</w:t>
            </w:r>
          </w:p>
        </w:tc>
        <w:tc>
          <w:tcPr>
            <w:tcW w:w="1149"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-8.0%</w:t>
            </w:r>
          </w:p>
        </w:tc>
        <w:tc>
          <w:tcPr>
            <w:tcW w:w="22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r>
      <w:tr w:rsidR="00EC7890" w:rsidRPr="006236C6" w:rsidTr="00D10CC7">
        <w:trPr>
          <w:trHeight w:val="255"/>
        </w:trPr>
        <w:tc>
          <w:tcPr>
            <w:tcW w:w="3993"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r w:rsidRPr="006236C6">
              <w:rPr>
                <w:rFonts w:ascii="Arial" w:hAnsi="Arial" w:cs="Arial"/>
                <w:sz w:val="20"/>
                <w:szCs w:val="20"/>
              </w:rPr>
              <w:t>NICE income</w:t>
            </w:r>
          </w:p>
        </w:tc>
        <w:tc>
          <w:tcPr>
            <w:tcW w:w="27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c>
          <w:tcPr>
            <w:tcW w:w="10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3,202</w:t>
            </w:r>
          </w:p>
        </w:tc>
        <w:tc>
          <w:tcPr>
            <w:tcW w:w="944"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1,574</w:t>
            </w:r>
          </w:p>
        </w:tc>
        <w:tc>
          <w:tcPr>
            <w:tcW w:w="997"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1,761</w:t>
            </w:r>
          </w:p>
        </w:tc>
        <w:tc>
          <w:tcPr>
            <w:tcW w:w="114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187</w:t>
            </w:r>
          </w:p>
        </w:tc>
        <w:tc>
          <w:tcPr>
            <w:tcW w:w="1149"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11.9%</w:t>
            </w:r>
          </w:p>
        </w:tc>
        <w:tc>
          <w:tcPr>
            <w:tcW w:w="22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r>
      <w:tr w:rsidR="00EC7890" w:rsidRPr="006236C6" w:rsidTr="00D10CC7">
        <w:trPr>
          <w:trHeight w:val="255"/>
        </w:trPr>
        <w:tc>
          <w:tcPr>
            <w:tcW w:w="3993"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r w:rsidRPr="006236C6">
              <w:rPr>
                <w:rFonts w:ascii="Arial" w:hAnsi="Arial" w:cs="Arial"/>
                <w:sz w:val="20"/>
                <w:szCs w:val="20"/>
              </w:rPr>
              <w:t>Private patients</w:t>
            </w:r>
          </w:p>
        </w:tc>
        <w:tc>
          <w:tcPr>
            <w:tcW w:w="27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c>
          <w:tcPr>
            <w:tcW w:w="10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738</w:t>
            </w:r>
          </w:p>
        </w:tc>
        <w:tc>
          <w:tcPr>
            <w:tcW w:w="944"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258</w:t>
            </w:r>
          </w:p>
        </w:tc>
        <w:tc>
          <w:tcPr>
            <w:tcW w:w="997"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201</w:t>
            </w:r>
          </w:p>
        </w:tc>
        <w:tc>
          <w:tcPr>
            <w:tcW w:w="114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color w:val="FF0000"/>
                <w:sz w:val="18"/>
                <w:szCs w:val="18"/>
              </w:rPr>
              <w:t>(57)</w:t>
            </w:r>
          </w:p>
        </w:tc>
        <w:tc>
          <w:tcPr>
            <w:tcW w:w="1149"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-22.1%</w:t>
            </w:r>
          </w:p>
        </w:tc>
        <w:tc>
          <w:tcPr>
            <w:tcW w:w="22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r>
      <w:tr w:rsidR="00EC7890" w:rsidRPr="006236C6" w:rsidTr="00D10CC7">
        <w:trPr>
          <w:trHeight w:val="255"/>
        </w:trPr>
        <w:tc>
          <w:tcPr>
            <w:tcW w:w="3993"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r w:rsidRPr="006236C6">
              <w:rPr>
                <w:rFonts w:ascii="Arial" w:hAnsi="Arial" w:cs="Arial"/>
                <w:sz w:val="20"/>
                <w:szCs w:val="20"/>
              </w:rPr>
              <w:t>Other</w:t>
            </w:r>
          </w:p>
        </w:tc>
        <w:tc>
          <w:tcPr>
            <w:tcW w:w="27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c>
          <w:tcPr>
            <w:tcW w:w="10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5,060</w:t>
            </w:r>
          </w:p>
        </w:tc>
        <w:tc>
          <w:tcPr>
            <w:tcW w:w="944"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2,987</w:t>
            </w:r>
          </w:p>
        </w:tc>
        <w:tc>
          <w:tcPr>
            <w:tcW w:w="997"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2,667</w:t>
            </w:r>
          </w:p>
        </w:tc>
        <w:tc>
          <w:tcPr>
            <w:tcW w:w="114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color w:val="FF0000"/>
                <w:sz w:val="18"/>
                <w:szCs w:val="18"/>
              </w:rPr>
              <w:t>(320)</w:t>
            </w:r>
          </w:p>
        </w:tc>
        <w:tc>
          <w:tcPr>
            <w:tcW w:w="1149"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-10.7%</w:t>
            </w:r>
          </w:p>
        </w:tc>
        <w:tc>
          <w:tcPr>
            <w:tcW w:w="22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r>
      <w:tr w:rsidR="00EC7890" w:rsidRPr="006236C6" w:rsidTr="00D10CC7">
        <w:trPr>
          <w:trHeight w:val="255"/>
        </w:trPr>
        <w:tc>
          <w:tcPr>
            <w:tcW w:w="3993"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r w:rsidRPr="006236C6">
              <w:rPr>
                <w:rFonts w:ascii="Arial" w:hAnsi="Arial" w:cs="Arial"/>
                <w:sz w:val="20"/>
                <w:szCs w:val="20"/>
              </w:rPr>
              <w:t>QIPP schemes</w:t>
            </w:r>
          </w:p>
        </w:tc>
        <w:tc>
          <w:tcPr>
            <w:tcW w:w="27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c>
          <w:tcPr>
            <w:tcW w:w="10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0</w:t>
            </w:r>
          </w:p>
        </w:tc>
        <w:tc>
          <w:tcPr>
            <w:tcW w:w="944"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0</w:t>
            </w:r>
          </w:p>
        </w:tc>
        <w:tc>
          <w:tcPr>
            <w:tcW w:w="997"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0</w:t>
            </w:r>
          </w:p>
        </w:tc>
        <w:tc>
          <w:tcPr>
            <w:tcW w:w="114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0</w:t>
            </w:r>
          </w:p>
        </w:tc>
        <w:tc>
          <w:tcPr>
            <w:tcW w:w="1149"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sz w:val="18"/>
                <w:szCs w:val="18"/>
              </w:rPr>
            </w:pPr>
            <w:r w:rsidRPr="006236C6">
              <w:rPr>
                <w:rFonts w:ascii="Arial" w:hAnsi="Arial" w:cs="Arial"/>
                <w:sz w:val="18"/>
                <w:szCs w:val="18"/>
              </w:rPr>
              <w:t> </w:t>
            </w:r>
          </w:p>
        </w:tc>
        <w:tc>
          <w:tcPr>
            <w:tcW w:w="22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r>
      <w:tr w:rsidR="00EC7890" w:rsidRPr="006236C6" w:rsidTr="00D10CC7">
        <w:trPr>
          <w:trHeight w:val="255"/>
        </w:trPr>
        <w:tc>
          <w:tcPr>
            <w:tcW w:w="3993"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r w:rsidRPr="006236C6">
              <w:rPr>
                <w:rFonts w:ascii="Arial" w:hAnsi="Arial" w:cs="Arial"/>
                <w:sz w:val="20"/>
                <w:szCs w:val="20"/>
              </w:rPr>
              <w:t> </w:t>
            </w:r>
          </w:p>
        </w:tc>
        <w:tc>
          <w:tcPr>
            <w:tcW w:w="27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c>
          <w:tcPr>
            <w:tcW w:w="10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p>
        </w:tc>
        <w:tc>
          <w:tcPr>
            <w:tcW w:w="944"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p>
        </w:tc>
        <w:tc>
          <w:tcPr>
            <w:tcW w:w="997"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p>
        </w:tc>
        <w:tc>
          <w:tcPr>
            <w:tcW w:w="114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p>
        </w:tc>
        <w:tc>
          <w:tcPr>
            <w:tcW w:w="1149"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sz w:val="18"/>
                <w:szCs w:val="18"/>
              </w:rPr>
            </w:pPr>
            <w:r w:rsidRPr="006236C6">
              <w:rPr>
                <w:rFonts w:ascii="Arial" w:hAnsi="Arial" w:cs="Arial"/>
                <w:sz w:val="18"/>
                <w:szCs w:val="18"/>
              </w:rPr>
              <w:t> </w:t>
            </w:r>
          </w:p>
        </w:tc>
        <w:tc>
          <w:tcPr>
            <w:tcW w:w="22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r>
      <w:tr w:rsidR="00EC7890" w:rsidRPr="006236C6" w:rsidTr="00D10CC7">
        <w:trPr>
          <w:trHeight w:val="255"/>
        </w:trPr>
        <w:tc>
          <w:tcPr>
            <w:tcW w:w="3993" w:type="dxa"/>
            <w:tcBorders>
              <w:top w:val="single" w:sz="4" w:space="0" w:color="auto"/>
              <w:left w:val="single" w:sz="4" w:space="0" w:color="auto"/>
              <w:bottom w:val="single" w:sz="4" w:space="0" w:color="auto"/>
              <w:right w:val="nil"/>
            </w:tcBorders>
            <w:shd w:val="clear" w:color="auto" w:fill="auto"/>
            <w:noWrap/>
            <w:vAlign w:val="bottom"/>
            <w:hideMark/>
          </w:tcPr>
          <w:p w:rsidR="00EC7890" w:rsidRPr="006236C6" w:rsidRDefault="00EC7890" w:rsidP="00EC7890">
            <w:pPr>
              <w:spacing w:after="0"/>
              <w:rPr>
                <w:rFonts w:ascii="Arial" w:hAnsi="Arial" w:cs="Arial"/>
                <w:b/>
                <w:bCs/>
                <w:sz w:val="20"/>
                <w:szCs w:val="20"/>
              </w:rPr>
            </w:pPr>
            <w:r w:rsidRPr="006236C6">
              <w:rPr>
                <w:rFonts w:ascii="Arial" w:hAnsi="Arial" w:cs="Arial"/>
                <w:b/>
                <w:bCs/>
                <w:sz w:val="20"/>
                <w:szCs w:val="20"/>
              </w:rPr>
              <w:t>Sub total</w:t>
            </w:r>
          </w:p>
        </w:tc>
        <w:tc>
          <w:tcPr>
            <w:tcW w:w="272" w:type="dxa"/>
            <w:tcBorders>
              <w:top w:val="single" w:sz="4" w:space="0" w:color="auto"/>
              <w:left w:val="nil"/>
              <w:bottom w:val="single" w:sz="4" w:space="0" w:color="auto"/>
              <w:right w:val="nil"/>
            </w:tcBorders>
            <w:shd w:val="clear" w:color="auto" w:fill="auto"/>
            <w:noWrap/>
            <w:vAlign w:val="bottom"/>
            <w:hideMark/>
          </w:tcPr>
          <w:p w:rsidR="00EC7890" w:rsidRPr="006236C6" w:rsidRDefault="00EC7890" w:rsidP="00EC7890">
            <w:pPr>
              <w:spacing w:after="0"/>
              <w:rPr>
                <w:rFonts w:ascii="Arial" w:hAnsi="Arial" w:cs="Arial"/>
                <w:b/>
                <w:bCs/>
                <w:sz w:val="20"/>
                <w:szCs w:val="20"/>
              </w:rPr>
            </w:pPr>
            <w:r w:rsidRPr="006236C6">
              <w:rPr>
                <w:rFonts w:ascii="Arial" w:hAnsi="Arial" w:cs="Arial"/>
                <w:b/>
                <w:bCs/>
                <w:sz w:val="20"/>
                <w:szCs w:val="20"/>
              </w:rPr>
              <w:t> </w:t>
            </w:r>
          </w:p>
        </w:tc>
        <w:tc>
          <w:tcPr>
            <w:tcW w:w="1043" w:type="dxa"/>
            <w:tcBorders>
              <w:top w:val="single" w:sz="4" w:space="0" w:color="auto"/>
              <w:left w:val="nil"/>
              <w:bottom w:val="single" w:sz="4" w:space="0" w:color="auto"/>
              <w:right w:val="nil"/>
            </w:tcBorders>
            <w:shd w:val="clear" w:color="auto" w:fill="auto"/>
            <w:noWrap/>
            <w:vAlign w:val="bottom"/>
            <w:hideMark/>
          </w:tcPr>
          <w:p w:rsidR="00EC7890" w:rsidRPr="006236C6" w:rsidRDefault="00EC7890" w:rsidP="00EC7890">
            <w:pPr>
              <w:spacing w:after="0"/>
              <w:jc w:val="right"/>
              <w:rPr>
                <w:rFonts w:ascii="Arial" w:hAnsi="Arial" w:cs="Arial"/>
                <w:b/>
                <w:bCs/>
                <w:sz w:val="18"/>
                <w:szCs w:val="18"/>
              </w:rPr>
            </w:pPr>
            <w:r w:rsidRPr="006236C6">
              <w:rPr>
                <w:rFonts w:ascii="Arial" w:hAnsi="Arial" w:cs="Arial"/>
                <w:b/>
                <w:bCs/>
                <w:sz w:val="18"/>
                <w:szCs w:val="18"/>
              </w:rPr>
              <w:t>84,863</w:t>
            </w:r>
          </w:p>
        </w:tc>
        <w:tc>
          <w:tcPr>
            <w:tcW w:w="944" w:type="dxa"/>
            <w:tcBorders>
              <w:top w:val="single" w:sz="4" w:space="0" w:color="auto"/>
              <w:left w:val="nil"/>
              <w:bottom w:val="single" w:sz="4" w:space="0" w:color="auto"/>
              <w:right w:val="nil"/>
            </w:tcBorders>
            <w:shd w:val="clear" w:color="auto" w:fill="auto"/>
            <w:noWrap/>
            <w:vAlign w:val="bottom"/>
            <w:hideMark/>
          </w:tcPr>
          <w:p w:rsidR="00EC7890" w:rsidRPr="006236C6" w:rsidRDefault="00EC7890" w:rsidP="00EC7890">
            <w:pPr>
              <w:spacing w:after="0"/>
              <w:jc w:val="right"/>
              <w:rPr>
                <w:rFonts w:ascii="Arial" w:hAnsi="Arial" w:cs="Arial"/>
                <w:b/>
                <w:bCs/>
                <w:sz w:val="18"/>
                <w:szCs w:val="18"/>
              </w:rPr>
            </w:pPr>
            <w:r w:rsidRPr="006236C6">
              <w:rPr>
                <w:rFonts w:ascii="Arial" w:hAnsi="Arial" w:cs="Arial"/>
                <w:b/>
                <w:bCs/>
                <w:sz w:val="18"/>
                <w:szCs w:val="18"/>
              </w:rPr>
              <w:t>42,555</w:t>
            </w:r>
          </w:p>
        </w:tc>
        <w:tc>
          <w:tcPr>
            <w:tcW w:w="997" w:type="dxa"/>
            <w:tcBorders>
              <w:top w:val="single" w:sz="4" w:space="0" w:color="auto"/>
              <w:left w:val="nil"/>
              <w:bottom w:val="single" w:sz="4" w:space="0" w:color="auto"/>
              <w:right w:val="nil"/>
            </w:tcBorders>
            <w:shd w:val="clear" w:color="auto" w:fill="auto"/>
            <w:noWrap/>
            <w:vAlign w:val="bottom"/>
            <w:hideMark/>
          </w:tcPr>
          <w:p w:rsidR="00EC7890" w:rsidRPr="006236C6" w:rsidRDefault="00EC7890" w:rsidP="00EC7890">
            <w:pPr>
              <w:spacing w:after="0"/>
              <w:jc w:val="right"/>
              <w:rPr>
                <w:rFonts w:ascii="Arial" w:hAnsi="Arial" w:cs="Arial"/>
                <w:b/>
                <w:bCs/>
                <w:sz w:val="18"/>
                <w:szCs w:val="18"/>
              </w:rPr>
            </w:pPr>
            <w:r w:rsidRPr="006236C6">
              <w:rPr>
                <w:rFonts w:ascii="Arial" w:hAnsi="Arial" w:cs="Arial"/>
                <w:b/>
                <w:bCs/>
                <w:sz w:val="18"/>
                <w:szCs w:val="18"/>
              </w:rPr>
              <w:t>42,652</w:t>
            </w:r>
          </w:p>
        </w:tc>
        <w:tc>
          <w:tcPr>
            <w:tcW w:w="1146" w:type="dxa"/>
            <w:tcBorders>
              <w:top w:val="single" w:sz="4" w:space="0" w:color="auto"/>
              <w:left w:val="nil"/>
              <w:bottom w:val="single" w:sz="4" w:space="0" w:color="auto"/>
              <w:right w:val="nil"/>
            </w:tcBorders>
            <w:shd w:val="clear" w:color="auto" w:fill="auto"/>
            <w:noWrap/>
            <w:vAlign w:val="bottom"/>
            <w:hideMark/>
          </w:tcPr>
          <w:p w:rsidR="00EC7890" w:rsidRPr="006236C6" w:rsidRDefault="00EC7890" w:rsidP="00EC7890">
            <w:pPr>
              <w:spacing w:after="0"/>
              <w:jc w:val="right"/>
              <w:rPr>
                <w:rFonts w:ascii="Arial" w:hAnsi="Arial" w:cs="Arial"/>
                <w:b/>
                <w:bCs/>
                <w:sz w:val="18"/>
                <w:szCs w:val="18"/>
              </w:rPr>
            </w:pPr>
            <w:r w:rsidRPr="006236C6">
              <w:rPr>
                <w:rFonts w:ascii="Arial" w:hAnsi="Arial" w:cs="Arial"/>
                <w:b/>
                <w:bCs/>
                <w:sz w:val="18"/>
                <w:szCs w:val="18"/>
              </w:rPr>
              <w:t>97</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b/>
                <w:bCs/>
                <w:sz w:val="18"/>
                <w:szCs w:val="18"/>
              </w:rPr>
            </w:pPr>
            <w:r w:rsidRPr="006236C6">
              <w:rPr>
                <w:rFonts w:ascii="Arial" w:hAnsi="Arial" w:cs="Arial"/>
                <w:b/>
                <w:bCs/>
                <w:sz w:val="18"/>
                <w:szCs w:val="18"/>
              </w:rPr>
              <w:t>0.2%</w:t>
            </w:r>
          </w:p>
        </w:tc>
        <w:tc>
          <w:tcPr>
            <w:tcW w:w="22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r>
      <w:tr w:rsidR="00EC7890" w:rsidRPr="006236C6" w:rsidTr="00D10CC7">
        <w:trPr>
          <w:trHeight w:val="255"/>
        </w:trPr>
        <w:tc>
          <w:tcPr>
            <w:tcW w:w="3993"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b/>
                <w:bCs/>
                <w:sz w:val="20"/>
                <w:szCs w:val="20"/>
              </w:rPr>
            </w:pPr>
            <w:r w:rsidRPr="006236C6">
              <w:rPr>
                <w:rFonts w:ascii="Arial" w:hAnsi="Arial" w:cs="Arial"/>
                <w:b/>
                <w:bCs/>
                <w:sz w:val="20"/>
                <w:szCs w:val="20"/>
              </w:rPr>
              <w:t> </w:t>
            </w:r>
          </w:p>
        </w:tc>
        <w:tc>
          <w:tcPr>
            <w:tcW w:w="27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b/>
                <w:bCs/>
                <w:sz w:val="20"/>
                <w:szCs w:val="20"/>
              </w:rPr>
            </w:pPr>
          </w:p>
        </w:tc>
        <w:tc>
          <w:tcPr>
            <w:tcW w:w="10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b/>
                <w:bCs/>
                <w:sz w:val="18"/>
                <w:szCs w:val="18"/>
              </w:rPr>
            </w:pPr>
          </w:p>
        </w:tc>
        <w:tc>
          <w:tcPr>
            <w:tcW w:w="944"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b/>
                <w:bCs/>
                <w:sz w:val="18"/>
                <w:szCs w:val="18"/>
              </w:rPr>
            </w:pPr>
          </w:p>
        </w:tc>
        <w:tc>
          <w:tcPr>
            <w:tcW w:w="997"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b/>
                <w:bCs/>
                <w:sz w:val="18"/>
                <w:szCs w:val="18"/>
              </w:rPr>
            </w:pPr>
          </w:p>
        </w:tc>
        <w:tc>
          <w:tcPr>
            <w:tcW w:w="114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b/>
                <w:bCs/>
                <w:sz w:val="18"/>
                <w:szCs w:val="18"/>
              </w:rPr>
            </w:pPr>
          </w:p>
        </w:tc>
        <w:tc>
          <w:tcPr>
            <w:tcW w:w="1149"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8"/>
                <w:szCs w:val="18"/>
              </w:rPr>
            </w:pPr>
            <w:r w:rsidRPr="006236C6">
              <w:rPr>
                <w:rFonts w:ascii="Arial" w:hAnsi="Arial" w:cs="Arial"/>
                <w:b/>
                <w:bCs/>
                <w:sz w:val="18"/>
                <w:szCs w:val="18"/>
              </w:rPr>
              <w:t> </w:t>
            </w:r>
          </w:p>
        </w:tc>
        <w:tc>
          <w:tcPr>
            <w:tcW w:w="22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r>
      <w:tr w:rsidR="00EC7890" w:rsidRPr="006236C6" w:rsidTr="00D10CC7">
        <w:trPr>
          <w:trHeight w:val="255"/>
        </w:trPr>
        <w:tc>
          <w:tcPr>
            <w:tcW w:w="3993"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r w:rsidRPr="006236C6">
              <w:rPr>
                <w:rFonts w:ascii="Arial" w:hAnsi="Arial" w:cs="Arial"/>
                <w:sz w:val="20"/>
                <w:szCs w:val="20"/>
              </w:rPr>
              <w:t>Penalties</w:t>
            </w:r>
          </w:p>
        </w:tc>
        <w:tc>
          <w:tcPr>
            <w:tcW w:w="27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c>
          <w:tcPr>
            <w:tcW w:w="10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0</w:t>
            </w:r>
          </w:p>
        </w:tc>
        <w:tc>
          <w:tcPr>
            <w:tcW w:w="944"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0</w:t>
            </w:r>
          </w:p>
        </w:tc>
        <w:tc>
          <w:tcPr>
            <w:tcW w:w="997"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color w:val="FF0000"/>
                <w:sz w:val="18"/>
                <w:szCs w:val="18"/>
              </w:rPr>
              <w:t>(36)</w:t>
            </w:r>
          </w:p>
        </w:tc>
        <w:tc>
          <w:tcPr>
            <w:tcW w:w="114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color w:val="FF0000"/>
                <w:sz w:val="18"/>
                <w:szCs w:val="18"/>
              </w:rPr>
              <w:t>(36)</w:t>
            </w:r>
          </w:p>
        </w:tc>
        <w:tc>
          <w:tcPr>
            <w:tcW w:w="1149"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sz w:val="18"/>
                <w:szCs w:val="18"/>
              </w:rPr>
            </w:pPr>
            <w:r w:rsidRPr="006236C6">
              <w:rPr>
                <w:rFonts w:ascii="Arial" w:hAnsi="Arial" w:cs="Arial"/>
                <w:sz w:val="18"/>
                <w:szCs w:val="18"/>
              </w:rPr>
              <w:t> </w:t>
            </w:r>
          </w:p>
        </w:tc>
        <w:tc>
          <w:tcPr>
            <w:tcW w:w="22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r>
      <w:tr w:rsidR="00EC7890" w:rsidRPr="006236C6" w:rsidTr="00D10CC7">
        <w:trPr>
          <w:trHeight w:val="255"/>
        </w:trPr>
        <w:tc>
          <w:tcPr>
            <w:tcW w:w="3993"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r w:rsidRPr="006236C6">
              <w:rPr>
                <w:rFonts w:ascii="Arial" w:hAnsi="Arial" w:cs="Arial"/>
                <w:sz w:val="20"/>
                <w:szCs w:val="20"/>
              </w:rPr>
              <w:t>CQUINS</w:t>
            </w:r>
          </w:p>
        </w:tc>
        <w:tc>
          <w:tcPr>
            <w:tcW w:w="27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c>
          <w:tcPr>
            <w:tcW w:w="10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1,876</w:t>
            </w:r>
          </w:p>
        </w:tc>
        <w:tc>
          <w:tcPr>
            <w:tcW w:w="944"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938</w:t>
            </w:r>
          </w:p>
        </w:tc>
        <w:tc>
          <w:tcPr>
            <w:tcW w:w="997"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883</w:t>
            </w:r>
          </w:p>
        </w:tc>
        <w:tc>
          <w:tcPr>
            <w:tcW w:w="114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color w:val="FF0000"/>
                <w:sz w:val="18"/>
                <w:szCs w:val="18"/>
              </w:rPr>
              <w:t>(55)</w:t>
            </w:r>
          </w:p>
        </w:tc>
        <w:tc>
          <w:tcPr>
            <w:tcW w:w="1149"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-5.9%</w:t>
            </w:r>
          </w:p>
        </w:tc>
        <w:tc>
          <w:tcPr>
            <w:tcW w:w="22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r>
      <w:tr w:rsidR="00EC7890" w:rsidRPr="006236C6" w:rsidTr="00D10CC7">
        <w:trPr>
          <w:trHeight w:val="255"/>
        </w:trPr>
        <w:tc>
          <w:tcPr>
            <w:tcW w:w="3993"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r w:rsidRPr="006236C6">
              <w:rPr>
                <w:rFonts w:ascii="Arial" w:hAnsi="Arial" w:cs="Arial"/>
                <w:sz w:val="20"/>
                <w:szCs w:val="20"/>
              </w:rPr>
              <w:t> </w:t>
            </w:r>
          </w:p>
        </w:tc>
        <w:tc>
          <w:tcPr>
            <w:tcW w:w="27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c>
          <w:tcPr>
            <w:tcW w:w="10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p>
        </w:tc>
        <w:tc>
          <w:tcPr>
            <w:tcW w:w="944"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p>
        </w:tc>
        <w:tc>
          <w:tcPr>
            <w:tcW w:w="997"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p>
        </w:tc>
        <w:tc>
          <w:tcPr>
            <w:tcW w:w="114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p>
        </w:tc>
        <w:tc>
          <w:tcPr>
            <w:tcW w:w="1149"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sz w:val="18"/>
                <w:szCs w:val="18"/>
              </w:rPr>
            </w:pPr>
            <w:r w:rsidRPr="006236C6">
              <w:rPr>
                <w:rFonts w:ascii="Arial" w:hAnsi="Arial" w:cs="Arial"/>
                <w:sz w:val="18"/>
                <w:szCs w:val="18"/>
              </w:rPr>
              <w:t> </w:t>
            </w:r>
          </w:p>
        </w:tc>
        <w:tc>
          <w:tcPr>
            <w:tcW w:w="22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r>
      <w:tr w:rsidR="00EC7890" w:rsidRPr="006236C6" w:rsidTr="00D10CC7">
        <w:trPr>
          <w:trHeight w:val="255"/>
        </w:trPr>
        <w:tc>
          <w:tcPr>
            <w:tcW w:w="3993" w:type="dxa"/>
            <w:tcBorders>
              <w:top w:val="single" w:sz="4" w:space="0" w:color="auto"/>
              <w:left w:val="single" w:sz="4" w:space="0" w:color="auto"/>
              <w:bottom w:val="single" w:sz="4" w:space="0" w:color="auto"/>
              <w:right w:val="nil"/>
            </w:tcBorders>
            <w:shd w:val="clear" w:color="auto" w:fill="auto"/>
            <w:noWrap/>
            <w:vAlign w:val="bottom"/>
            <w:hideMark/>
          </w:tcPr>
          <w:p w:rsidR="00EC7890" w:rsidRPr="006236C6" w:rsidRDefault="00EC7890" w:rsidP="00EC7890">
            <w:pPr>
              <w:spacing w:after="0"/>
              <w:rPr>
                <w:rFonts w:ascii="Arial" w:hAnsi="Arial" w:cs="Arial"/>
                <w:b/>
                <w:bCs/>
                <w:sz w:val="20"/>
                <w:szCs w:val="20"/>
              </w:rPr>
            </w:pPr>
            <w:r w:rsidRPr="006236C6">
              <w:rPr>
                <w:rFonts w:ascii="Arial" w:hAnsi="Arial" w:cs="Arial"/>
                <w:b/>
                <w:bCs/>
                <w:sz w:val="20"/>
                <w:szCs w:val="20"/>
              </w:rPr>
              <w:t>Total</w:t>
            </w:r>
          </w:p>
        </w:tc>
        <w:tc>
          <w:tcPr>
            <w:tcW w:w="272" w:type="dxa"/>
            <w:tcBorders>
              <w:top w:val="single" w:sz="4" w:space="0" w:color="auto"/>
              <w:left w:val="nil"/>
              <w:bottom w:val="single" w:sz="4" w:space="0" w:color="auto"/>
              <w:right w:val="nil"/>
            </w:tcBorders>
            <w:shd w:val="clear" w:color="auto" w:fill="auto"/>
            <w:noWrap/>
            <w:vAlign w:val="bottom"/>
            <w:hideMark/>
          </w:tcPr>
          <w:p w:rsidR="00EC7890" w:rsidRPr="006236C6" w:rsidRDefault="00EC7890" w:rsidP="00EC7890">
            <w:pPr>
              <w:spacing w:after="0"/>
              <w:rPr>
                <w:rFonts w:ascii="Arial" w:hAnsi="Arial" w:cs="Arial"/>
                <w:b/>
                <w:bCs/>
                <w:sz w:val="20"/>
                <w:szCs w:val="20"/>
              </w:rPr>
            </w:pPr>
            <w:r w:rsidRPr="006236C6">
              <w:rPr>
                <w:rFonts w:ascii="Arial" w:hAnsi="Arial" w:cs="Arial"/>
                <w:b/>
                <w:bCs/>
                <w:sz w:val="20"/>
                <w:szCs w:val="20"/>
              </w:rPr>
              <w:t> </w:t>
            </w:r>
          </w:p>
        </w:tc>
        <w:tc>
          <w:tcPr>
            <w:tcW w:w="1043" w:type="dxa"/>
            <w:tcBorders>
              <w:top w:val="single" w:sz="4" w:space="0" w:color="auto"/>
              <w:left w:val="nil"/>
              <w:bottom w:val="single" w:sz="4" w:space="0" w:color="auto"/>
              <w:right w:val="nil"/>
            </w:tcBorders>
            <w:shd w:val="clear" w:color="auto" w:fill="auto"/>
            <w:noWrap/>
            <w:vAlign w:val="bottom"/>
            <w:hideMark/>
          </w:tcPr>
          <w:p w:rsidR="00EC7890" w:rsidRPr="006236C6" w:rsidRDefault="00EC7890" w:rsidP="00EC7890">
            <w:pPr>
              <w:spacing w:after="0"/>
              <w:jc w:val="right"/>
              <w:rPr>
                <w:rFonts w:ascii="Arial" w:hAnsi="Arial" w:cs="Arial"/>
                <w:b/>
                <w:bCs/>
                <w:sz w:val="18"/>
                <w:szCs w:val="18"/>
              </w:rPr>
            </w:pPr>
            <w:r w:rsidRPr="006236C6">
              <w:rPr>
                <w:rFonts w:ascii="Arial" w:hAnsi="Arial" w:cs="Arial"/>
                <w:b/>
                <w:bCs/>
                <w:sz w:val="18"/>
                <w:szCs w:val="18"/>
              </w:rPr>
              <w:t>86,739</w:t>
            </w:r>
          </w:p>
        </w:tc>
        <w:tc>
          <w:tcPr>
            <w:tcW w:w="944" w:type="dxa"/>
            <w:tcBorders>
              <w:top w:val="single" w:sz="4" w:space="0" w:color="auto"/>
              <w:left w:val="nil"/>
              <w:bottom w:val="single" w:sz="4" w:space="0" w:color="auto"/>
              <w:right w:val="nil"/>
            </w:tcBorders>
            <w:shd w:val="clear" w:color="auto" w:fill="auto"/>
            <w:noWrap/>
            <w:vAlign w:val="bottom"/>
            <w:hideMark/>
          </w:tcPr>
          <w:p w:rsidR="00EC7890" w:rsidRPr="006236C6" w:rsidRDefault="00EC7890" w:rsidP="00EC7890">
            <w:pPr>
              <w:spacing w:after="0"/>
              <w:jc w:val="right"/>
              <w:rPr>
                <w:rFonts w:ascii="Arial" w:hAnsi="Arial" w:cs="Arial"/>
                <w:b/>
                <w:bCs/>
                <w:sz w:val="18"/>
                <w:szCs w:val="18"/>
              </w:rPr>
            </w:pPr>
            <w:r w:rsidRPr="006236C6">
              <w:rPr>
                <w:rFonts w:ascii="Arial" w:hAnsi="Arial" w:cs="Arial"/>
                <w:b/>
                <w:bCs/>
                <w:sz w:val="18"/>
                <w:szCs w:val="18"/>
              </w:rPr>
              <w:t>43,493</w:t>
            </w:r>
          </w:p>
        </w:tc>
        <w:tc>
          <w:tcPr>
            <w:tcW w:w="997" w:type="dxa"/>
            <w:tcBorders>
              <w:top w:val="single" w:sz="4" w:space="0" w:color="auto"/>
              <w:left w:val="nil"/>
              <w:bottom w:val="single" w:sz="4" w:space="0" w:color="auto"/>
              <w:right w:val="nil"/>
            </w:tcBorders>
            <w:shd w:val="clear" w:color="auto" w:fill="auto"/>
            <w:noWrap/>
            <w:vAlign w:val="bottom"/>
            <w:hideMark/>
          </w:tcPr>
          <w:p w:rsidR="00EC7890" w:rsidRPr="006236C6" w:rsidRDefault="00EC7890" w:rsidP="00EC7890">
            <w:pPr>
              <w:spacing w:after="0"/>
              <w:jc w:val="right"/>
              <w:rPr>
                <w:rFonts w:ascii="Arial" w:hAnsi="Arial" w:cs="Arial"/>
                <w:b/>
                <w:bCs/>
                <w:sz w:val="18"/>
                <w:szCs w:val="18"/>
              </w:rPr>
            </w:pPr>
            <w:r w:rsidRPr="006236C6">
              <w:rPr>
                <w:rFonts w:ascii="Arial" w:hAnsi="Arial" w:cs="Arial"/>
                <w:b/>
                <w:bCs/>
                <w:sz w:val="18"/>
                <w:szCs w:val="18"/>
              </w:rPr>
              <w:t>43,499</w:t>
            </w:r>
          </w:p>
        </w:tc>
        <w:tc>
          <w:tcPr>
            <w:tcW w:w="1146" w:type="dxa"/>
            <w:tcBorders>
              <w:top w:val="single" w:sz="4" w:space="0" w:color="auto"/>
              <w:left w:val="nil"/>
              <w:bottom w:val="single" w:sz="4" w:space="0" w:color="auto"/>
              <w:right w:val="nil"/>
            </w:tcBorders>
            <w:shd w:val="clear" w:color="auto" w:fill="auto"/>
            <w:noWrap/>
            <w:vAlign w:val="bottom"/>
            <w:hideMark/>
          </w:tcPr>
          <w:p w:rsidR="00EC7890" w:rsidRPr="006236C6" w:rsidRDefault="00EC7890" w:rsidP="00EC7890">
            <w:pPr>
              <w:spacing w:after="0"/>
              <w:jc w:val="right"/>
              <w:rPr>
                <w:rFonts w:ascii="Arial" w:hAnsi="Arial" w:cs="Arial"/>
                <w:b/>
                <w:bCs/>
                <w:sz w:val="18"/>
                <w:szCs w:val="18"/>
              </w:rPr>
            </w:pPr>
            <w:r w:rsidRPr="006236C6">
              <w:rPr>
                <w:rFonts w:ascii="Arial" w:hAnsi="Arial" w:cs="Arial"/>
                <w:b/>
                <w:bCs/>
                <w:sz w:val="18"/>
                <w:szCs w:val="18"/>
              </w:rPr>
              <w:t>6</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b/>
                <w:bCs/>
                <w:sz w:val="18"/>
                <w:szCs w:val="18"/>
              </w:rPr>
            </w:pPr>
            <w:r w:rsidRPr="006236C6">
              <w:rPr>
                <w:rFonts w:ascii="Arial" w:hAnsi="Arial" w:cs="Arial"/>
                <w:b/>
                <w:bCs/>
                <w:sz w:val="18"/>
                <w:szCs w:val="18"/>
              </w:rPr>
              <w:t>0.0%</w:t>
            </w:r>
          </w:p>
        </w:tc>
        <w:tc>
          <w:tcPr>
            <w:tcW w:w="22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r>
      <w:tr w:rsidR="00EC7890" w:rsidRPr="006236C6" w:rsidTr="00D10CC7">
        <w:trPr>
          <w:trHeight w:val="255"/>
        </w:trPr>
        <w:tc>
          <w:tcPr>
            <w:tcW w:w="3993" w:type="dxa"/>
            <w:tcBorders>
              <w:top w:val="nil"/>
              <w:left w:val="single" w:sz="4" w:space="0" w:color="auto"/>
              <w:bottom w:val="single" w:sz="4" w:space="0" w:color="auto"/>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r w:rsidRPr="006236C6">
              <w:rPr>
                <w:rFonts w:ascii="Arial"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r w:rsidRPr="006236C6">
              <w:rPr>
                <w:rFonts w:ascii="Arial" w:hAnsi="Arial" w:cs="Arial"/>
                <w:sz w:val="20"/>
                <w:szCs w:val="20"/>
              </w:rPr>
              <w:t> </w:t>
            </w:r>
          </w:p>
        </w:tc>
        <w:tc>
          <w:tcPr>
            <w:tcW w:w="1043" w:type="dxa"/>
            <w:tcBorders>
              <w:top w:val="nil"/>
              <w:left w:val="nil"/>
              <w:bottom w:val="single" w:sz="4" w:space="0" w:color="auto"/>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 </w:t>
            </w:r>
          </w:p>
        </w:tc>
        <w:tc>
          <w:tcPr>
            <w:tcW w:w="944" w:type="dxa"/>
            <w:tcBorders>
              <w:top w:val="nil"/>
              <w:left w:val="nil"/>
              <w:bottom w:val="single" w:sz="4" w:space="0" w:color="auto"/>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 </w:t>
            </w:r>
          </w:p>
        </w:tc>
        <w:tc>
          <w:tcPr>
            <w:tcW w:w="997" w:type="dxa"/>
            <w:tcBorders>
              <w:top w:val="nil"/>
              <w:left w:val="nil"/>
              <w:bottom w:val="single" w:sz="4" w:space="0" w:color="auto"/>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 </w:t>
            </w:r>
          </w:p>
        </w:tc>
        <w:tc>
          <w:tcPr>
            <w:tcW w:w="1146" w:type="dxa"/>
            <w:tcBorders>
              <w:top w:val="nil"/>
              <w:left w:val="nil"/>
              <w:bottom w:val="single" w:sz="4" w:space="0" w:color="auto"/>
              <w:right w:val="nil"/>
            </w:tcBorders>
            <w:shd w:val="clear" w:color="auto" w:fill="auto"/>
            <w:noWrap/>
            <w:vAlign w:val="bottom"/>
            <w:hideMark/>
          </w:tcPr>
          <w:p w:rsidR="00EC7890" w:rsidRPr="006236C6" w:rsidRDefault="00EC7890" w:rsidP="00EC7890">
            <w:pPr>
              <w:spacing w:after="0"/>
              <w:jc w:val="right"/>
              <w:rPr>
                <w:rFonts w:ascii="Arial" w:hAnsi="Arial" w:cs="Arial"/>
                <w:sz w:val="18"/>
                <w:szCs w:val="18"/>
              </w:rPr>
            </w:pPr>
            <w:r w:rsidRPr="006236C6">
              <w:rPr>
                <w:rFonts w:ascii="Arial" w:hAnsi="Arial" w:cs="Arial"/>
                <w:sz w:val="18"/>
                <w:szCs w:val="18"/>
              </w:rPr>
              <w:t> </w:t>
            </w:r>
          </w:p>
        </w:tc>
        <w:tc>
          <w:tcPr>
            <w:tcW w:w="1149" w:type="dxa"/>
            <w:tcBorders>
              <w:top w:val="nil"/>
              <w:left w:val="nil"/>
              <w:bottom w:val="single" w:sz="4" w:space="0" w:color="auto"/>
              <w:right w:val="single" w:sz="4" w:space="0" w:color="auto"/>
            </w:tcBorders>
            <w:shd w:val="clear" w:color="auto" w:fill="auto"/>
            <w:noWrap/>
            <w:vAlign w:val="bottom"/>
            <w:hideMark/>
          </w:tcPr>
          <w:p w:rsidR="00EC7890" w:rsidRPr="006236C6" w:rsidRDefault="00EC7890" w:rsidP="00EC7890">
            <w:pPr>
              <w:spacing w:after="0"/>
              <w:rPr>
                <w:rFonts w:ascii="Arial" w:hAnsi="Arial" w:cs="Arial"/>
                <w:sz w:val="18"/>
                <w:szCs w:val="18"/>
              </w:rPr>
            </w:pPr>
            <w:r w:rsidRPr="006236C6">
              <w:rPr>
                <w:rFonts w:ascii="Arial" w:hAnsi="Arial" w:cs="Arial"/>
                <w:sz w:val="18"/>
                <w:szCs w:val="18"/>
              </w:rPr>
              <w:t> </w:t>
            </w:r>
          </w:p>
        </w:tc>
        <w:tc>
          <w:tcPr>
            <w:tcW w:w="222"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20"/>
                <w:szCs w:val="20"/>
              </w:rPr>
            </w:pPr>
          </w:p>
        </w:tc>
      </w:tr>
    </w:tbl>
    <w:p w:rsidR="00EC7890" w:rsidRPr="006236C6" w:rsidRDefault="00EC7890" w:rsidP="00EC7890">
      <w:pPr>
        <w:jc w:val="both"/>
      </w:pPr>
    </w:p>
    <w:p w:rsidR="00EC7890" w:rsidRPr="006236C6" w:rsidRDefault="00EC7890" w:rsidP="00EC7890">
      <w:pPr>
        <w:jc w:val="both"/>
      </w:pPr>
    </w:p>
    <w:p w:rsidR="00EC7890" w:rsidRPr="006236C6" w:rsidRDefault="00EC7890" w:rsidP="00EC7890">
      <w:pPr>
        <w:jc w:val="both"/>
      </w:pPr>
    </w:p>
    <w:p w:rsidR="00EC7890" w:rsidRPr="006236C6" w:rsidRDefault="00EC7890" w:rsidP="00EC7890">
      <w:pPr>
        <w:jc w:val="both"/>
      </w:pPr>
    </w:p>
    <w:p w:rsidR="00EC7890" w:rsidRPr="006236C6" w:rsidRDefault="00EC7890" w:rsidP="00EC7890">
      <w:pPr>
        <w:jc w:val="both"/>
      </w:pPr>
    </w:p>
    <w:p w:rsidR="00EC7890" w:rsidRPr="00D10CC7" w:rsidRDefault="00EC7890" w:rsidP="00EC7890">
      <w:pPr>
        <w:jc w:val="both"/>
        <w:rPr>
          <w:sz w:val="24"/>
          <w:szCs w:val="24"/>
        </w:rPr>
      </w:pPr>
      <w:r w:rsidRPr="00D10CC7">
        <w:rPr>
          <w:sz w:val="24"/>
          <w:szCs w:val="24"/>
        </w:rPr>
        <w:lastRenderedPageBreak/>
        <w:t>Significant volume variations in performance are shown in the table below:</w:t>
      </w:r>
    </w:p>
    <w:tbl>
      <w:tblPr>
        <w:tblW w:w="7704" w:type="dxa"/>
        <w:tblInd w:w="108" w:type="dxa"/>
        <w:tblLook w:val="04A0"/>
      </w:tblPr>
      <w:tblGrid>
        <w:gridCol w:w="1783"/>
        <w:gridCol w:w="2313"/>
        <w:gridCol w:w="626"/>
        <w:gridCol w:w="2376"/>
        <w:gridCol w:w="696"/>
      </w:tblGrid>
      <w:tr w:rsidR="00EC7890" w:rsidRPr="006236C6" w:rsidTr="00EC7890">
        <w:trPr>
          <w:trHeight w:val="255"/>
        </w:trPr>
        <w:tc>
          <w:tcPr>
            <w:tcW w:w="4096" w:type="dxa"/>
            <w:gridSpan w:val="2"/>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Significant over &amp; under performance areas</w:t>
            </w:r>
          </w:p>
        </w:tc>
        <w:tc>
          <w:tcPr>
            <w:tcW w:w="53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p>
        </w:tc>
        <w:tc>
          <w:tcPr>
            <w:tcW w:w="237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p>
        </w:tc>
        <w:tc>
          <w:tcPr>
            <w:tcW w:w="69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p>
        </w:tc>
      </w:tr>
      <w:tr w:rsidR="00EC7890" w:rsidRPr="006236C6" w:rsidTr="00EC7890">
        <w:trPr>
          <w:trHeight w:val="255"/>
        </w:trPr>
        <w:tc>
          <w:tcPr>
            <w:tcW w:w="7008" w:type="dxa"/>
            <w:gridSpan w:val="4"/>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Volume variances greater than 5% and more than 10 cases</w:t>
            </w:r>
          </w:p>
        </w:tc>
        <w:tc>
          <w:tcPr>
            <w:tcW w:w="69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p>
        </w:tc>
      </w:tr>
      <w:tr w:rsidR="00EC7890" w:rsidRPr="006236C6" w:rsidTr="00EC7890">
        <w:trPr>
          <w:trHeight w:val="255"/>
        </w:trPr>
        <w:tc>
          <w:tcPr>
            <w:tcW w:w="178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b/>
                <w:bCs/>
                <w:sz w:val="16"/>
                <w:szCs w:val="16"/>
              </w:rPr>
            </w:pP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p>
        </w:tc>
        <w:tc>
          <w:tcPr>
            <w:tcW w:w="53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p>
        </w:tc>
        <w:tc>
          <w:tcPr>
            <w:tcW w:w="237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p>
        </w:tc>
        <w:tc>
          <w:tcPr>
            <w:tcW w:w="69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p>
        </w:tc>
      </w:tr>
      <w:tr w:rsidR="00EC7890" w:rsidRPr="006236C6" w:rsidTr="00EC7890">
        <w:trPr>
          <w:trHeight w:val="255"/>
        </w:trPr>
        <w:tc>
          <w:tcPr>
            <w:tcW w:w="1783" w:type="dxa"/>
            <w:tcBorders>
              <w:top w:val="single" w:sz="4" w:space="0" w:color="auto"/>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single" w:sz="4" w:space="0" w:color="auto"/>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Day cases</w:t>
            </w:r>
          </w:p>
        </w:tc>
        <w:tc>
          <w:tcPr>
            <w:tcW w:w="536" w:type="dxa"/>
            <w:tcBorders>
              <w:top w:val="single" w:sz="4" w:space="0" w:color="auto"/>
              <w:left w:val="nil"/>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76" w:type="dxa"/>
            <w:tcBorders>
              <w:top w:val="single" w:sz="4" w:space="0" w:color="auto"/>
              <w:left w:val="nil"/>
              <w:bottom w:val="nil"/>
              <w:right w:val="nil"/>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Elective inpatients</w:t>
            </w:r>
          </w:p>
        </w:tc>
        <w:tc>
          <w:tcPr>
            <w:tcW w:w="696" w:type="dxa"/>
            <w:tcBorders>
              <w:top w:val="single" w:sz="4" w:space="0" w:color="auto"/>
              <w:left w:val="nil"/>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r>
      <w:tr w:rsidR="00EC7890" w:rsidRPr="006236C6" w:rsidTr="00EC7890">
        <w:trPr>
          <w:trHeight w:val="255"/>
        </w:trPr>
        <w:tc>
          <w:tcPr>
            <w:tcW w:w="1783" w:type="dxa"/>
            <w:tcBorders>
              <w:top w:val="single" w:sz="4" w:space="0" w:color="auto"/>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Over performing</w:t>
            </w:r>
          </w:p>
        </w:tc>
        <w:tc>
          <w:tcPr>
            <w:tcW w:w="2313" w:type="dxa"/>
            <w:tcBorders>
              <w:top w:val="single" w:sz="4" w:space="0" w:color="auto"/>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General Medicine</w:t>
            </w:r>
          </w:p>
        </w:tc>
        <w:tc>
          <w:tcPr>
            <w:tcW w:w="536" w:type="dxa"/>
            <w:tcBorders>
              <w:top w:val="single" w:sz="4" w:space="0" w:color="auto"/>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168%</w:t>
            </w:r>
          </w:p>
        </w:tc>
        <w:tc>
          <w:tcPr>
            <w:tcW w:w="2376"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Breast Surgery</w:t>
            </w:r>
          </w:p>
        </w:tc>
        <w:tc>
          <w:tcPr>
            <w:tcW w:w="696" w:type="dxa"/>
            <w:tcBorders>
              <w:top w:val="single" w:sz="4" w:space="0" w:color="auto"/>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39%</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Respiratory Medicine</w:t>
            </w:r>
          </w:p>
        </w:tc>
        <w:tc>
          <w:tcPr>
            <w:tcW w:w="53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73%</w:t>
            </w:r>
          </w:p>
        </w:tc>
        <w:tc>
          <w:tcPr>
            <w:tcW w:w="2376"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Gynaecology</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27%</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Paediatric</w:t>
            </w:r>
          </w:p>
        </w:tc>
        <w:tc>
          <w:tcPr>
            <w:tcW w:w="53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46%</w:t>
            </w:r>
          </w:p>
        </w:tc>
        <w:tc>
          <w:tcPr>
            <w:tcW w:w="2376"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Urology</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20%</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Gastroenterology</w:t>
            </w:r>
          </w:p>
        </w:tc>
        <w:tc>
          <w:tcPr>
            <w:tcW w:w="53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32%</w:t>
            </w:r>
          </w:p>
        </w:tc>
        <w:tc>
          <w:tcPr>
            <w:tcW w:w="237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Colorectal</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18%</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Colorectal</w:t>
            </w:r>
          </w:p>
        </w:tc>
        <w:tc>
          <w:tcPr>
            <w:tcW w:w="53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26%</w:t>
            </w:r>
          </w:p>
        </w:tc>
        <w:tc>
          <w:tcPr>
            <w:tcW w:w="2376"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 </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 </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Urology</w:t>
            </w:r>
          </w:p>
        </w:tc>
        <w:tc>
          <w:tcPr>
            <w:tcW w:w="53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17%</w:t>
            </w:r>
          </w:p>
        </w:tc>
        <w:tc>
          <w:tcPr>
            <w:tcW w:w="2376"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 </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 </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General Surgery</w:t>
            </w:r>
          </w:p>
        </w:tc>
        <w:tc>
          <w:tcPr>
            <w:tcW w:w="53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12%</w:t>
            </w:r>
          </w:p>
        </w:tc>
        <w:tc>
          <w:tcPr>
            <w:tcW w:w="237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 </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 </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Oncology</w:t>
            </w:r>
          </w:p>
        </w:tc>
        <w:tc>
          <w:tcPr>
            <w:tcW w:w="53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10%</w:t>
            </w:r>
          </w:p>
        </w:tc>
        <w:tc>
          <w:tcPr>
            <w:tcW w:w="2376"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 </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 </w:t>
            </w:r>
          </w:p>
        </w:tc>
      </w:tr>
      <w:tr w:rsidR="00EC7890" w:rsidRPr="006236C6" w:rsidTr="00EC7890">
        <w:trPr>
          <w:trHeight w:val="255"/>
        </w:trPr>
        <w:tc>
          <w:tcPr>
            <w:tcW w:w="1783" w:type="dxa"/>
            <w:tcBorders>
              <w:top w:val="single" w:sz="4" w:space="0" w:color="auto"/>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Under performing</w:t>
            </w:r>
          </w:p>
        </w:tc>
        <w:tc>
          <w:tcPr>
            <w:tcW w:w="2313" w:type="dxa"/>
            <w:tcBorders>
              <w:top w:val="single" w:sz="4" w:space="0" w:color="auto"/>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Upper GI</w:t>
            </w:r>
          </w:p>
        </w:tc>
        <w:tc>
          <w:tcPr>
            <w:tcW w:w="536" w:type="dxa"/>
            <w:tcBorders>
              <w:top w:val="single" w:sz="4" w:space="0" w:color="auto"/>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-37%</w:t>
            </w:r>
          </w:p>
        </w:tc>
        <w:tc>
          <w:tcPr>
            <w:tcW w:w="2376" w:type="dxa"/>
            <w:tcBorders>
              <w:top w:val="single" w:sz="4" w:space="0" w:color="auto"/>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 </w:t>
            </w:r>
          </w:p>
        </w:tc>
        <w:tc>
          <w:tcPr>
            <w:tcW w:w="696" w:type="dxa"/>
            <w:tcBorders>
              <w:top w:val="single" w:sz="4" w:space="0" w:color="auto"/>
              <w:left w:val="nil"/>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 </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Breast Surgery</w:t>
            </w:r>
          </w:p>
        </w:tc>
        <w:tc>
          <w:tcPr>
            <w:tcW w:w="53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-30%</w:t>
            </w:r>
          </w:p>
        </w:tc>
        <w:tc>
          <w:tcPr>
            <w:tcW w:w="237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 </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Haematology</w:t>
            </w:r>
          </w:p>
        </w:tc>
        <w:tc>
          <w:tcPr>
            <w:tcW w:w="53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-11%</w:t>
            </w:r>
          </w:p>
        </w:tc>
        <w:tc>
          <w:tcPr>
            <w:tcW w:w="237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 </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 </w:t>
            </w:r>
          </w:p>
        </w:tc>
      </w:tr>
      <w:tr w:rsidR="00EC7890" w:rsidRPr="006236C6" w:rsidTr="00EC7890">
        <w:trPr>
          <w:trHeight w:val="255"/>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single" w:sz="4" w:space="0" w:color="auto"/>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Gynaecology</w:t>
            </w:r>
          </w:p>
        </w:tc>
        <w:tc>
          <w:tcPr>
            <w:tcW w:w="536" w:type="dxa"/>
            <w:tcBorders>
              <w:top w:val="nil"/>
              <w:left w:val="nil"/>
              <w:bottom w:val="single" w:sz="4" w:space="0" w:color="auto"/>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-10%</w:t>
            </w:r>
          </w:p>
        </w:tc>
        <w:tc>
          <w:tcPr>
            <w:tcW w:w="2376" w:type="dxa"/>
            <w:tcBorders>
              <w:top w:val="nil"/>
              <w:left w:val="nil"/>
              <w:bottom w:val="single" w:sz="4" w:space="0" w:color="auto"/>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 </w:t>
            </w:r>
          </w:p>
        </w:tc>
        <w:tc>
          <w:tcPr>
            <w:tcW w:w="696" w:type="dxa"/>
            <w:tcBorders>
              <w:top w:val="nil"/>
              <w:left w:val="nil"/>
              <w:bottom w:val="single" w:sz="4" w:space="0" w:color="auto"/>
              <w:right w:val="single" w:sz="4" w:space="0" w:color="auto"/>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 </w:t>
            </w:r>
          </w:p>
        </w:tc>
      </w:tr>
      <w:tr w:rsidR="00EC7890" w:rsidRPr="006236C6" w:rsidTr="00EC7890">
        <w:trPr>
          <w:trHeight w:val="255"/>
        </w:trPr>
        <w:tc>
          <w:tcPr>
            <w:tcW w:w="1783"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Non Elective inpatients</w:t>
            </w:r>
          </w:p>
        </w:tc>
        <w:tc>
          <w:tcPr>
            <w:tcW w:w="53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7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Outpatient procedures</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r>
      <w:tr w:rsidR="00EC7890" w:rsidRPr="006236C6" w:rsidTr="00EC7890">
        <w:trPr>
          <w:trHeight w:val="255"/>
        </w:trPr>
        <w:tc>
          <w:tcPr>
            <w:tcW w:w="1783" w:type="dxa"/>
            <w:tcBorders>
              <w:top w:val="single" w:sz="4" w:space="0" w:color="auto"/>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Over performing</w:t>
            </w:r>
          </w:p>
        </w:tc>
        <w:tc>
          <w:tcPr>
            <w:tcW w:w="2313" w:type="dxa"/>
            <w:tcBorders>
              <w:top w:val="single" w:sz="4" w:space="0" w:color="auto"/>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Gynaecology</w:t>
            </w:r>
          </w:p>
        </w:tc>
        <w:tc>
          <w:tcPr>
            <w:tcW w:w="536" w:type="dxa"/>
            <w:tcBorders>
              <w:top w:val="single" w:sz="4" w:space="0" w:color="auto"/>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81%</w:t>
            </w:r>
          </w:p>
        </w:tc>
        <w:tc>
          <w:tcPr>
            <w:tcW w:w="2376" w:type="dxa"/>
            <w:tcBorders>
              <w:top w:val="single" w:sz="4" w:space="0" w:color="auto"/>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Upper GI Surgery</w:t>
            </w:r>
          </w:p>
        </w:tc>
        <w:tc>
          <w:tcPr>
            <w:tcW w:w="696" w:type="dxa"/>
            <w:tcBorders>
              <w:top w:val="single" w:sz="4" w:space="0" w:color="auto"/>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625%</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Urology</w:t>
            </w:r>
          </w:p>
        </w:tc>
        <w:tc>
          <w:tcPr>
            <w:tcW w:w="53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22%</w:t>
            </w:r>
          </w:p>
        </w:tc>
        <w:tc>
          <w:tcPr>
            <w:tcW w:w="2376"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General Surgery</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281%</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Paediatrics</w:t>
            </w:r>
          </w:p>
        </w:tc>
        <w:tc>
          <w:tcPr>
            <w:tcW w:w="53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13%</w:t>
            </w:r>
          </w:p>
        </w:tc>
        <w:tc>
          <w:tcPr>
            <w:tcW w:w="2376"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Urology</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141%</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General Surgery</w:t>
            </w:r>
          </w:p>
        </w:tc>
        <w:tc>
          <w:tcPr>
            <w:tcW w:w="53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11%</w:t>
            </w:r>
          </w:p>
        </w:tc>
        <w:tc>
          <w:tcPr>
            <w:tcW w:w="2376"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Colorectal Surgery</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111%</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General Medicine</w:t>
            </w:r>
          </w:p>
        </w:tc>
        <w:tc>
          <w:tcPr>
            <w:tcW w:w="53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8%</w:t>
            </w:r>
          </w:p>
        </w:tc>
        <w:tc>
          <w:tcPr>
            <w:tcW w:w="2376"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Gynaecology</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71%</w:t>
            </w:r>
          </w:p>
        </w:tc>
      </w:tr>
      <w:tr w:rsidR="00EC7890" w:rsidRPr="006236C6" w:rsidTr="00EC7890">
        <w:trPr>
          <w:trHeight w:val="255"/>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single" w:sz="4" w:space="0" w:color="auto"/>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 </w:t>
            </w:r>
          </w:p>
        </w:tc>
        <w:tc>
          <w:tcPr>
            <w:tcW w:w="536" w:type="dxa"/>
            <w:tcBorders>
              <w:top w:val="nil"/>
              <w:left w:val="nil"/>
              <w:bottom w:val="single" w:sz="4" w:space="0" w:color="auto"/>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 </w:t>
            </w:r>
          </w:p>
        </w:tc>
        <w:tc>
          <w:tcPr>
            <w:tcW w:w="2376" w:type="dxa"/>
            <w:tcBorders>
              <w:top w:val="nil"/>
              <w:left w:val="single" w:sz="4" w:space="0" w:color="auto"/>
              <w:bottom w:val="single" w:sz="4" w:space="0" w:color="auto"/>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 </w:t>
            </w:r>
          </w:p>
        </w:tc>
        <w:tc>
          <w:tcPr>
            <w:tcW w:w="696" w:type="dxa"/>
            <w:tcBorders>
              <w:top w:val="nil"/>
              <w:left w:val="nil"/>
              <w:bottom w:val="single" w:sz="4" w:space="0" w:color="auto"/>
              <w:right w:val="single" w:sz="4" w:space="0" w:color="auto"/>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 </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Under performing</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Gastroenterology</w:t>
            </w:r>
          </w:p>
        </w:tc>
        <w:tc>
          <w:tcPr>
            <w:tcW w:w="53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-80%</w:t>
            </w:r>
          </w:p>
        </w:tc>
        <w:tc>
          <w:tcPr>
            <w:tcW w:w="237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Dermatology</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-58%</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Cardiology</w:t>
            </w:r>
          </w:p>
        </w:tc>
        <w:tc>
          <w:tcPr>
            <w:tcW w:w="53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-70%</w:t>
            </w:r>
          </w:p>
        </w:tc>
        <w:tc>
          <w:tcPr>
            <w:tcW w:w="237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ENT</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-24%</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Colorectal</w:t>
            </w:r>
          </w:p>
        </w:tc>
        <w:tc>
          <w:tcPr>
            <w:tcW w:w="53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-66%</w:t>
            </w:r>
          </w:p>
        </w:tc>
        <w:tc>
          <w:tcPr>
            <w:tcW w:w="237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Breast surgery</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-15%</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p>
        </w:tc>
        <w:tc>
          <w:tcPr>
            <w:tcW w:w="53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 </w:t>
            </w:r>
          </w:p>
        </w:tc>
        <w:tc>
          <w:tcPr>
            <w:tcW w:w="237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Cardiology</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-9%</w:t>
            </w:r>
          </w:p>
        </w:tc>
      </w:tr>
      <w:tr w:rsidR="00EC7890" w:rsidRPr="006236C6" w:rsidTr="00EC7890">
        <w:trPr>
          <w:trHeight w:val="255"/>
        </w:trPr>
        <w:tc>
          <w:tcPr>
            <w:tcW w:w="1783" w:type="dxa"/>
            <w:tcBorders>
              <w:top w:val="single" w:sz="4" w:space="0" w:color="auto"/>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849" w:type="dxa"/>
            <w:gridSpan w:val="2"/>
            <w:tcBorders>
              <w:top w:val="single" w:sz="4" w:space="0" w:color="auto"/>
              <w:left w:val="single" w:sz="4" w:space="0" w:color="auto"/>
              <w:bottom w:val="nil"/>
              <w:right w:val="single" w:sz="4" w:space="0" w:color="000000"/>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First Outpatient attendances</w:t>
            </w:r>
          </w:p>
        </w:tc>
        <w:tc>
          <w:tcPr>
            <w:tcW w:w="2376" w:type="dxa"/>
            <w:tcBorders>
              <w:top w:val="single" w:sz="4" w:space="0" w:color="auto"/>
              <w:left w:val="nil"/>
              <w:bottom w:val="nil"/>
              <w:right w:val="nil"/>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F/U Outpatient attendances</w:t>
            </w:r>
          </w:p>
        </w:tc>
        <w:tc>
          <w:tcPr>
            <w:tcW w:w="696" w:type="dxa"/>
            <w:tcBorders>
              <w:top w:val="single" w:sz="4" w:space="0" w:color="auto"/>
              <w:left w:val="nil"/>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r>
      <w:tr w:rsidR="00EC7890" w:rsidRPr="006236C6" w:rsidTr="00EC7890">
        <w:trPr>
          <w:trHeight w:val="255"/>
        </w:trPr>
        <w:tc>
          <w:tcPr>
            <w:tcW w:w="1783" w:type="dxa"/>
            <w:tcBorders>
              <w:top w:val="single" w:sz="4" w:space="0" w:color="auto"/>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Over performing</w:t>
            </w:r>
          </w:p>
        </w:tc>
        <w:tc>
          <w:tcPr>
            <w:tcW w:w="2313" w:type="dxa"/>
            <w:tcBorders>
              <w:top w:val="single" w:sz="4" w:space="0" w:color="auto"/>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Geriatric Medicine</w:t>
            </w:r>
          </w:p>
        </w:tc>
        <w:tc>
          <w:tcPr>
            <w:tcW w:w="536" w:type="dxa"/>
            <w:tcBorders>
              <w:top w:val="single" w:sz="4" w:space="0" w:color="auto"/>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129%</w:t>
            </w:r>
          </w:p>
        </w:tc>
        <w:tc>
          <w:tcPr>
            <w:tcW w:w="2376"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Haematology</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25%</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General Surgery</w:t>
            </w:r>
          </w:p>
        </w:tc>
        <w:tc>
          <w:tcPr>
            <w:tcW w:w="53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57%</w:t>
            </w:r>
          </w:p>
        </w:tc>
        <w:tc>
          <w:tcPr>
            <w:tcW w:w="2376"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Ophthalmology</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19%</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Urology</w:t>
            </w:r>
          </w:p>
        </w:tc>
        <w:tc>
          <w:tcPr>
            <w:tcW w:w="53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13%</w:t>
            </w:r>
          </w:p>
        </w:tc>
        <w:tc>
          <w:tcPr>
            <w:tcW w:w="2376"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ENT</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16%</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Ophthalmology</w:t>
            </w:r>
          </w:p>
        </w:tc>
        <w:tc>
          <w:tcPr>
            <w:tcW w:w="53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10%</w:t>
            </w:r>
          </w:p>
        </w:tc>
        <w:tc>
          <w:tcPr>
            <w:tcW w:w="2376"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General Surgery</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14%</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Haematology</w:t>
            </w:r>
          </w:p>
        </w:tc>
        <w:tc>
          <w:tcPr>
            <w:tcW w:w="536"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8%</w:t>
            </w:r>
          </w:p>
        </w:tc>
        <w:tc>
          <w:tcPr>
            <w:tcW w:w="2376"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Gastroenterology</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13%</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 </w:t>
            </w:r>
          </w:p>
        </w:tc>
        <w:tc>
          <w:tcPr>
            <w:tcW w:w="53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p>
        </w:tc>
        <w:tc>
          <w:tcPr>
            <w:tcW w:w="2376"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General Medicine</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7%</w:t>
            </w:r>
          </w:p>
        </w:tc>
      </w:tr>
      <w:tr w:rsidR="00EC7890" w:rsidRPr="006236C6" w:rsidTr="00EC7890">
        <w:trPr>
          <w:trHeight w:val="255"/>
        </w:trPr>
        <w:tc>
          <w:tcPr>
            <w:tcW w:w="1783" w:type="dxa"/>
            <w:tcBorders>
              <w:top w:val="single" w:sz="4" w:space="0" w:color="auto"/>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Under performing</w:t>
            </w:r>
          </w:p>
        </w:tc>
        <w:tc>
          <w:tcPr>
            <w:tcW w:w="2313" w:type="dxa"/>
            <w:tcBorders>
              <w:top w:val="single" w:sz="4" w:space="0" w:color="auto"/>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Dermatology</w:t>
            </w:r>
          </w:p>
        </w:tc>
        <w:tc>
          <w:tcPr>
            <w:tcW w:w="536" w:type="dxa"/>
            <w:tcBorders>
              <w:top w:val="single" w:sz="4" w:space="0" w:color="auto"/>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-71%</w:t>
            </w:r>
          </w:p>
        </w:tc>
        <w:tc>
          <w:tcPr>
            <w:tcW w:w="2376" w:type="dxa"/>
            <w:tcBorders>
              <w:top w:val="single" w:sz="4" w:space="0" w:color="auto"/>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Upper GI Surgery</w:t>
            </w:r>
          </w:p>
        </w:tc>
        <w:tc>
          <w:tcPr>
            <w:tcW w:w="696" w:type="dxa"/>
            <w:tcBorders>
              <w:top w:val="single" w:sz="4" w:space="0" w:color="auto"/>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-40%</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General Medicine</w:t>
            </w:r>
          </w:p>
        </w:tc>
        <w:tc>
          <w:tcPr>
            <w:tcW w:w="53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-47%</w:t>
            </w:r>
          </w:p>
        </w:tc>
        <w:tc>
          <w:tcPr>
            <w:tcW w:w="237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Dermatology</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-36%</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Chemical Pathology</w:t>
            </w:r>
          </w:p>
        </w:tc>
        <w:tc>
          <w:tcPr>
            <w:tcW w:w="53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-44%</w:t>
            </w:r>
          </w:p>
        </w:tc>
        <w:tc>
          <w:tcPr>
            <w:tcW w:w="237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Neurology</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-34%</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Neurology</w:t>
            </w:r>
          </w:p>
        </w:tc>
        <w:tc>
          <w:tcPr>
            <w:tcW w:w="53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-29%</w:t>
            </w:r>
          </w:p>
        </w:tc>
        <w:tc>
          <w:tcPr>
            <w:tcW w:w="237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Colorectal Surgery</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-32%</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Upper GI Surgery</w:t>
            </w:r>
          </w:p>
        </w:tc>
        <w:tc>
          <w:tcPr>
            <w:tcW w:w="53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-28%</w:t>
            </w:r>
          </w:p>
        </w:tc>
        <w:tc>
          <w:tcPr>
            <w:tcW w:w="237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Respiratory medicine</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-31%</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 xml:space="preserve">Trauma &amp; </w:t>
            </w:r>
            <w:r w:rsidR="00B56A67" w:rsidRPr="006236C6">
              <w:rPr>
                <w:rFonts w:ascii="Arial" w:hAnsi="Arial" w:cs="Arial"/>
                <w:sz w:val="16"/>
                <w:szCs w:val="16"/>
              </w:rPr>
              <w:t>Orthopaedics</w:t>
            </w:r>
          </w:p>
        </w:tc>
        <w:tc>
          <w:tcPr>
            <w:tcW w:w="53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-22%</w:t>
            </w:r>
          </w:p>
        </w:tc>
        <w:tc>
          <w:tcPr>
            <w:tcW w:w="237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Palliative Medicine</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-28%</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TIA</w:t>
            </w:r>
          </w:p>
        </w:tc>
        <w:tc>
          <w:tcPr>
            <w:tcW w:w="53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-21%</w:t>
            </w:r>
          </w:p>
        </w:tc>
        <w:tc>
          <w:tcPr>
            <w:tcW w:w="237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Anticoagulation</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-28%</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Respiratory medicine</w:t>
            </w:r>
          </w:p>
        </w:tc>
        <w:tc>
          <w:tcPr>
            <w:tcW w:w="53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-18%</w:t>
            </w:r>
          </w:p>
        </w:tc>
        <w:tc>
          <w:tcPr>
            <w:tcW w:w="237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GUM</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-26%</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Paediatrics</w:t>
            </w:r>
          </w:p>
        </w:tc>
        <w:tc>
          <w:tcPr>
            <w:tcW w:w="53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-16%</w:t>
            </w:r>
          </w:p>
        </w:tc>
        <w:tc>
          <w:tcPr>
            <w:tcW w:w="237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Vascular surgery</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-24%</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Colorectal Surgery</w:t>
            </w:r>
          </w:p>
        </w:tc>
        <w:tc>
          <w:tcPr>
            <w:tcW w:w="53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-15%</w:t>
            </w:r>
          </w:p>
        </w:tc>
        <w:tc>
          <w:tcPr>
            <w:tcW w:w="237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Urology</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-21%</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Diabetic medicine</w:t>
            </w:r>
          </w:p>
        </w:tc>
        <w:tc>
          <w:tcPr>
            <w:tcW w:w="53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-13%</w:t>
            </w:r>
          </w:p>
        </w:tc>
        <w:tc>
          <w:tcPr>
            <w:tcW w:w="237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 xml:space="preserve">Trauma &amp; </w:t>
            </w:r>
            <w:r w:rsidR="00B56A67" w:rsidRPr="006236C6">
              <w:rPr>
                <w:rFonts w:ascii="Arial" w:hAnsi="Arial" w:cs="Arial"/>
                <w:sz w:val="16"/>
                <w:szCs w:val="16"/>
              </w:rPr>
              <w:t>Orthopaedics</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-11%</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Cardiology</w:t>
            </w:r>
          </w:p>
        </w:tc>
        <w:tc>
          <w:tcPr>
            <w:tcW w:w="53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-13%</w:t>
            </w:r>
          </w:p>
        </w:tc>
        <w:tc>
          <w:tcPr>
            <w:tcW w:w="237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Paediatrics</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-11%</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Vascular surgery</w:t>
            </w:r>
          </w:p>
        </w:tc>
        <w:tc>
          <w:tcPr>
            <w:tcW w:w="53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-12%</w:t>
            </w:r>
          </w:p>
        </w:tc>
        <w:tc>
          <w:tcPr>
            <w:tcW w:w="237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Cardiology</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-7%</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ENT</w:t>
            </w:r>
          </w:p>
        </w:tc>
        <w:tc>
          <w:tcPr>
            <w:tcW w:w="53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-11%</w:t>
            </w:r>
          </w:p>
        </w:tc>
        <w:tc>
          <w:tcPr>
            <w:tcW w:w="237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 </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 </w:t>
            </w:r>
          </w:p>
        </w:tc>
      </w:tr>
      <w:tr w:rsidR="00EC7890" w:rsidRPr="006236C6" w:rsidTr="00EC7890">
        <w:trPr>
          <w:trHeight w:val="255"/>
        </w:trPr>
        <w:tc>
          <w:tcPr>
            <w:tcW w:w="1783" w:type="dxa"/>
            <w:tcBorders>
              <w:top w:val="nil"/>
              <w:left w:val="single" w:sz="4" w:space="0" w:color="auto"/>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GUM</w:t>
            </w:r>
          </w:p>
        </w:tc>
        <w:tc>
          <w:tcPr>
            <w:tcW w:w="53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-9%</w:t>
            </w:r>
          </w:p>
        </w:tc>
        <w:tc>
          <w:tcPr>
            <w:tcW w:w="237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 </w:t>
            </w:r>
          </w:p>
        </w:tc>
        <w:tc>
          <w:tcPr>
            <w:tcW w:w="696"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 </w:t>
            </w:r>
          </w:p>
        </w:tc>
      </w:tr>
      <w:tr w:rsidR="00EC7890" w:rsidRPr="006236C6" w:rsidTr="00EC7890">
        <w:trPr>
          <w:trHeight w:val="255"/>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EC7890" w:rsidRPr="006236C6" w:rsidRDefault="00EC7890" w:rsidP="00EC7890">
            <w:pPr>
              <w:spacing w:after="0"/>
              <w:rPr>
                <w:rFonts w:ascii="Arial" w:hAnsi="Arial" w:cs="Arial"/>
                <w:b/>
                <w:bCs/>
                <w:sz w:val="16"/>
                <w:szCs w:val="16"/>
              </w:rPr>
            </w:pPr>
            <w:r w:rsidRPr="006236C6">
              <w:rPr>
                <w:rFonts w:ascii="Arial" w:hAnsi="Arial" w:cs="Arial"/>
                <w:b/>
                <w:bCs/>
                <w:sz w:val="16"/>
                <w:szCs w:val="16"/>
              </w:rPr>
              <w:t> </w:t>
            </w:r>
          </w:p>
        </w:tc>
        <w:tc>
          <w:tcPr>
            <w:tcW w:w="2313" w:type="dxa"/>
            <w:tcBorders>
              <w:top w:val="nil"/>
              <w:left w:val="nil"/>
              <w:bottom w:val="single" w:sz="4" w:space="0" w:color="auto"/>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Clinical oncology</w:t>
            </w:r>
          </w:p>
        </w:tc>
        <w:tc>
          <w:tcPr>
            <w:tcW w:w="536" w:type="dxa"/>
            <w:tcBorders>
              <w:top w:val="nil"/>
              <w:left w:val="nil"/>
              <w:bottom w:val="single" w:sz="4" w:space="0" w:color="auto"/>
              <w:right w:val="single" w:sz="4" w:space="0" w:color="auto"/>
            </w:tcBorders>
            <w:shd w:val="clear" w:color="auto" w:fill="auto"/>
            <w:noWrap/>
            <w:vAlign w:val="bottom"/>
            <w:hideMark/>
          </w:tcPr>
          <w:p w:rsidR="00EC7890" w:rsidRPr="006236C6" w:rsidRDefault="00EC7890" w:rsidP="00EC7890">
            <w:pPr>
              <w:spacing w:after="0"/>
              <w:jc w:val="right"/>
              <w:rPr>
                <w:rFonts w:ascii="Arial" w:hAnsi="Arial" w:cs="Arial"/>
                <w:sz w:val="16"/>
                <w:szCs w:val="16"/>
              </w:rPr>
            </w:pPr>
            <w:r w:rsidRPr="006236C6">
              <w:rPr>
                <w:rFonts w:ascii="Arial" w:hAnsi="Arial" w:cs="Arial"/>
                <w:sz w:val="16"/>
                <w:szCs w:val="16"/>
              </w:rPr>
              <w:t>-6%</w:t>
            </w:r>
          </w:p>
        </w:tc>
        <w:tc>
          <w:tcPr>
            <w:tcW w:w="2376" w:type="dxa"/>
            <w:tcBorders>
              <w:top w:val="nil"/>
              <w:left w:val="nil"/>
              <w:bottom w:val="single" w:sz="4" w:space="0" w:color="auto"/>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 </w:t>
            </w:r>
          </w:p>
        </w:tc>
        <w:tc>
          <w:tcPr>
            <w:tcW w:w="696" w:type="dxa"/>
            <w:tcBorders>
              <w:top w:val="nil"/>
              <w:left w:val="nil"/>
              <w:bottom w:val="single" w:sz="4" w:space="0" w:color="auto"/>
              <w:right w:val="single" w:sz="4" w:space="0" w:color="auto"/>
            </w:tcBorders>
            <w:shd w:val="clear" w:color="auto" w:fill="auto"/>
            <w:noWrap/>
            <w:vAlign w:val="bottom"/>
            <w:hideMark/>
          </w:tcPr>
          <w:p w:rsidR="00EC7890" w:rsidRPr="006236C6" w:rsidRDefault="00EC7890" w:rsidP="00EC7890">
            <w:pPr>
              <w:spacing w:after="0"/>
              <w:rPr>
                <w:rFonts w:ascii="Arial" w:hAnsi="Arial" w:cs="Arial"/>
                <w:sz w:val="16"/>
                <w:szCs w:val="16"/>
              </w:rPr>
            </w:pPr>
            <w:r w:rsidRPr="006236C6">
              <w:rPr>
                <w:rFonts w:ascii="Arial" w:hAnsi="Arial" w:cs="Arial"/>
                <w:sz w:val="16"/>
                <w:szCs w:val="16"/>
              </w:rPr>
              <w:t> </w:t>
            </w:r>
          </w:p>
        </w:tc>
      </w:tr>
      <w:tr w:rsidR="00EC7890" w:rsidRPr="006236C6" w:rsidTr="00EC7890">
        <w:trPr>
          <w:trHeight w:val="255"/>
        </w:trPr>
        <w:tc>
          <w:tcPr>
            <w:tcW w:w="178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b/>
                <w:bCs/>
                <w:sz w:val="16"/>
                <w:szCs w:val="16"/>
              </w:rPr>
            </w:pPr>
          </w:p>
        </w:tc>
        <w:tc>
          <w:tcPr>
            <w:tcW w:w="2313"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p>
        </w:tc>
        <w:tc>
          <w:tcPr>
            <w:tcW w:w="53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p>
        </w:tc>
        <w:tc>
          <w:tcPr>
            <w:tcW w:w="237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p>
        </w:tc>
        <w:tc>
          <w:tcPr>
            <w:tcW w:w="69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Arial" w:hAnsi="Arial" w:cs="Arial"/>
                <w:sz w:val="16"/>
                <w:szCs w:val="16"/>
              </w:rPr>
            </w:pPr>
          </w:p>
        </w:tc>
      </w:tr>
    </w:tbl>
    <w:p w:rsidR="00EC7890" w:rsidRPr="006236C6" w:rsidRDefault="00EC7890" w:rsidP="00EC7890">
      <w:pPr>
        <w:pStyle w:val="Default"/>
      </w:pPr>
    </w:p>
    <w:p w:rsidR="00EC7890" w:rsidRPr="006236C6" w:rsidRDefault="00EC7890" w:rsidP="00EC7890">
      <w:pPr>
        <w:rPr>
          <w:color w:val="000000"/>
        </w:rPr>
      </w:pPr>
      <w:r w:rsidRPr="006236C6">
        <w:br w:type="page"/>
      </w:r>
    </w:p>
    <w:p w:rsidR="00EC7890" w:rsidRPr="006236C6" w:rsidRDefault="00EC7890" w:rsidP="00EC7890">
      <w:pPr>
        <w:pStyle w:val="Default"/>
      </w:pPr>
    </w:p>
    <w:p w:rsidR="00EC7890" w:rsidRPr="006236C6" w:rsidRDefault="00EC7890" w:rsidP="00D10CC7">
      <w:pPr>
        <w:pStyle w:val="Default"/>
        <w:jc w:val="both"/>
        <w:rPr>
          <w:rFonts w:asciiTheme="minorHAnsi" w:hAnsiTheme="minorHAnsi" w:cs="Arial"/>
        </w:rPr>
      </w:pPr>
      <w:r w:rsidRPr="006236C6">
        <w:rPr>
          <w:rFonts w:asciiTheme="minorHAnsi" w:hAnsiTheme="minorHAnsi" w:cs="Arial"/>
          <w:b/>
          <w:bCs/>
        </w:rPr>
        <w:t xml:space="preserve">5.5.2   </w:t>
      </w:r>
      <w:r w:rsidRPr="006236C6">
        <w:rPr>
          <w:rFonts w:asciiTheme="minorHAnsi" w:hAnsiTheme="minorHAnsi" w:cs="Arial"/>
          <w:bCs/>
        </w:rPr>
        <w:t>The</w:t>
      </w:r>
      <w:r w:rsidRPr="006236C6">
        <w:rPr>
          <w:rFonts w:asciiTheme="minorHAnsi" w:hAnsiTheme="minorHAnsi" w:cs="Arial"/>
        </w:rPr>
        <w:t xml:space="preserve"> following table shows the overall activity for the period ended 31st August 2014:</w:t>
      </w:r>
    </w:p>
    <w:tbl>
      <w:tblPr>
        <w:tblW w:w="9545" w:type="dxa"/>
        <w:tblInd w:w="108" w:type="dxa"/>
        <w:tblLook w:val="04A0"/>
      </w:tblPr>
      <w:tblGrid>
        <w:gridCol w:w="2468"/>
        <w:gridCol w:w="250"/>
        <w:gridCol w:w="266"/>
        <w:gridCol w:w="1278"/>
        <w:gridCol w:w="1278"/>
        <w:gridCol w:w="1278"/>
        <w:gridCol w:w="1343"/>
        <w:gridCol w:w="1384"/>
      </w:tblGrid>
      <w:tr w:rsidR="00EC7890" w:rsidRPr="006236C6" w:rsidTr="00D10CC7">
        <w:trPr>
          <w:trHeight w:val="315"/>
        </w:trPr>
        <w:tc>
          <w:tcPr>
            <w:tcW w:w="9545" w:type="dxa"/>
            <w:gridSpan w:val="8"/>
            <w:tcBorders>
              <w:top w:val="nil"/>
              <w:left w:val="nil"/>
              <w:bottom w:val="nil"/>
              <w:right w:val="nil"/>
            </w:tcBorders>
            <w:shd w:val="clear" w:color="auto" w:fill="auto"/>
            <w:noWrap/>
            <w:vAlign w:val="bottom"/>
            <w:hideMark/>
          </w:tcPr>
          <w:p w:rsidR="00EC7890" w:rsidRPr="006236C6" w:rsidRDefault="00EC7890" w:rsidP="00EC7890">
            <w:pPr>
              <w:spacing w:after="0"/>
              <w:jc w:val="center"/>
              <w:rPr>
                <w:rFonts w:ascii="Calibri" w:hAnsi="Calibri" w:cs="Arial"/>
                <w:b/>
                <w:bCs/>
              </w:rPr>
            </w:pPr>
            <w:r w:rsidRPr="006236C6">
              <w:rPr>
                <w:rFonts w:ascii="Calibri" w:hAnsi="Calibri" w:cs="Arial"/>
                <w:b/>
                <w:bCs/>
              </w:rPr>
              <w:t>6 Months ending September 2014 Activity and Income Report</w:t>
            </w:r>
          </w:p>
        </w:tc>
      </w:tr>
      <w:tr w:rsidR="00EC7890" w:rsidRPr="006236C6" w:rsidTr="00D10CC7">
        <w:trPr>
          <w:trHeight w:val="975"/>
        </w:trPr>
        <w:tc>
          <w:tcPr>
            <w:tcW w:w="2718" w:type="dxa"/>
            <w:gridSpan w:val="2"/>
            <w:tcBorders>
              <w:top w:val="single" w:sz="4" w:space="0" w:color="auto"/>
              <w:left w:val="single" w:sz="4" w:space="0" w:color="auto"/>
              <w:bottom w:val="nil"/>
              <w:right w:val="nil"/>
            </w:tcBorders>
            <w:shd w:val="clear" w:color="auto" w:fill="auto"/>
            <w:noWrap/>
            <w:vAlign w:val="bottom"/>
            <w:hideMark/>
          </w:tcPr>
          <w:p w:rsidR="00EC7890" w:rsidRPr="006236C6" w:rsidRDefault="00EC7890" w:rsidP="00EC7890">
            <w:pPr>
              <w:spacing w:after="0"/>
              <w:rPr>
                <w:rFonts w:ascii="Calibri" w:hAnsi="Calibri" w:cs="Arial"/>
                <w:b/>
                <w:bCs/>
              </w:rPr>
            </w:pPr>
            <w:r w:rsidRPr="006236C6">
              <w:rPr>
                <w:rFonts w:ascii="Calibri" w:hAnsi="Calibri" w:cs="Arial"/>
                <w:b/>
                <w:bCs/>
              </w:rPr>
              <w:t>Volumes including ACC</w:t>
            </w:r>
          </w:p>
        </w:tc>
        <w:tc>
          <w:tcPr>
            <w:tcW w:w="266" w:type="dxa"/>
            <w:tcBorders>
              <w:top w:val="single" w:sz="4" w:space="0" w:color="auto"/>
              <w:left w:val="nil"/>
              <w:bottom w:val="nil"/>
              <w:right w:val="nil"/>
            </w:tcBorders>
            <w:shd w:val="clear" w:color="auto" w:fill="auto"/>
            <w:noWrap/>
            <w:vAlign w:val="bottom"/>
            <w:hideMark/>
          </w:tcPr>
          <w:p w:rsidR="00EC7890" w:rsidRPr="006236C6" w:rsidRDefault="00EC7890" w:rsidP="00EC7890">
            <w:pPr>
              <w:spacing w:after="0"/>
              <w:rPr>
                <w:rFonts w:ascii="Calibri" w:hAnsi="Calibri" w:cs="Arial"/>
              </w:rPr>
            </w:pPr>
            <w:r w:rsidRPr="006236C6">
              <w:rPr>
                <w:rFonts w:ascii="Calibri" w:hAnsi="Calibri" w:cs="Arial"/>
              </w:rPr>
              <w:t> </w:t>
            </w:r>
          </w:p>
        </w:tc>
        <w:tc>
          <w:tcPr>
            <w:tcW w:w="1278" w:type="dxa"/>
            <w:tcBorders>
              <w:top w:val="single" w:sz="4" w:space="0" w:color="auto"/>
              <w:left w:val="nil"/>
              <w:bottom w:val="nil"/>
              <w:right w:val="nil"/>
            </w:tcBorders>
            <w:shd w:val="clear" w:color="auto" w:fill="auto"/>
            <w:vAlign w:val="bottom"/>
            <w:hideMark/>
          </w:tcPr>
          <w:p w:rsidR="00EC7890" w:rsidRPr="006236C6" w:rsidRDefault="00EC7890" w:rsidP="00EC7890">
            <w:pPr>
              <w:spacing w:after="0"/>
              <w:jc w:val="center"/>
              <w:rPr>
                <w:rFonts w:ascii="Calibri" w:hAnsi="Calibri" w:cs="Arial"/>
                <w:b/>
                <w:bCs/>
              </w:rPr>
            </w:pPr>
            <w:r w:rsidRPr="006236C6">
              <w:rPr>
                <w:rFonts w:ascii="Calibri" w:hAnsi="Calibri" w:cs="Arial"/>
                <w:b/>
                <w:bCs/>
              </w:rPr>
              <w:t>Annual Activity Plan</w:t>
            </w:r>
          </w:p>
        </w:tc>
        <w:tc>
          <w:tcPr>
            <w:tcW w:w="1278" w:type="dxa"/>
            <w:tcBorders>
              <w:top w:val="single" w:sz="4" w:space="0" w:color="auto"/>
              <w:left w:val="nil"/>
              <w:bottom w:val="nil"/>
              <w:right w:val="nil"/>
            </w:tcBorders>
            <w:shd w:val="clear" w:color="auto" w:fill="auto"/>
            <w:vAlign w:val="bottom"/>
            <w:hideMark/>
          </w:tcPr>
          <w:p w:rsidR="00EC7890" w:rsidRPr="006236C6" w:rsidRDefault="00EC7890" w:rsidP="00EC7890">
            <w:pPr>
              <w:spacing w:after="0"/>
              <w:jc w:val="center"/>
              <w:rPr>
                <w:rFonts w:ascii="Calibri" w:hAnsi="Calibri" w:cs="Arial"/>
                <w:b/>
                <w:bCs/>
              </w:rPr>
            </w:pPr>
            <w:r w:rsidRPr="006236C6">
              <w:rPr>
                <w:rFonts w:ascii="Calibri" w:hAnsi="Calibri" w:cs="Arial"/>
                <w:b/>
                <w:bCs/>
              </w:rPr>
              <w:t>YTD Activity Plan</w:t>
            </w:r>
          </w:p>
        </w:tc>
        <w:tc>
          <w:tcPr>
            <w:tcW w:w="1278" w:type="dxa"/>
            <w:tcBorders>
              <w:top w:val="single" w:sz="4" w:space="0" w:color="auto"/>
              <w:left w:val="nil"/>
              <w:bottom w:val="nil"/>
              <w:right w:val="nil"/>
            </w:tcBorders>
            <w:shd w:val="clear" w:color="auto" w:fill="auto"/>
            <w:vAlign w:val="bottom"/>
            <w:hideMark/>
          </w:tcPr>
          <w:p w:rsidR="00EC7890" w:rsidRPr="006236C6" w:rsidRDefault="00EC7890" w:rsidP="00EC7890">
            <w:pPr>
              <w:spacing w:after="0"/>
              <w:jc w:val="center"/>
              <w:rPr>
                <w:rFonts w:ascii="Calibri" w:hAnsi="Calibri" w:cs="Arial"/>
                <w:b/>
                <w:bCs/>
              </w:rPr>
            </w:pPr>
            <w:r w:rsidRPr="006236C6">
              <w:rPr>
                <w:rFonts w:ascii="Calibri" w:hAnsi="Calibri" w:cs="Arial"/>
                <w:b/>
                <w:bCs/>
              </w:rPr>
              <w:t>YTD Activity Actual</w:t>
            </w:r>
          </w:p>
        </w:tc>
        <w:tc>
          <w:tcPr>
            <w:tcW w:w="1343" w:type="dxa"/>
            <w:tcBorders>
              <w:top w:val="single" w:sz="4" w:space="0" w:color="auto"/>
              <w:left w:val="nil"/>
              <w:bottom w:val="nil"/>
              <w:right w:val="nil"/>
            </w:tcBorders>
            <w:shd w:val="clear" w:color="auto" w:fill="auto"/>
            <w:vAlign w:val="bottom"/>
            <w:hideMark/>
          </w:tcPr>
          <w:p w:rsidR="00EC7890" w:rsidRPr="006236C6" w:rsidRDefault="00EC7890" w:rsidP="00EC7890">
            <w:pPr>
              <w:spacing w:after="0"/>
              <w:jc w:val="center"/>
              <w:rPr>
                <w:rFonts w:ascii="Calibri" w:hAnsi="Calibri" w:cs="Arial"/>
                <w:b/>
                <w:bCs/>
              </w:rPr>
            </w:pPr>
            <w:r w:rsidRPr="006236C6">
              <w:rPr>
                <w:rFonts w:ascii="Calibri" w:hAnsi="Calibri" w:cs="Arial"/>
                <w:b/>
                <w:bCs/>
              </w:rPr>
              <w:t>YTD Activity variance</w:t>
            </w:r>
          </w:p>
        </w:tc>
        <w:tc>
          <w:tcPr>
            <w:tcW w:w="1384" w:type="dxa"/>
            <w:tcBorders>
              <w:top w:val="single" w:sz="4" w:space="0" w:color="auto"/>
              <w:left w:val="nil"/>
              <w:bottom w:val="nil"/>
              <w:right w:val="single" w:sz="4" w:space="0" w:color="auto"/>
            </w:tcBorders>
            <w:shd w:val="clear" w:color="auto" w:fill="auto"/>
            <w:vAlign w:val="bottom"/>
            <w:hideMark/>
          </w:tcPr>
          <w:p w:rsidR="00EC7890" w:rsidRPr="006236C6" w:rsidRDefault="00EC7890" w:rsidP="00EC7890">
            <w:pPr>
              <w:spacing w:after="0"/>
              <w:jc w:val="center"/>
              <w:rPr>
                <w:rFonts w:ascii="Calibri" w:hAnsi="Calibri" w:cs="Arial"/>
                <w:b/>
                <w:bCs/>
              </w:rPr>
            </w:pPr>
            <w:r w:rsidRPr="006236C6">
              <w:rPr>
                <w:rFonts w:ascii="Calibri" w:hAnsi="Calibri" w:cs="Arial"/>
                <w:b/>
                <w:bCs/>
              </w:rPr>
              <w:t>Volume Variance</w:t>
            </w:r>
          </w:p>
        </w:tc>
      </w:tr>
      <w:tr w:rsidR="00EC7890" w:rsidRPr="006236C6" w:rsidTr="00D10CC7">
        <w:trPr>
          <w:trHeight w:val="315"/>
        </w:trPr>
        <w:tc>
          <w:tcPr>
            <w:tcW w:w="2468"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Calibri" w:hAnsi="Calibri" w:cs="Arial"/>
              </w:rPr>
            </w:pPr>
            <w:r w:rsidRPr="006236C6">
              <w:rPr>
                <w:rFonts w:ascii="Calibri" w:hAnsi="Calibri" w:cs="Arial"/>
              </w:rPr>
              <w:t> </w:t>
            </w:r>
          </w:p>
        </w:tc>
        <w:tc>
          <w:tcPr>
            <w:tcW w:w="250"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Calibri" w:hAnsi="Calibri" w:cs="Arial"/>
              </w:rPr>
            </w:pPr>
          </w:p>
        </w:tc>
        <w:tc>
          <w:tcPr>
            <w:tcW w:w="26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Calibri" w:hAnsi="Calibri" w:cs="Arial"/>
              </w:rPr>
            </w:pPr>
          </w:p>
        </w:tc>
        <w:tc>
          <w:tcPr>
            <w:tcW w:w="1278" w:type="dxa"/>
            <w:tcBorders>
              <w:top w:val="nil"/>
              <w:left w:val="nil"/>
              <w:bottom w:val="nil"/>
              <w:right w:val="nil"/>
            </w:tcBorders>
            <w:shd w:val="clear" w:color="auto" w:fill="auto"/>
            <w:vAlign w:val="bottom"/>
            <w:hideMark/>
          </w:tcPr>
          <w:p w:rsidR="00EC7890" w:rsidRPr="006236C6" w:rsidRDefault="00EC7890" w:rsidP="00EC7890">
            <w:pPr>
              <w:spacing w:after="0"/>
              <w:jc w:val="right"/>
              <w:rPr>
                <w:rFonts w:ascii="Calibri" w:hAnsi="Calibri" w:cs="Arial"/>
                <w:b/>
                <w:bCs/>
              </w:rPr>
            </w:pPr>
          </w:p>
        </w:tc>
        <w:tc>
          <w:tcPr>
            <w:tcW w:w="1278" w:type="dxa"/>
            <w:tcBorders>
              <w:top w:val="nil"/>
              <w:left w:val="nil"/>
              <w:bottom w:val="nil"/>
              <w:right w:val="nil"/>
            </w:tcBorders>
            <w:shd w:val="clear" w:color="auto" w:fill="auto"/>
            <w:vAlign w:val="bottom"/>
            <w:hideMark/>
          </w:tcPr>
          <w:p w:rsidR="00EC7890" w:rsidRPr="006236C6" w:rsidRDefault="00EC7890" w:rsidP="00EC7890">
            <w:pPr>
              <w:spacing w:after="0"/>
              <w:jc w:val="right"/>
              <w:rPr>
                <w:rFonts w:ascii="Calibri" w:hAnsi="Calibri" w:cs="Arial"/>
                <w:b/>
                <w:bCs/>
              </w:rPr>
            </w:pPr>
          </w:p>
        </w:tc>
        <w:tc>
          <w:tcPr>
            <w:tcW w:w="1278" w:type="dxa"/>
            <w:tcBorders>
              <w:top w:val="nil"/>
              <w:left w:val="nil"/>
              <w:bottom w:val="nil"/>
              <w:right w:val="nil"/>
            </w:tcBorders>
            <w:shd w:val="clear" w:color="auto" w:fill="auto"/>
            <w:vAlign w:val="bottom"/>
            <w:hideMark/>
          </w:tcPr>
          <w:p w:rsidR="00EC7890" w:rsidRPr="006236C6" w:rsidRDefault="00EC7890" w:rsidP="00EC7890">
            <w:pPr>
              <w:spacing w:after="0"/>
              <w:jc w:val="right"/>
              <w:rPr>
                <w:rFonts w:ascii="Calibri" w:hAnsi="Calibri" w:cs="Arial"/>
                <w:b/>
                <w:bCs/>
              </w:rPr>
            </w:pPr>
          </w:p>
        </w:tc>
        <w:tc>
          <w:tcPr>
            <w:tcW w:w="1343" w:type="dxa"/>
            <w:tcBorders>
              <w:top w:val="nil"/>
              <w:left w:val="nil"/>
              <w:bottom w:val="nil"/>
              <w:right w:val="nil"/>
            </w:tcBorders>
            <w:shd w:val="clear" w:color="auto" w:fill="auto"/>
            <w:vAlign w:val="bottom"/>
            <w:hideMark/>
          </w:tcPr>
          <w:p w:rsidR="00EC7890" w:rsidRPr="006236C6" w:rsidRDefault="00EC7890" w:rsidP="00EC7890">
            <w:pPr>
              <w:spacing w:after="0"/>
              <w:jc w:val="right"/>
              <w:rPr>
                <w:rFonts w:ascii="Calibri" w:hAnsi="Calibri" w:cs="Arial"/>
                <w:b/>
                <w:bCs/>
              </w:rPr>
            </w:pPr>
          </w:p>
        </w:tc>
        <w:tc>
          <w:tcPr>
            <w:tcW w:w="1384" w:type="dxa"/>
            <w:tcBorders>
              <w:top w:val="nil"/>
              <w:left w:val="nil"/>
              <w:bottom w:val="nil"/>
              <w:right w:val="single" w:sz="4" w:space="0" w:color="auto"/>
            </w:tcBorders>
            <w:shd w:val="clear" w:color="auto" w:fill="auto"/>
            <w:vAlign w:val="bottom"/>
            <w:hideMark/>
          </w:tcPr>
          <w:p w:rsidR="00EC7890" w:rsidRPr="006236C6" w:rsidRDefault="00EC7890" w:rsidP="00EC7890">
            <w:pPr>
              <w:spacing w:after="0"/>
              <w:jc w:val="center"/>
              <w:rPr>
                <w:rFonts w:ascii="Calibri" w:hAnsi="Calibri" w:cs="Arial"/>
                <w:b/>
                <w:bCs/>
              </w:rPr>
            </w:pPr>
            <w:r w:rsidRPr="006236C6">
              <w:rPr>
                <w:rFonts w:ascii="Calibri" w:hAnsi="Calibri" w:cs="Arial"/>
                <w:b/>
                <w:bCs/>
              </w:rPr>
              <w:t>%</w:t>
            </w:r>
          </w:p>
        </w:tc>
      </w:tr>
      <w:tr w:rsidR="00EC7890" w:rsidRPr="006236C6" w:rsidTr="00D10CC7">
        <w:trPr>
          <w:trHeight w:val="135"/>
        </w:trPr>
        <w:tc>
          <w:tcPr>
            <w:tcW w:w="2468"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Calibri" w:hAnsi="Calibri" w:cs="Arial"/>
              </w:rPr>
            </w:pPr>
            <w:r w:rsidRPr="006236C6">
              <w:rPr>
                <w:rFonts w:ascii="Calibri" w:hAnsi="Calibri" w:cs="Arial"/>
              </w:rPr>
              <w:t> </w:t>
            </w:r>
          </w:p>
        </w:tc>
        <w:tc>
          <w:tcPr>
            <w:tcW w:w="250"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Calibri" w:hAnsi="Calibri" w:cs="Arial"/>
              </w:rPr>
            </w:pPr>
          </w:p>
        </w:tc>
        <w:tc>
          <w:tcPr>
            <w:tcW w:w="26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Calibri" w:hAnsi="Calibri" w:cs="Arial"/>
              </w:rPr>
            </w:pP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p>
        </w:tc>
        <w:tc>
          <w:tcPr>
            <w:tcW w:w="13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p>
        </w:tc>
        <w:tc>
          <w:tcPr>
            <w:tcW w:w="1384"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center"/>
              <w:rPr>
                <w:rFonts w:ascii="Calibri" w:hAnsi="Calibri" w:cs="Arial"/>
              </w:rPr>
            </w:pPr>
            <w:r w:rsidRPr="006236C6">
              <w:rPr>
                <w:rFonts w:ascii="Calibri" w:hAnsi="Calibri" w:cs="Arial"/>
              </w:rPr>
              <w:t> </w:t>
            </w:r>
          </w:p>
        </w:tc>
      </w:tr>
      <w:tr w:rsidR="00EC7890" w:rsidRPr="006236C6" w:rsidTr="00D10CC7">
        <w:trPr>
          <w:trHeight w:val="315"/>
        </w:trPr>
        <w:tc>
          <w:tcPr>
            <w:tcW w:w="2718" w:type="dxa"/>
            <w:gridSpan w:val="2"/>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Calibri" w:hAnsi="Calibri" w:cs="Arial"/>
                <w:b/>
                <w:bCs/>
              </w:rPr>
            </w:pPr>
            <w:r w:rsidRPr="006236C6">
              <w:rPr>
                <w:rFonts w:ascii="Calibri" w:hAnsi="Calibri" w:cs="Arial"/>
                <w:b/>
                <w:bCs/>
              </w:rPr>
              <w:t>Elective Day Cases</w:t>
            </w:r>
          </w:p>
        </w:tc>
        <w:tc>
          <w:tcPr>
            <w:tcW w:w="26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Calibri" w:hAnsi="Calibri" w:cs="Arial"/>
              </w:rPr>
            </w:pP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r w:rsidRPr="006236C6">
              <w:rPr>
                <w:rFonts w:ascii="Calibri" w:hAnsi="Calibri" w:cs="Arial"/>
              </w:rPr>
              <w:t>13,211</w:t>
            </w: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r w:rsidRPr="006236C6">
              <w:rPr>
                <w:rFonts w:ascii="Calibri" w:hAnsi="Calibri" w:cs="Arial"/>
              </w:rPr>
              <w:t>6,495</w:t>
            </w: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r w:rsidRPr="006236C6">
              <w:rPr>
                <w:rFonts w:ascii="Calibri" w:hAnsi="Calibri" w:cs="Arial"/>
              </w:rPr>
              <w:t>7,347</w:t>
            </w:r>
          </w:p>
        </w:tc>
        <w:tc>
          <w:tcPr>
            <w:tcW w:w="13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r w:rsidRPr="006236C6">
              <w:rPr>
                <w:rFonts w:ascii="Calibri" w:hAnsi="Calibri" w:cs="Arial"/>
              </w:rPr>
              <w:t>852</w:t>
            </w:r>
          </w:p>
        </w:tc>
        <w:tc>
          <w:tcPr>
            <w:tcW w:w="1384"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center"/>
              <w:rPr>
                <w:rFonts w:ascii="Calibri" w:hAnsi="Calibri" w:cs="Arial"/>
              </w:rPr>
            </w:pPr>
            <w:r w:rsidRPr="006236C6">
              <w:rPr>
                <w:rFonts w:ascii="Calibri" w:hAnsi="Calibri" w:cs="Arial"/>
              </w:rPr>
              <w:t>13.1%</w:t>
            </w:r>
          </w:p>
        </w:tc>
      </w:tr>
      <w:tr w:rsidR="00EC7890" w:rsidRPr="006236C6" w:rsidTr="00D10CC7">
        <w:trPr>
          <w:trHeight w:val="120"/>
        </w:trPr>
        <w:tc>
          <w:tcPr>
            <w:tcW w:w="2468"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Calibri" w:hAnsi="Calibri" w:cs="Arial"/>
              </w:rPr>
            </w:pPr>
            <w:r w:rsidRPr="006236C6">
              <w:rPr>
                <w:rFonts w:ascii="Calibri" w:hAnsi="Calibri" w:cs="Arial"/>
              </w:rPr>
              <w:t> </w:t>
            </w:r>
          </w:p>
        </w:tc>
        <w:tc>
          <w:tcPr>
            <w:tcW w:w="250"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Calibri" w:hAnsi="Calibri" w:cs="Arial"/>
              </w:rPr>
            </w:pPr>
          </w:p>
        </w:tc>
        <w:tc>
          <w:tcPr>
            <w:tcW w:w="26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Calibri" w:hAnsi="Calibri" w:cs="Arial"/>
              </w:rPr>
            </w:pP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p>
        </w:tc>
        <w:tc>
          <w:tcPr>
            <w:tcW w:w="13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p>
        </w:tc>
        <w:tc>
          <w:tcPr>
            <w:tcW w:w="1384"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center"/>
              <w:rPr>
                <w:rFonts w:ascii="Calibri" w:hAnsi="Calibri" w:cs="Arial"/>
              </w:rPr>
            </w:pPr>
            <w:r w:rsidRPr="006236C6">
              <w:rPr>
                <w:rFonts w:ascii="Calibri" w:hAnsi="Calibri" w:cs="Arial"/>
              </w:rPr>
              <w:t> </w:t>
            </w:r>
          </w:p>
        </w:tc>
      </w:tr>
      <w:tr w:rsidR="00EC7890" w:rsidRPr="006236C6" w:rsidTr="00D10CC7">
        <w:trPr>
          <w:trHeight w:val="315"/>
        </w:trPr>
        <w:tc>
          <w:tcPr>
            <w:tcW w:w="2718" w:type="dxa"/>
            <w:gridSpan w:val="2"/>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Calibri" w:hAnsi="Calibri" w:cs="Arial"/>
                <w:b/>
                <w:bCs/>
              </w:rPr>
            </w:pPr>
            <w:r w:rsidRPr="006236C6">
              <w:rPr>
                <w:rFonts w:ascii="Calibri" w:hAnsi="Calibri" w:cs="Arial"/>
                <w:b/>
                <w:bCs/>
              </w:rPr>
              <w:t>Elective Inpatients</w:t>
            </w:r>
          </w:p>
        </w:tc>
        <w:tc>
          <w:tcPr>
            <w:tcW w:w="26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Calibri" w:hAnsi="Calibri" w:cs="Arial"/>
              </w:rPr>
            </w:pP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r w:rsidRPr="006236C6">
              <w:rPr>
                <w:rFonts w:ascii="Calibri" w:hAnsi="Calibri" w:cs="Arial"/>
              </w:rPr>
              <w:t>1,635</w:t>
            </w: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r w:rsidRPr="006236C6">
              <w:rPr>
                <w:rFonts w:ascii="Calibri" w:hAnsi="Calibri" w:cs="Arial"/>
              </w:rPr>
              <w:t>807</w:t>
            </w: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r w:rsidRPr="006236C6">
              <w:rPr>
                <w:rFonts w:ascii="Calibri" w:hAnsi="Calibri" w:cs="Arial"/>
              </w:rPr>
              <w:t>881</w:t>
            </w:r>
          </w:p>
        </w:tc>
        <w:tc>
          <w:tcPr>
            <w:tcW w:w="13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r w:rsidRPr="006236C6">
              <w:rPr>
                <w:rFonts w:ascii="Calibri" w:hAnsi="Calibri" w:cs="Arial"/>
              </w:rPr>
              <w:t>74</w:t>
            </w:r>
          </w:p>
        </w:tc>
        <w:tc>
          <w:tcPr>
            <w:tcW w:w="1384"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center"/>
              <w:rPr>
                <w:rFonts w:ascii="Calibri" w:hAnsi="Calibri" w:cs="Arial"/>
              </w:rPr>
            </w:pPr>
            <w:r w:rsidRPr="006236C6">
              <w:rPr>
                <w:rFonts w:ascii="Calibri" w:hAnsi="Calibri" w:cs="Arial"/>
              </w:rPr>
              <w:t>9.2%</w:t>
            </w:r>
          </w:p>
        </w:tc>
      </w:tr>
      <w:tr w:rsidR="00EC7890" w:rsidRPr="006236C6" w:rsidTr="00D10CC7">
        <w:trPr>
          <w:trHeight w:val="150"/>
        </w:trPr>
        <w:tc>
          <w:tcPr>
            <w:tcW w:w="2468"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Calibri" w:hAnsi="Calibri" w:cs="Arial"/>
              </w:rPr>
            </w:pPr>
            <w:r w:rsidRPr="006236C6">
              <w:rPr>
                <w:rFonts w:ascii="Calibri" w:hAnsi="Calibri" w:cs="Arial"/>
              </w:rPr>
              <w:t> </w:t>
            </w:r>
          </w:p>
        </w:tc>
        <w:tc>
          <w:tcPr>
            <w:tcW w:w="250"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Calibri" w:hAnsi="Calibri" w:cs="Arial"/>
              </w:rPr>
            </w:pPr>
          </w:p>
        </w:tc>
        <w:tc>
          <w:tcPr>
            <w:tcW w:w="26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Calibri" w:hAnsi="Calibri" w:cs="Arial"/>
              </w:rPr>
            </w:pP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p>
        </w:tc>
        <w:tc>
          <w:tcPr>
            <w:tcW w:w="13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p>
        </w:tc>
        <w:tc>
          <w:tcPr>
            <w:tcW w:w="1384"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center"/>
              <w:rPr>
                <w:rFonts w:ascii="Calibri" w:hAnsi="Calibri" w:cs="Arial"/>
              </w:rPr>
            </w:pPr>
            <w:r w:rsidRPr="006236C6">
              <w:rPr>
                <w:rFonts w:ascii="Calibri" w:hAnsi="Calibri" w:cs="Arial"/>
              </w:rPr>
              <w:t> </w:t>
            </w:r>
          </w:p>
        </w:tc>
      </w:tr>
      <w:tr w:rsidR="00EC7890" w:rsidRPr="006236C6" w:rsidTr="00D10CC7">
        <w:trPr>
          <w:trHeight w:val="315"/>
        </w:trPr>
        <w:tc>
          <w:tcPr>
            <w:tcW w:w="2718" w:type="dxa"/>
            <w:gridSpan w:val="2"/>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Calibri" w:hAnsi="Calibri" w:cs="Arial"/>
                <w:b/>
                <w:bCs/>
              </w:rPr>
            </w:pPr>
            <w:r w:rsidRPr="006236C6">
              <w:rPr>
                <w:rFonts w:ascii="Calibri" w:hAnsi="Calibri" w:cs="Arial"/>
                <w:b/>
                <w:bCs/>
              </w:rPr>
              <w:t>Non-Elective Inpatients</w:t>
            </w:r>
          </w:p>
        </w:tc>
        <w:tc>
          <w:tcPr>
            <w:tcW w:w="26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Calibri" w:hAnsi="Calibri" w:cs="Arial"/>
              </w:rPr>
            </w:pP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r w:rsidRPr="006236C6">
              <w:rPr>
                <w:rFonts w:ascii="Calibri" w:hAnsi="Calibri" w:cs="Arial"/>
              </w:rPr>
              <w:t>15,319</w:t>
            </w: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r w:rsidRPr="006236C6">
              <w:rPr>
                <w:rFonts w:ascii="Calibri" w:hAnsi="Calibri" w:cs="Arial"/>
              </w:rPr>
              <w:t>7,607</w:t>
            </w: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r w:rsidRPr="006236C6">
              <w:rPr>
                <w:rFonts w:ascii="Calibri" w:hAnsi="Calibri" w:cs="Arial"/>
              </w:rPr>
              <w:t>8,087</w:t>
            </w:r>
          </w:p>
        </w:tc>
        <w:tc>
          <w:tcPr>
            <w:tcW w:w="13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r w:rsidRPr="006236C6">
              <w:rPr>
                <w:rFonts w:ascii="Calibri" w:hAnsi="Calibri" w:cs="Arial"/>
              </w:rPr>
              <w:t>480</w:t>
            </w:r>
          </w:p>
        </w:tc>
        <w:tc>
          <w:tcPr>
            <w:tcW w:w="1384"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center"/>
              <w:rPr>
                <w:rFonts w:ascii="Calibri" w:hAnsi="Calibri" w:cs="Arial"/>
              </w:rPr>
            </w:pPr>
            <w:r w:rsidRPr="006236C6">
              <w:rPr>
                <w:rFonts w:ascii="Calibri" w:hAnsi="Calibri" w:cs="Arial"/>
              </w:rPr>
              <w:t>6.3%</w:t>
            </w:r>
          </w:p>
        </w:tc>
      </w:tr>
      <w:tr w:rsidR="00EC7890" w:rsidRPr="006236C6" w:rsidTr="00D10CC7">
        <w:trPr>
          <w:trHeight w:val="150"/>
        </w:trPr>
        <w:tc>
          <w:tcPr>
            <w:tcW w:w="2468"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Calibri" w:hAnsi="Calibri" w:cs="Arial"/>
                <w:b/>
                <w:bCs/>
              </w:rPr>
            </w:pPr>
            <w:r w:rsidRPr="006236C6">
              <w:rPr>
                <w:rFonts w:ascii="Calibri" w:hAnsi="Calibri" w:cs="Arial"/>
                <w:b/>
                <w:bCs/>
              </w:rPr>
              <w:t> </w:t>
            </w:r>
          </w:p>
        </w:tc>
        <w:tc>
          <w:tcPr>
            <w:tcW w:w="250"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Calibri" w:hAnsi="Calibri" w:cs="Arial"/>
                <w:b/>
                <w:bCs/>
              </w:rPr>
            </w:pPr>
          </w:p>
        </w:tc>
        <w:tc>
          <w:tcPr>
            <w:tcW w:w="26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Calibri" w:hAnsi="Calibri" w:cs="Arial"/>
                <w:b/>
                <w:bCs/>
              </w:rPr>
            </w:pP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b/>
                <w:bCs/>
              </w:rPr>
            </w:pP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b/>
                <w:bCs/>
              </w:rPr>
            </w:pP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b/>
                <w:bCs/>
              </w:rPr>
            </w:pPr>
          </w:p>
        </w:tc>
        <w:tc>
          <w:tcPr>
            <w:tcW w:w="13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b/>
                <w:bCs/>
              </w:rPr>
            </w:pPr>
          </w:p>
        </w:tc>
        <w:tc>
          <w:tcPr>
            <w:tcW w:w="1384"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center"/>
              <w:rPr>
                <w:rFonts w:ascii="Calibri" w:hAnsi="Calibri" w:cs="Arial"/>
                <w:b/>
                <w:bCs/>
              </w:rPr>
            </w:pPr>
            <w:r w:rsidRPr="006236C6">
              <w:rPr>
                <w:rFonts w:ascii="Calibri" w:hAnsi="Calibri" w:cs="Arial"/>
                <w:b/>
                <w:bCs/>
              </w:rPr>
              <w:t> </w:t>
            </w:r>
          </w:p>
        </w:tc>
      </w:tr>
      <w:tr w:rsidR="00EC7890" w:rsidRPr="006236C6" w:rsidTr="00D10CC7">
        <w:trPr>
          <w:trHeight w:val="315"/>
        </w:trPr>
        <w:tc>
          <w:tcPr>
            <w:tcW w:w="2718" w:type="dxa"/>
            <w:gridSpan w:val="2"/>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Calibri" w:hAnsi="Calibri" w:cs="Arial"/>
                <w:b/>
                <w:bCs/>
              </w:rPr>
            </w:pPr>
            <w:r w:rsidRPr="006236C6">
              <w:rPr>
                <w:rFonts w:ascii="Calibri" w:hAnsi="Calibri" w:cs="Arial"/>
                <w:b/>
                <w:bCs/>
              </w:rPr>
              <w:t>First Outpatients</w:t>
            </w:r>
          </w:p>
        </w:tc>
        <w:tc>
          <w:tcPr>
            <w:tcW w:w="26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Calibri" w:hAnsi="Calibri" w:cs="Arial"/>
              </w:rPr>
            </w:pP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r w:rsidRPr="006236C6">
              <w:rPr>
                <w:rFonts w:ascii="Calibri" w:hAnsi="Calibri" w:cs="Arial"/>
              </w:rPr>
              <w:t>38,784</w:t>
            </w: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r w:rsidRPr="006236C6">
              <w:rPr>
                <w:rFonts w:ascii="Calibri" w:hAnsi="Calibri" w:cs="Arial"/>
              </w:rPr>
              <w:t>19,510</w:t>
            </w: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r w:rsidRPr="006236C6">
              <w:rPr>
                <w:rFonts w:ascii="Calibri" w:hAnsi="Calibri" w:cs="Arial"/>
              </w:rPr>
              <w:t>16,959</w:t>
            </w:r>
          </w:p>
        </w:tc>
        <w:tc>
          <w:tcPr>
            <w:tcW w:w="13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r w:rsidRPr="006236C6">
              <w:rPr>
                <w:rFonts w:ascii="Calibri" w:hAnsi="Calibri" w:cs="Arial"/>
                <w:color w:val="FF0000"/>
              </w:rPr>
              <w:t>(2,551)</w:t>
            </w:r>
          </w:p>
        </w:tc>
        <w:tc>
          <w:tcPr>
            <w:tcW w:w="1384"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center"/>
              <w:rPr>
                <w:rFonts w:ascii="Calibri" w:hAnsi="Calibri" w:cs="Arial"/>
              </w:rPr>
            </w:pPr>
            <w:r w:rsidRPr="006236C6">
              <w:rPr>
                <w:rFonts w:ascii="Calibri" w:hAnsi="Calibri" w:cs="Arial"/>
              </w:rPr>
              <w:t>-13.1%</w:t>
            </w:r>
          </w:p>
        </w:tc>
      </w:tr>
      <w:tr w:rsidR="00EC7890" w:rsidRPr="006236C6" w:rsidTr="00D10CC7">
        <w:trPr>
          <w:trHeight w:val="120"/>
        </w:trPr>
        <w:tc>
          <w:tcPr>
            <w:tcW w:w="2468"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Calibri" w:hAnsi="Calibri" w:cs="Arial"/>
              </w:rPr>
            </w:pPr>
            <w:r w:rsidRPr="006236C6">
              <w:rPr>
                <w:rFonts w:ascii="Calibri" w:hAnsi="Calibri" w:cs="Arial"/>
              </w:rPr>
              <w:t> </w:t>
            </w:r>
          </w:p>
        </w:tc>
        <w:tc>
          <w:tcPr>
            <w:tcW w:w="250"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Calibri" w:hAnsi="Calibri" w:cs="Arial"/>
              </w:rPr>
            </w:pPr>
          </w:p>
        </w:tc>
        <w:tc>
          <w:tcPr>
            <w:tcW w:w="26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Calibri" w:hAnsi="Calibri" w:cs="Arial"/>
              </w:rPr>
            </w:pP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p>
        </w:tc>
        <w:tc>
          <w:tcPr>
            <w:tcW w:w="13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p>
        </w:tc>
        <w:tc>
          <w:tcPr>
            <w:tcW w:w="1384"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center"/>
              <w:rPr>
                <w:rFonts w:ascii="Calibri" w:hAnsi="Calibri" w:cs="Arial"/>
              </w:rPr>
            </w:pPr>
            <w:r w:rsidRPr="006236C6">
              <w:rPr>
                <w:rFonts w:ascii="Calibri" w:hAnsi="Calibri" w:cs="Arial"/>
              </w:rPr>
              <w:t> </w:t>
            </w:r>
          </w:p>
        </w:tc>
      </w:tr>
      <w:tr w:rsidR="00EC7890" w:rsidRPr="006236C6" w:rsidTr="00D10CC7">
        <w:trPr>
          <w:trHeight w:val="315"/>
        </w:trPr>
        <w:tc>
          <w:tcPr>
            <w:tcW w:w="2718" w:type="dxa"/>
            <w:gridSpan w:val="2"/>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Calibri" w:hAnsi="Calibri" w:cs="Arial"/>
                <w:b/>
                <w:bCs/>
              </w:rPr>
            </w:pPr>
            <w:r w:rsidRPr="006236C6">
              <w:rPr>
                <w:rFonts w:ascii="Calibri" w:hAnsi="Calibri" w:cs="Arial"/>
                <w:b/>
                <w:bCs/>
              </w:rPr>
              <w:t>Follow Up Outpatients</w:t>
            </w:r>
          </w:p>
        </w:tc>
        <w:tc>
          <w:tcPr>
            <w:tcW w:w="26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Calibri" w:hAnsi="Calibri" w:cs="Arial"/>
              </w:rPr>
            </w:pP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r w:rsidRPr="006236C6">
              <w:rPr>
                <w:rFonts w:ascii="Calibri" w:hAnsi="Calibri" w:cs="Arial"/>
              </w:rPr>
              <w:t>59,759</w:t>
            </w: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r w:rsidRPr="006236C6">
              <w:rPr>
                <w:rFonts w:ascii="Calibri" w:hAnsi="Calibri" w:cs="Arial"/>
              </w:rPr>
              <w:t>29,681</w:t>
            </w: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r w:rsidRPr="006236C6">
              <w:rPr>
                <w:rFonts w:ascii="Calibri" w:hAnsi="Calibri" w:cs="Arial"/>
              </w:rPr>
              <w:t>27,705</w:t>
            </w:r>
          </w:p>
        </w:tc>
        <w:tc>
          <w:tcPr>
            <w:tcW w:w="13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rPr>
            </w:pPr>
            <w:r w:rsidRPr="006236C6">
              <w:rPr>
                <w:rFonts w:ascii="Calibri" w:hAnsi="Calibri" w:cs="Arial"/>
                <w:color w:val="FF0000"/>
              </w:rPr>
              <w:t>(1,976)</w:t>
            </w:r>
          </w:p>
        </w:tc>
        <w:tc>
          <w:tcPr>
            <w:tcW w:w="1384"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center"/>
              <w:rPr>
                <w:rFonts w:ascii="Calibri" w:hAnsi="Calibri" w:cs="Arial"/>
              </w:rPr>
            </w:pPr>
            <w:r w:rsidRPr="006236C6">
              <w:rPr>
                <w:rFonts w:ascii="Calibri" w:hAnsi="Calibri" w:cs="Arial"/>
              </w:rPr>
              <w:t>-6.7%</w:t>
            </w:r>
          </w:p>
        </w:tc>
      </w:tr>
      <w:tr w:rsidR="00EC7890" w:rsidRPr="006236C6" w:rsidTr="00D10CC7">
        <w:trPr>
          <w:trHeight w:val="150"/>
        </w:trPr>
        <w:tc>
          <w:tcPr>
            <w:tcW w:w="2468" w:type="dxa"/>
            <w:tcBorders>
              <w:top w:val="nil"/>
              <w:left w:val="single" w:sz="4" w:space="0" w:color="auto"/>
              <w:bottom w:val="nil"/>
              <w:right w:val="nil"/>
            </w:tcBorders>
            <w:shd w:val="clear" w:color="auto" w:fill="auto"/>
            <w:noWrap/>
            <w:vAlign w:val="bottom"/>
            <w:hideMark/>
          </w:tcPr>
          <w:p w:rsidR="00EC7890" w:rsidRPr="006236C6" w:rsidRDefault="00EC7890" w:rsidP="00EC7890">
            <w:pPr>
              <w:spacing w:after="0"/>
              <w:rPr>
                <w:rFonts w:ascii="Calibri" w:hAnsi="Calibri" w:cs="Arial"/>
                <w:b/>
                <w:bCs/>
              </w:rPr>
            </w:pPr>
            <w:r w:rsidRPr="006236C6">
              <w:rPr>
                <w:rFonts w:ascii="Calibri" w:hAnsi="Calibri" w:cs="Arial"/>
                <w:b/>
                <w:bCs/>
              </w:rPr>
              <w:t> </w:t>
            </w:r>
          </w:p>
        </w:tc>
        <w:tc>
          <w:tcPr>
            <w:tcW w:w="250"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Calibri" w:hAnsi="Calibri" w:cs="Arial"/>
                <w:b/>
                <w:bCs/>
              </w:rPr>
            </w:pPr>
          </w:p>
        </w:tc>
        <w:tc>
          <w:tcPr>
            <w:tcW w:w="266" w:type="dxa"/>
            <w:tcBorders>
              <w:top w:val="nil"/>
              <w:left w:val="nil"/>
              <w:bottom w:val="nil"/>
              <w:right w:val="nil"/>
            </w:tcBorders>
            <w:shd w:val="clear" w:color="auto" w:fill="auto"/>
            <w:noWrap/>
            <w:vAlign w:val="bottom"/>
            <w:hideMark/>
          </w:tcPr>
          <w:p w:rsidR="00EC7890" w:rsidRPr="006236C6" w:rsidRDefault="00EC7890" w:rsidP="00EC7890">
            <w:pPr>
              <w:spacing w:after="0"/>
              <w:rPr>
                <w:rFonts w:ascii="Calibri" w:hAnsi="Calibri" w:cs="Arial"/>
                <w:b/>
                <w:bCs/>
              </w:rPr>
            </w:pP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b/>
                <w:bCs/>
              </w:rPr>
            </w:pP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b/>
                <w:bCs/>
              </w:rPr>
            </w:pPr>
          </w:p>
        </w:tc>
        <w:tc>
          <w:tcPr>
            <w:tcW w:w="1278"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b/>
                <w:bCs/>
              </w:rPr>
            </w:pPr>
          </w:p>
        </w:tc>
        <w:tc>
          <w:tcPr>
            <w:tcW w:w="1343" w:type="dxa"/>
            <w:tcBorders>
              <w:top w:val="nil"/>
              <w:left w:val="nil"/>
              <w:bottom w:val="nil"/>
              <w:right w:val="nil"/>
            </w:tcBorders>
            <w:shd w:val="clear" w:color="auto" w:fill="auto"/>
            <w:noWrap/>
            <w:vAlign w:val="bottom"/>
            <w:hideMark/>
          </w:tcPr>
          <w:p w:rsidR="00EC7890" w:rsidRPr="006236C6" w:rsidRDefault="00EC7890" w:rsidP="00EC7890">
            <w:pPr>
              <w:spacing w:after="0"/>
              <w:jc w:val="right"/>
              <w:rPr>
                <w:rFonts w:ascii="Calibri" w:hAnsi="Calibri" w:cs="Arial"/>
                <w:b/>
                <w:bCs/>
              </w:rPr>
            </w:pPr>
          </w:p>
        </w:tc>
        <w:tc>
          <w:tcPr>
            <w:tcW w:w="1384" w:type="dxa"/>
            <w:tcBorders>
              <w:top w:val="nil"/>
              <w:left w:val="nil"/>
              <w:bottom w:val="nil"/>
              <w:right w:val="single" w:sz="4" w:space="0" w:color="auto"/>
            </w:tcBorders>
            <w:shd w:val="clear" w:color="auto" w:fill="auto"/>
            <w:noWrap/>
            <w:vAlign w:val="bottom"/>
            <w:hideMark/>
          </w:tcPr>
          <w:p w:rsidR="00EC7890" w:rsidRPr="006236C6" w:rsidRDefault="00EC7890" w:rsidP="00EC7890">
            <w:pPr>
              <w:spacing w:after="0"/>
              <w:jc w:val="center"/>
              <w:rPr>
                <w:rFonts w:ascii="Calibri" w:hAnsi="Calibri" w:cs="Arial"/>
                <w:b/>
                <w:bCs/>
              </w:rPr>
            </w:pPr>
            <w:r w:rsidRPr="006236C6">
              <w:rPr>
                <w:rFonts w:ascii="Calibri" w:hAnsi="Calibri" w:cs="Arial"/>
                <w:b/>
                <w:bCs/>
              </w:rPr>
              <w:t> </w:t>
            </w:r>
          </w:p>
        </w:tc>
      </w:tr>
      <w:tr w:rsidR="00EC7890" w:rsidRPr="006236C6" w:rsidTr="00D10CC7">
        <w:trPr>
          <w:trHeight w:val="315"/>
        </w:trPr>
        <w:tc>
          <w:tcPr>
            <w:tcW w:w="2718" w:type="dxa"/>
            <w:gridSpan w:val="2"/>
            <w:tcBorders>
              <w:top w:val="nil"/>
              <w:left w:val="single" w:sz="4" w:space="0" w:color="auto"/>
              <w:bottom w:val="single" w:sz="4" w:space="0" w:color="auto"/>
              <w:right w:val="nil"/>
            </w:tcBorders>
            <w:shd w:val="clear" w:color="auto" w:fill="auto"/>
            <w:noWrap/>
            <w:vAlign w:val="bottom"/>
            <w:hideMark/>
          </w:tcPr>
          <w:p w:rsidR="00EC7890" w:rsidRPr="006236C6" w:rsidRDefault="00EC7890" w:rsidP="00EC7890">
            <w:pPr>
              <w:spacing w:after="0"/>
              <w:rPr>
                <w:rFonts w:ascii="Calibri" w:hAnsi="Calibri" w:cs="Arial"/>
                <w:b/>
                <w:bCs/>
              </w:rPr>
            </w:pPr>
            <w:r w:rsidRPr="006236C6">
              <w:rPr>
                <w:rFonts w:ascii="Calibri" w:hAnsi="Calibri" w:cs="Arial"/>
                <w:b/>
                <w:bCs/>
              </w:rPr>
              <w:t>Emergency department attendances</w:t>
            </w:r>
          </w:p>
        </w:tc>
        <w:tc>
          <w:tcPr>
            <w:tcW w:w="266" w:type="dxa"/>
            <w:tcBorders>
              <w:top w:val="nil"/>
              <w:left w:val="nil"/>
              <w:bottom w:val="single" w:sz="4" w:space="0" w:color="auto"/>
              <w:right w:val="nil"/>
            </w:tcBorders>
            <w:shd w:val="clear" w:color="auto" w:fill="auto"/>
            <w:noWrap/>
            <w:vAlign w:val="bottom"/>
            <w:hideMark/>
          </w:tcPr>
          <w:p w:rsidR="00EC7890" w:rsidRPr="006236C6" w:rsidRDefault="00EC7890" w:rsidP="00EC7890">
            <w:pPr>
              <w:spacing w:after="0"/>
              <w:rPr>
                <w:rFonts w:ascii="Calibri" w:hAnsi="Calibri" w:cs="Arial"/>
              </w:rPr>
            </w:pPr>
            <w:r w:rsidRPr="006236C6">
              <w:rPr>
                <w:rFonts w:ascii="Calibri" w:hAnsi="Calibri" w:cs="Arial"/>
              </w:rPr>
              <w:t> </w:t>
            </w:r>
          </w:p>
        </w:tc>
        <w:tc>
          <w:tcPr>
            <w:tcW w:w="1278" w:type="dxa"/>
            <w:tcBorders>
              <w:top w:val="nil"/>
              <w:left w:val="nil"/>
              <w:bottom w:val="single" w:sz="4" w:space="0" w:color="auto"/>
              <w:right w:val="nil"/>
            </w:tcBorders>
            <w:shd w:val="clear" w:color="auto" w:fill="auto"/>
            <w:noWrap/>
            <w:vAlign w:val="bottom"/>
            <w:hideMark/>
          </w:tcPr>
          <w:p w:rsidR="00EC7890" w:rsidRPr="006236C6" w:rsidRDefault="00EC7890" w:rsidP="00EC7890">
            <w:pPr>
              <w:spacing w:after="0"/>
              <w:jc w:val="right"/>
              <w:rPr>
                <w:rFonts w:ascii="Calibri" w:hAnsi="Calibri" w:cs="Arial"/>
              </w:rPr>
            </w:pPr>
            <w:r w:rsidRPr="006236C6">
              <w:rPr>
                <w:rFonts w:ascii="Calibri" w:hAnsi="Calibri" w:cs="Arial"/>
              </w:rPr>
              <w:t>56,370</w:t>
            </w:r>
          </w:p>
        </w:tc>
        <w:tc>
          <w:tcPr>
            <w:tcW w:w="1278" w:type="dxa"/>
            <w:tcBorders>
              <w:top w:val="nil"/>
              <w:left w:val="nil"/>
              <w:bottom w:val="single" w:sz="4" w:space="0" w:color="auto"/>
              <w:right w:val="nil"/>
            </w:tcBorders>
            <w:shd w:val="clear" w:color="auto" w:fill="auto"/>
            <w:noWrap/>
            <w:vAlign w:val="bottom"/>
            <w:hideMark/>
          </w:tcPr>
          <w:p w:rsidR="00EC7890" w:rsidRPr="006236C6" w:rsidRDefault="00EC7890" w:rsidP="00EC7890">
            <w:pPr>
              <w:spacing w:after="0"/>
              <w:jc w:val="right"/>
              <w:rPr>
                <w:rFonts w:ascii="Calibri" w:hAnsi="Calibri" w:cs="Arial"/>
              </w:rPr>
            </w:pPr>
            <w:r w:rsidRPr="006236C6">
              <w:rPr>
                <w:rFonts w:ascii="Calibri" w:hAnsi="Calibri" w:cs="Arial"/>
              </w:rPr>
              <w:t>28,072</w:t>
            </w:r>
          </w:p>
        </w:tc>
        <w:tc>
          <w:tcPr>
            <w:tcW w:w="1278" w:type="dxa"/>
            <w:tcBorders>
              <w:top w:val="nil"/>
              <w:left w:val="nil"/>
              <w:bottom w:val="single" w:sz="4" w:space="0" w:color="auto"/>
              <w:right w:val="nil"/>
            </w:tcBorders>
            <w:shd w:val="clear" w:color="auto" w:fill="auto"/>
            <w:noWrap/>
            <w:vAlign w:val="bottom"/>
            <w:hideMark/>
          </w:tcPr>
          <w:p w:rsidR="00EC7890" w:rsidRPr="006236C6" w:rsidRDefault="00EC7890" w:rsidP="00EC7890">
            <w:pPr>
              <w:spacing w:after="0"/>
              <w:jc w:val="right"/>
              <w:rPr>
                <w:rFonts w:ascii="Calibri" w:hAnsi="Calibri" w:cs="Arial"/>
              </w:rPr>
            </w:pPr>
            <w:r w:rsidRPr="006236C6">
              <w:rPr>
                <w:rFonts w:ascii="Calibri" w:hAnsi="Calibri" w:cs="Arial"/>
              </w:rPr>
              <w:t>27,728</w:t>
            </w:r>
          </w:p>
        </w:tc>
        <w:tc>
          <w:tcPr>
            <w:tcW w:w="1343" w:type="dxa"/>
            <w:tcBorders>
              <w:top w:val="nil"/>
              <w:left w:val="nil"/>
              <w:bottom w:val="single" w:sz="4" w:space="0" w:color="auto"/>
              <w:right w:val="nil"/>
            </w:tcBorders>
            <w:shd w:val="clear" w:color="auto" w:fill="auto"/>
            <w:noWrap/>
            <w:vAlign w:val="bottom"/>
            <w:hideMark/>
          </w:tcPr>
          <w:p w:rsidR="00EC7890" w:rsidRPr="006236C6" w:rsidRDefault="00EC7890" w:rsidP="00EC7890">
            <w:pPr>
              <w:spacing w:after="0"/>
              <w:jc w:val="right"/>
              <w:rPr>
                <w:rFonts w:ascii="Calibri" w:hAnsi="Calibri" w:cs="Arial"/>
              </w:rPr>
            </w:pPr>
            <w:r w:rsidRPr="006236C6">
              <w:rPr>
                <w:rFonts w:ascii="Calibri" w:hAnsi="Calibri" w:cs="Arial"/>
                <w:color w:val="FF0000"/>
              </w:rPr>
              <w:t>(344)</w:t>
            </w:r>
          </w:p>
        </w:tc>
        <w:tc>
          <w:tcPr>
            <w:tcW w:w="1384" w:type="dxa"/>
            <w:tcBorders>
              <w:top w:val="nil"/>
              <w:left w:val="nil"/>
              <w:bottom w:val="single" w:sz="4" w:space="0" w:color="auto"/>
              <w:right w:val="single" w:sz="4" w:space="0" w:color="auto"/>
            </w:tcBorders>
            <w:shd w:val="clear" w:color="auto" w:fill="auto"/>
            <w:noWrap/>
            <w:vAlign w:val="bottom"/>
            <w:hideMark/>
          </w:tcPr>
          <w:p w:rsidR="00EC7890" w:rsidRPr="006236C6" w:rsidRDefault="00EC7890" w:rsidP="00EC7890">
            <w:pPr>
              <w:spacing w:after="0"/>
              <w:jc w:val="center"/>
              <w:rPr>
                <w:rFonts w:ascii="Calibri" w:hAnsi="Calibri" w:cs="Arial"/>
              </w:rPr>
            </w:pPr>
            <w:r w:rsidRPr="006236C6">
              <w:rPr>
                <w:rFonts w:ascii="Calibri" w:hAnsi="Calibri" w:cs="Arial"/>
              </w:rPr>
              <w:t>-1.2%</w:t>
            </w:r>
          </w:p>
        </w:tc>
      </w:tr>
    </w:tbl>
    <w:p w:rsidR="00EC7890" w:rsidRPr="00D10CC7" w:rsidRDefault="00EC7890" w:rsidP="00EC7890">
      <w:pPr>
        <w:pStyle w:val="Heading2"/>
        <w:spacing w:before="240" w:after="240"/>
        <w:rPr>
          <w:sz w:val="24"/>
          <w:szCs w:val="24"/>
        </w:rPr>
      </w:pPr>
      <w:bookmarkStart w:id="97" w:name="_Toc388626844"/>
      <w:r w:rsidRPr="00D10CC7">
        <w:rPr>
          <w:sz w:val="24"/>
          <w:szCs w:val="24"/>
        </w:rPr>
        <w:t>5.6 CQUINS</w:t>
      </w:r>
      <w:bookmarkEnd w:id="97"/>
      <w:r w:rsidRPr="00D10CC7">
        <w:rPr>
          <w:sz w:val="24"/>
          <w:szCs w:val="24"/>
        </w:rPr>
        <w:t xml:space="preserve"> </w:t>
      </w:r>
    </w:p>
    <w:p w:rsidR="00EC7890" w:rsidRPr="00D10CC7" w:rsidRDefault="00EC7890" w:rsidP="00D10CC7">
      <w:pPr>
        <w:spacing w:after="0"/>
        <w:jc w:val="both"/>
        <w:rPr>
          <w:rFonts w:cs="Arial"/>
          <w:sz w:val="24"/>
          <w:szCs w:val="24"/>
        </w:rPr>
      </w:pPr>
      <w:r w:rsidRPr="00D10CC7">
        <w:rPr>
          <w:rFonts w:cs="Arial"/>
          <w:b/>
          <w:sz w:val="24"/>
          <w:szCs w:val="24"/>
        </w:rPr>
        <w:t>5.6.1</w:t>
      </w:r>
      <w:r w:rsidRPr="00D10CC7">
        <w:rPr>
          <w:rFonts w:cs="Arial"/>
          <w:sz w:val="24"/>
          <w:szCs w:val="24"/>
        </w:rPr>
        <w:t xml:space="preserve"> The latest assessment of CQUINs is that the Trust is on target to receive all of the potential income except for the Dementia (Find Assess Investigate and Refer) scheme. This will be monitored on a monthly basis. Patient communication has been led by the Quality improvement hub and the initial assessment is that this scheme will achieve its target. </w:t>
      </w:r>
    </w:p>
    <w:p w:rsidR="00EC7890" w:rsidRPr="00D10CC7" w:rsidRDefault="00EC7890" w:rsidP="00EC7890">
      <w:pPr>
        <w:pStyle w:val="Heading2"/>
        <w:spacing w:before="240" w:after="240"/>
        <w:rPr>
          <w:sz w:val="24"/>
          <w:szCs w:val="24"/>
        </w:rPr>
      </w:pPr>
      <w:bookmarkStart w:id="98" w:name="_Toc388626845"/>
      <w:r w:rsidRPr="00D10CC7">
        <w:rPr>
          <w:sz w:val="24"/>
          <w:szCs w:val="24"/>
        </w:rPr>
        <w:t>5.7 Penalties</w:t>
      </w:r>
      <w:bookmarkStart w:id="99" w:name="_GoBack"/>
      <w:bookmarkEnd w:id="98"/>
      <w:bookmarkEnd w:id="99"/>
    </w:p>
    <w:p w:rsidR="00EC7890" w:rsidRPr="006236C6" w:rsidRDefault="00EC7890" w:rsidP="00D10CC7">
      <w:pPr>
        <w:pStyle w:val="Default"/>
        <w:jc w:val="both"/>
        <w:rPr>
          <w:rFonts w:asciiTheme="minorHAnsi" w:hAnsiTheme="minorHAnsi"/>
        </w:rPr>
      </w:pPr>
      <w:r w:rsidRPr="006236C6">
        <w:rPr>
          <w:rFonts w:asciiTheme="minorHAnsi" w:hAnsiTheme="minorHAnsi" w:cs="Arial"/>
          <w:b/>
        </w:rPr>
        <w:t>5.7.1</w:t>
      </w:r>
      <w:r w:rsidRPr="006236C6">
        <w:rPr>
          <w:rFonts w:asciiTheme="minorHAnsi" w:hAnsiTheme="minorHAnsi" w:cs="Arial"/>
        </w:rPr>
        <w:t xml:space="preserve"> </w:t>
      </w:r>
      <w:r w:rsidRPr="006236C6">
        <w:rPr>
          <w:rFonts w:asciiTheme="minorHAnsi" w:hAnsiTheme="minorHAnsi"/>
        </w:rPr>
        <w:t xml:space="preserve">A provision of £36k for penalties for the period ending 30th September 2014 has been included for Referral to Treatment, Cancer access, waits and Ambulance handovers. The detailed assessment is shown in the table below. This will be updated as the validation of performance in these areas is finalised.   </w:t>
      </w:r>
      <w:r>
        <w:rPr>
          <w:rFonts w:asciiTheme="minorHAnsi" w:hAnsiTheme="minorHAnsi"/>
        </w:rPr>
        <w:t xml:space="preserve">It is </w:t>
      </w:r>
      <w:r w:rsidRPr="006236C6">
        <w:rPr>
          <w:rFonts w:asciiTheme="minorHAnsi" w:hAnsiTheme="minorHAnsi"/>
        </w:rPr>
        <w:t xml:space="preserve">expected </w:t>
      </w:r>
      <w:r>
        <w:rPr>
          <w:rFonts w:asciiTheme="minorHAnsi" w:hAnsiTheme="minorHAnsi"/>
        </w:rPr>
        <w:t xml:space="preserve">that there will be no </w:t>
      </w:r>
      <w:r w:rsidRPr="006236C6">
        <w:rPr>
          <w:rFonts w:asciiTheme="minorHAnsi" w:hAnsiTheme="minorHAnsi"/>
        </w:rPr>
        <w:t xml:space="preserve">RTT penalties for July, August and September. </w:t>
      </w:r>
    </w:p>
    <w:p w:rsidR="00EC7890" w:rsidRPr="006236C6" w:rsidRDefault="00EC7890" w:rsidP="00D10CC7">
      <w:pPr>
        <w:pStyle w:val="Default"/>
        <w:jc w:val="both"/>
        <w:rPr>
          <w:rFonts w:asciiTheme="minorHAnsi" w:hAnsiTheme="minorHAnsi"/>
        </w:rPr>
      </w:pPr>
    </w:p>
    <w:p w:rsidR="00EC7890" w:rsidRPr="006236C6" w:rsidRDefault="00EC7890" w:rsidP="00D10CC7">
      <w:pPr>
        <w:pStyle w:val="Default"/>
        <w:jc w:val="both"/>
        <w:rPr>
          <w:rFonts w:asciiTheme="minorHAnsi" w:hAnsiTheme="minorHAnsi"/>
        </w:rPr>
      </w:pPr>
      <w:r w:rsidRPr="006236C6">
        <w:rPr>
          <w:rFonts w:asciiTheme="minorHAnsi" w:hAnsiTheme="minorHAnsi"/>
        </w:rPr>
        <w:t xml:space="preserve">It has been assumed </w:t>
      </w:r>
      <w:r>
        <w:rPr>
          <w:rFonts w:asciiTheme="minorHAnsi" w:hAnsiTheme="minorHAnsi"/>
        </w:rPr>
        <w:t xml:space="preserve">in line with the CCG contract </w:t>
      </w:r>
      <w:r w:rsidRPr="006236C6">
        <w:rPr>
          <w:rFonts w:asciiTheme="minorHAnsi" w:hAnsiTheme="minorHAnsi"/>
        </w:rPr>
        <w:t>that the Emergency Department 4 &amp; 12 hour penalty will be reinvested to resolve the underlying performance issue</w:t>
      </w:r>
      <w:r>
        <w:rPr>
          <w:rFonts w:asciiTheme="minorHAnsi" w:hAnsiTheme="minorHAnsi"/>
        </w:rPr>
        <w:t>s</w:t>
      </w:r>
      <w:r w:rsidRPr="006236C6">
        <w:rPr>
          <w:rFonts w:asciiTheme="minorHAnsi" w:hAnsiTheme="minorHAnsi"/>
        </w:rPr>
        <w:t>.</w:t>
      </w:r>
      <w:r w:rsidR="00D10CC7" w:rsidRPr="006236C6">
        <w:rPr>
          <w:rFonts w:asciiTheme="minorHAnsi" w:hAnsiTheme="minorHAnsi"/>
        </w:rPr>
        <w:t xml:space="preserve"> </w:t>
      </w:r>
    </w:p>
    <w:p w:rsidR="00EC7890" w:rsidRPr="006236C6" w:rsidRDefault="00EC7890" w:rsidP="00EC7890">
      <w:pPr>
        <w:pStyle w:val="Default"/>
        <w:rPr>
          <w:rFonts w:asciiTheme="minorHAnsi" w:hAnsiTheme="minorHAnsi"/>
        </w:rPr>
        <w:sectPr w:rsidR="00EC7890" w:rsidRPr="006236C6" w:rsidSect="00EC7890">
          <w:pgSz w:w="11900" w:h="16840"/>
          <w:pgMar w:top="680" w:right="1410" w:bottom="640" w:left="1300" w:header="720" w:footer="115" w:gutter="0"/>
          <w:cols w:space="720"/>
          <w:noEndnote/>
        </w:sectPr>
      </w:pPr>
    </w:p>
    <w:p w:rsidR="00EC7890" w:rsidRPr="006236C6" w:rsidRDefault="00EC7890" w:rsidP="00EC7890">
      <w:pPr>
        <w:rPr>
          <w:noProof/>
        </w:rPr>
      </w:pPr>
      <w:r w:rsidRPr="006236C6">
        <w:rPr>
          <w:noProof/>
        </w:rPr>
        <w:lastRenderedPageBreak/>
        <w:drawing>
          <wp:inline distT="0" distB="0" distL="0" distR="0">
            <wp:extent cx="9779000" cy="5200768"/>
            <wp:effectExtent l="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79000" cy="5200768"/>
                    </a:xfrm>
                    <a:prstGeom prst="rect">
                      <a:avLst/>
                    </a:prstGeom>
                    <a:noFill/>
                    <a:ln>
                      <a:noFill/>
                    </a:ln>
                  </pic:spPr>
                </pic:pic>
              </a:graphicData>
            </a:graphic>
          </wp:inline>
        </w:drawing>
      </w:r>
    </w:p>
    <w:p w:rsidR="00EC7890" w:rsidRPr="006236C6" w:rsidRDefault="00EC7890" w:rsidP="00EC7890">
      <w:r w:rsidRPr="006236C6">
        <w:br w:type="page"/>
      </w:r>
    </w:p>
    <w:p w:rsidR="00EC7890" w:rsidRPr="006236C6" w:rsidRDefault="00EC7890" w:rsidP="00EC7890">
      <w:r w:rsidRPr="006236C6">
        <w:rPr>
          <w:b/>
        </w:rPr>
        <w:lastRenderedPageBreak/>
        <w:t>Referral to Treatment penalty by specialty</w:t>
      </w:r>
    </w:p>
    <w:p w:rsidR="00EC7890" w:rsidRPr="006236C6" w:rsidRDefault="00EC7890" w:rsidP="00EC7890">
      <w:pPr>
        <w:pStyle w:val="NoSpacing"/>
      </w:pPr>
    </w:p>
    <w:p w:rsidR="00EC7890" w:rsidRPr="006236C6" w:rsidRDefault="00EC7890" w:rsidP="00EC7890">
      <w:pPr>
        <w:pStyle w:val="NoSpacing"/>
        <w:sectPr w:rsidR="00EC7890" w:rsidRPr="006236C6" w:rsidSect="00EC7890">
          <w:pgSz w:w="16840" w:h="11900" w:orient="landscape"/>
          <w:pgMar w:top="720" w:right="720" w:bottom="720" w:left="720" w:header="720" w:footer="115" w:gutter="0"/>
          <w:cols w:space="720"/>
          <w:noEndnote/>
          <w:docGrid w:linePitch="326"/>
        </w:sectPr>
      </w:pPr>
      <w:r w:rsidRPr="006236C6">
        <w:rPr>
          <w:noProof/>
        </w:rPr>
        <w:drawing>
          <wp:inline distT="0" distB="0" distL="0" distR="0">
            <wp:extent cx="9779000" cy="5053853"/>
            <wp:effectExtent l="0" t="0" r="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79000" cy="5053853"/>
                    </a:xfrm>
                    <a:prstGeom prst="rect">
                      <a:avLst/>
                    </a:prstGeom>
                    <a:noFill/>
                    <a:ln>
                      <a:noFill/>
                    </a:ln>
                  </pic:spPr>
                </pic:pic>
              </a:graphicData>
            </a:graphic>
          </wp:inline>
        </w:drawing>
      </w:r>
    </w:p>
    <w:p w:rsidR="00EC7890" w:rsidRPr="006236C6" w:rsidRDefault="00EC7890" w:rsidP="00EC7890">
      <w:pPr>
        <w:pStyle w:val="Default"/>
        <w:rPr>
          <w:rFonts w:asciiTheme="minorHAnsi" w:hAnsiTheme="minorHAnsi"/>
        </w:rPr>
      </w:pPr>
    </w:p>
    <w:p w:rsidR="00EC7890" w:rsidRPr="00D10CC7" w:rsidRDefault="00EC7890" w:rsidP="00EC7890">
      <w:pPr>
        <w:pStyle w:val="Heading2"/>
        <w:spacing w:before="240" w:after="240"/>
        <w:rPr>
          <w:sz w:val="24"/>
          <w:szCs w:val="24"/>
        </w:rPr>
      </w:pPr>
      <w:bookmarkStart w:id="100" w:name="_Toc388626846"/>
      <w:bookmarkStart w:id="101" w:name="_Toc318461795"/>
      <w:bookmarkStart w:id="102" w:name="_Toc326332022"/>
      <w:bookmarkStart w:id="103" w:name="_Toc339280269"/>
      <w:bookmarkStart w:id="104" w:name="_Toc313625320"/>
      <w:r w:rsidRPr="00D10CC7">
        <w:rPr>
          <w:sz w:val="24"/>
          <w:szCs w:val="24"/>
        </w:rPr>
        <w:t>5.8 Statement of Financial Position</w:t>
      </w:r>
      <w:bookmarkEnd w:id="100"/>
      <w:r w:rsidRPr="00D10CC7">
        <w:rPr>
          <w:sz w:val="24"/>
          <w:szCs w:val="24"/>
        </w:rPr>
        <w:t xml:space="preserve"> </w:t>
      </w:r>
      <w:bookmarkEnd w:id="101"/>
      <w:bookmarkEnd w:id="102"/>
      <w:bookmarkEnd w:id="103"/>
      <w:bookmarkEnd w:id="104"/>
    </w:p>
    <w:p w:rsidR="00EC7890" w:rsidRPr="00D10CC7" w:rsidRDefault="00EC7890" w:rsidP="00D10CC7">
      <w:pPr>
        <w:spacing w:before="240" w:after="240"/>
        <w:jc w:val="both"/>
        <w:rPr>
          <w:rFonts w:cs="Arial"/>
          <w:b/>
          <w:sz w:val="24"/>
          <w:szCs w:val="24"/>
        </w:rPr>
      </w:pPr>
      <w:r w:rsidRPr="00D10CC7">
        <w:rPr>
          <w:rFonts w:cs="Arial"/>
          <w:b/>
          <w:bCs/>
          <w:sz w:val="24"/>
          <w:szCs w:val="24"/>
        </w:rPr>
        <w:t xml:space="preserve">5.8.1 </w:t>
      </w:r>
      <w:r w:rsidRPr="00D10CC7">
        <w:rPr>
          <w:rFonts w:cs="Arial"/>
          <w:bCs/>
          <w:sz w:val="24"/>
          <w:szCs w:val="24"/>
        </w:rPr>
        <w:t xml:space="preserve">The Trust’s </w:t>
      </w:r>
      <w:r w:rsidRPr="00D10CC7">
        <w:rPr>
          <w:rFonts w:cs="Arial"/>
          <w:sz w:val="24"/>
          <w:szCs w:val="24"/>
        </w:rPr>
        <w:t>main accounting statements are shown in the appendices of this report and see Appendix B for the Statement of Financial Position as at 30th September 2014.</w:t>
      </w:r>
    </w:p>
    <w:p w:rsidR="00EC7890" w:rsidRPr="00D10CC7" w:rsidRDefault="00EC7890" w:rsidP="00EC7890">
      <w:pPr>
        <w:pStyle w:val="Heading4"/>
        <w:spacing w:before="240" w:after="240"/>
        <w:rPr>
          <w:i w:val="0"/>
        </w:rPr>
      </w:pPr>
      <w:r w:rsidRPr="00D10CC7">
        <w:rPr>
          <w:i w:val="0"/>
        </w:rPr>
        <w:t>Cash</w:t>
      </w:r>
    </w:p>
    <w:p w:rsidR="00EC7890" w:rsidRPr="00D10CC7" w:rsidRDefault="00EC7890" w:rsidP="00EC7890">
      <w:pPr>
        <w:spacing w:before="240" w:after="240"/>
        <w:jc w:val="both"/>
        <w:rPr>
          <w:rFonts w:cs="Arial"/>
          <w:sz w:val="24"/>
          <w:szCs w:val="24"/>
        </w:rPr>
      </w:pPr>
      <w:r w:rsidRPr="00D10CC7">
        <w:rPr>
          <w:rFonts w:cs="Arial"/>
          <w:b/>
          <w:bCs/>
          <w:sz w:val="24"/>
          <w:szCs w:val="24"/>
        </w:rPr>
        <w:t xml:space="preserve">5.8.2 </w:t>
      </w:r>
      <w:r w:rsidRPr="00D10CC7">
        <w:rPr>
          <w:rFonts w:cs="Arial"/>
          <w:sz w:val="24"/>
          <w:szCs w:val="24"/>
        </w:rPr>
        <w:t>The External Financing Limit will be achieved by in year management of cash and working balances. The cash balance of £2,617k, as at 30th September, is £1,111k higher than the planned position of £1,151k.</w:t>
      </w:r>
    </w:p>
    <w:p w:rsidR="00EC7890" w:rsidRPr="00D10CC7" w:rsidRDefault="00EC7890" w:rsidP="00EC7890">
      <w:pPr>
        <w:spacing w:before="240" w:after="240"/>
        <w:jc w:val="both"/>
        <w:rPr>
          <w:rFonts w:cs="Arial"/>
          <w:sz w:val="24"/>
          <w:szCs w:val="24"/>
        </w:rPr>
      </w:pPr>
      <w:r w:rsidRPr="00D10CC7">
        <w:rPr>
          <w:rFonts w:cs="Arial"/>
          <w:sz w:val="24"/>
          <w:szCs w:val="24"/>
        </w:rPr>
        <w:t>The difference between actual cash balance held £2,617k and the reported £2,143k on the Statement of position relates to un-presented cheques and cash in transit as at 30th September 2014.</w:t>
      </w:r>
    </w:p>
    <w:p w:rsidR="00EC7890" w:rsidRPr="00D10CC7" w:rsidRDefault="00EC7890" w:rsidP="00EC7890">
      <w:pPr>
        <w:spacing w:before="240" w:after="240"/>
        <w:jc w:val="both"/>
        <w:rPr>
          <w:rFonts w:cs="Arial"/>
          <w:sz w:val="24"/>
          <w:szCs w:val="24"/>
        </w:rPr>
      </w:pPr>
      <w:r w:rsidRPr="00D10CC7">
        <w:rPr>
          <w:rFonts w:cs="Arial"/>
          <w:sz w:val="24"/>
          <w:szCs w:val="24"/>
        </w:rPr>
        <w:t>The forecast balance as at 31</w:t>
      </w:r>
      <w:r w:rsidRPr="00D10CC7">
        <w:rPr>
          <w:rFonts w:cs="Arial"/>
          <w:sz w:val="24"/>
          <w:szCs w:val="24"/>
          <w:vertAlign w:val="superscript"/>
        </w:rPr>
        <w:t>st</w:t>
      </w:r>
      <w:r w:rsidRPr="00D10CC7">
        <w:rPr>
          <w:rFonts w:cs="Arial"/>
          <w:sz w:val="24"/>
          <w:szCs w:val="24"/>
        </w:rPr>
        <w:t xml:space="preserve"> March 2015 is £532k which will ensure that the Trust meets its requirement to remain within its External Financing Limit. </w:t>
      </w:r>
    </w:p>
    <w:p w:rsidR="00EC7890" w:rsidRPr="00D10CC7" w:rsidRDefault="00EC7890" w:rsidP="00EC7890">
      <w:pPr>
        <w:pStyle w:val="Heading4"/>
        <w:spacing w:before="240" w:after="240"/>
        <w:rPr>
          <w:i w:val="0"/>
        </w:rPr>
      </w:pPr>
      <w:r w:rsidRPr="00D10CC7">
        <w:rPr>
          <w:i w:val="0"/>
        </w:rPr>
        <w:t>Debtors</w:t>
      </w:r>
    </w:p>
    <w:p w:rsidR="00EC7890" w:rsidRPr="00D10CC7" w:rsidRDefault="00EC7890" w:rsidP="00D10CC7">
      <w:pPr>
        <w:spacing w:before="240" w:after="240"/>
        <w:jc w:val="both"/>
        <w:rPr>
          <w:rFonts w:cs="Arial"/>
          <w:sz w:val="24"/>
          <w:szCs w:val="24"/>
        </w:rPr>
      </w:pPr>
      <w:r w:rsidRPr="00D10CC7">
        <w:rPr>
          <w:rFonts w:cs="Arial"/>
          <w:b/>
          <w:bCs/>
          <w:sz w:val="24"/>
          <w:szCs w:val="24"/>
        </w:rPr>
        <w:t>5.8.3</w:t>
      </w:r>
      <w:r w:rsidRPr="00D10CC7">
        <w:rPr>
          <w:rFonts w:cs="Arial"/>
          <w:sz w:val="24"/>
          <w:szCs w:val="24"/>
        </w:rPr>
        <w:t xml:space="preserve">. The figures from the debtors system represent invoices raised for which cash has yet to be received. The total outstanding debt as at 30th September is £1,780k, which is divided between NHS £1,362k, Private Patients £105k and non NHS £312k. Debts over 250 days represent £73k which is 4.1% of the total debt. </w:t>
      </w:r>
    </w:p>
    <w:p w:rsidR="00EC7890" w:rsidRPr="00D10CC7" w:rsidRDefault="00EC7890" w:rsidP="00EC7890">
      <w:pPr>
        <w:pStyle w:val="Heading4"/>
        <w:spacing w:before="240" w:after="240"/>
        <w:rPr>
          <w:i w:val="0"/>
        </w:rPr>
      </w:pPr>
      <w:r w:rsidRPr="00D10CC7">
        <w:rPr>
          <w:i w:val="0"/>
        </w:rPr>
        <w:t>Creditors</w:t>
      </w:r>
    </w:p>
    <w:p w:rsidR="00EC7890" w:rsidRPr="00D10CC7" w:rsidRDefault="00EC7890" w:rsidP="00D10CC7">
      <w:pPr>
        <w:spacing w:before="240" w:after="240"/>
        <w:jc w:val="both"/>
        <w:rPr>
          <w:rFonts w:cs="Arial"/>
          <w:bCs/>
          <w:sz w:val="24"/>
          <w:szCs w:val="24"/>
        </w:rPr>
      </w:pPr>
      <w:r w:rsidRPr="00D10CC7">
        <w:rPr>
          <w:rFonts w:cs="Arial"/>
          <w:b/>
          <w:bCs/>
          <w:sz w:val="24"/>
          <w:szCs w:val="24"/>
        </w:rPr>
        <w:t xml:space="preserve">5.8.4 </w:t>
      </w:r>
      <w:r w:rsidRPr="00D10CC7">
        <w:rPr>
          <w:rFonts w:cs="Arial"/>
          <w:bCs/>
          <w:sz w:val="24"/>
          <w:szCs w:val="24"/>
        </w:rPr>
        <w:t>The measure for the better payment practice code is to pay all NHS and non-NHS trade creditors within 30 calendar days of receipt of goods or a valid invoice (whichever is later), unless other payment terms have been agreed. The compliance is for at least 95% of invoices to be paid (by the bank automated credit system or date and issue of a cheque) within thirty days, or within agreed contract terms. For September the performance against the target is:</w:t>
      </w:r>
    </w:p>
    <w:p w:rsidR="00EC7890" w:rsidRPr="006236C6" w:rsidRDefault="00EC7890" w:rsidP="00EC7890">
      <w:pPr>
        <w:pStyle w:val="Default"/>
      </w:pPr>
      <w:r w:rsidRPr="006236C6">
        <w:rPr>
          <w:noProof/>
        </w:rPr>
        <w:lastRenderedPageBreak/>
        <w:drawing>
          <wp:inline distT="0" distB="0" distL="0" distR="0">
            <wp:extent cx="1981200" cy="962025"/>
            <wp:effectExtent l="1905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1981200" cy="962025"/>
                    </a:xfrm>
                    <a:prstGeom prst="rect">
                      <a:avLst/>
                    </a:prstGeom>
                    <a:noFill/>
                    <a:ln w="9525">
                      <a:noFill/>
                      <a:miter lim="800000"/>
                      <a:headEnd/>
                      <a:tailEnd/>
                    </a:ln>
                  </pic:spPr>
                </pic:pic>
              </a:graphicData>
            </a:graphic>
          </wp:inline>
        </w:drawing>
      </w:r>
    </w:p>
    <w:p w:rsidR="00EC7890" w:rsidRPr="006236C6" w:rsidRDefault="00EC7890" w:rsidP="00EC7890">
      <w:pPr>
        <w:pStyle w:val="Default"/>
      </w:pPr>
    </w:p>
    <w:p w:rsidR="00EC7890" w:rsidRPr="00377569" w:rsidRDefault="00EC7890" w:rsidP="00EC7890">
      <w:pPr>
        <w:pStyle w:val="Heading2"/>
        <w:spacing w:before="240" w:after="240"/>
        <w:rPr>
          <w:sz w:val="24"/>
          <w:szCs w:val="24"/>
        </w:rPr>
      </w:pPr>
      <w:bookmarkStart w:id="105" w:name="_Toc318461796"/>
      <w:bookmarkStart w:id="106" w:name="_Toc326332023"/>
      <w:bookmarkStart w:id="107" w:name="_Toc339280270"/>
      <w:bookmarkStart w:id="108" w:name="_Toc388626847"/>
      <w:bookmarkStart w:id="109" w:name="_Toc313625323"/>
      <w:r w:rsidRPr="00377569">
        <w:rPr>
          <w:sz w:val="24"/>
          <w:szCs w:val="24"/>
        </w:rPr>
        <w:t>5.9 Capital Programme and Performance against Capital Resource Limit</w:t>
      </w:r>
      <w:bookmarkEnd w:id="105"/>
      <w:bookmarkEnd w:id="106"/>
      <w:bookmarkEnd w:id="107"/>
      <w:bookmarkEnd w:id="108"/>
      <w:r w:rsidRPr="00377569">
        <w:rPr>
          <w:sz w:val="24"/>
          <w:szCs w:val="24"/>
        </w:rPr>
        <w:t xml:space="preserve"> </w:t>
      </w:r>
      <w:bookmarkEnd w:id="109"/>
    </w:p>
    <w:p w:rsidR="00EC7890" w:rsidRPr="00377569" w:rsidRDefault="00EC7890" w:rsidP="00EC7890">
      <w:pPr>
        <w:spacing w:before="240" w:after="240"/>
        <w:jc w:val="both"/>
        <w:rPr>
          <w:rFonts w:cs="Arial"/>
          <w:sz w:val="24"/>
          <w:szCs w:val="24"/>
        </w:rPr>
      </w:pPr>
      <w:r w:rsidRPr="00377569">
        <w:rPr>
          <w:rFonts w:cs="Arial"/>
          <w:b/>
          <w:bCs/>
          <w:sz w:val="24"/>
          <w:szCs w:val="24"/>
        </w:rPr>
        <w:t xml:space="preserve">5.9.1 </w:t>
      </w:r>
      <w:r w:rsidRPr="00377569">
        <w:rPr>
          <w:rFonts w:cs="Arial"/>
          <w:b/>
          <w:bCs/>
          <w:sz w:val="24"/>
          <w:szCs w:val="24"/>
        </w:rPr>
        <w:tab/>
      </w:r>
      <w:r w:rsidRPr="00377569">
        <w:rPr>
          <w:rFonts w:cs="Arial"/>
          <w:sz w:val="24"/>
          <w:szCs w:val="24"/>
        </w:rPr>
        <w:t xml:space="preserve">The Trust will operate within its Capital Resource Limit and detailed capital programme management will enable the capital expenditure to be delivered within resources and the Trust’s cash plans for the year. </w:t>
      </w:r>
    </w:p>
    <w:p w:rsidR="00EC7890" w:rsidRPr="00377569" w:rsidRDefault="00EC7890" w:rsidP="00EC7890">
      <w:pPr>
        <w:spacing w:before="240" w:after="240"/>
        <w:jc w:val="both"/>
        <w:rPr>
          <w:rFonts w:cs="Arial"/>
          <w:sz w:val="24"/>
          <w:szCs w:val="24"/>
        </w:rPr>
      </w:pPr>
      <w:r w:rsidRPr="00377569">
        <w:rPr>
          <w:rFonts w:cs="Arial"/>
          <w:b/>
          <w:sz w:val="24"/>
          <w:szCs w:val="24"/>
        </w:rPr>
        <w:t>5.9.2</w:t>
      </w:r>
      <w:r w:rsidRPr="00377569">
        <w:rPr>
          <w:rFonts w:cs="Arial"/>
          <w:b/>
          <w:sz w:val="24"/>
          <w:szCs w:val="24"/>
        </w:rPr>
        <w:tab/>
      </w:r>
      <w:r w:rsidRPr="00377569">
        <w:rPr>
          <w:rFonts w:cs="Arial"/>
          <w:sz w:val="24"/>
          <w:szCs w:val="24"/>
        </w:rPr>
        <w:t>As at 30th September 2014 there has been £148k capital expenditure.</w:t>
      </w:r>
    </w:p>
    <w:p w:rsidR="00EC7890" w:rsidRPr="00377569" w:rsidRDefault="00EC7890" w:rsidP="00EC7890">
      <w:pPr>
        <w:spacing w:before="240" w:after="240"/>
        <w:jc w:val="both"/>
        <w:rPr>
          <w:rFonts w:cs="Arial"/>
          <w:sz w:val="24"/>
          <w:szCs w:val="24"/>
        </w:rPr>
      </w:pPr>
      <w:r w:rsidRPr="00377569">
        <w:rPr>
          <w:rFonts w:cs="Arial"/>
          <w:b/>
          <w:sz w:val="24"/>
          <w:szCs w:val="24"/>
        </w:rPr>
        <w:t>5.9.3</w:t>
      </w:r>
      <w:r w:rsidRPr="00377569">
        <w:rPr>
          <w:rFonts w:cs="Arial"/>
          <w:b/>
          <w:sz w:val="24"/>
          <w:szCs w:val="24"/>
        </w:rPr>
        <w:tab/>
      </w:r>
      <w:r w:rsidRPr="00377569">
        <w:rPr>
          <w:rFonts w:cs="Arial"/>
          <w:sz w:val="24"/>
          <w:szCs w:val="24"/>
        </w:rPr>
        <w:t>The Capital Planning Committee continues to monitor the capital priorities and projects and the detail is included on Appendix D.</w:t>
      </w:r>
    </w:p>
    <w:p w:rsidR="00EC7890" w:rsidRPr="00377569" w:rsidRDefault="00EC7890" w:rsidP="00EC7890">
      <w:pPr>
        <w:pStyle w:val="Heading2"/>
        <w:spacing w:before="240" w:after="240"/>
        <w:rPr>
          <w:sz w:val="24"/>
          <w:szCs w:val="24"/>
        </w:rPr>
      </w:pPr>
      <w:bookmarkStart w:id="110" w:name="_Toc318461797"/>
      <w:bookmarkStart w:id="111" w:name="_Toc326332024"/>
      <w:bookmarkStart w:id="112" w:name="_Toc339280271"/>
      <w:bookmarkStart w:id="113" w:name="_Toc388626848"/>
      <w:bookmarkStart w:id="114" w:name="_Toc313625328"/>
      <w:r w:rsidRPr="00377569">
        <w:rPr>
          <w:sz w:val="24"/>
          <w:szCs w:val="24"/>
        </w:rPr>
        <w:t>5.10 Foundation Trust Indicative Risk Rating</w:t>
      </w:r>
      <w:bookmarkEnd w:id="110"/>
      <w:bookmarkEnd w:id="111"/>
      <w:bookmarkEnd w:id="112"/>
      <w:bookmarkEnd w:id="113"/>
      <w:r w:rsidRPr="00377569">
        <w:rPr>
          <w:sz w:val="24"/>
          <w:szCs w:val="24"/>
        </w:rPr>
        <w:t xml:space="preserve">  </w:t>
      </w:r>
      <w:bookmarkEnd w:id="114"/>
    </w:p>
    <w:p w:rsidR="00EC7890" w:rsidRPr="00377569" w:rsidRDefault="00EC7890" w:rsidP="00377569">
      <w:pPr>
        <w:spacing w:before="240" w:after="240"/>
        <w:jc w:val="both"/>
        <w:rPr>
          <w:rFonts w:cs="Arial"/>
          <w:sz w:val="24"/>
          <w:szCs w:val="24"/>
        </w:rPr>
      </w:pPr>
      <w:r w:rsidRPr="00377569">
        <w:rPr>
          <w:rFonts w:cs="Arial"/>
          <w:b/>
          <w:bCs/>
          <w:sz w:val="24"/>
          <w:szCs w:val="24"/>
        </w:rPr>
        <w:t xml:space="preserve">5.10.1 </w:t>
      </w:r>
      <w:r w:rsidRPr="00377569">
        <w:rPr>
          <w:rFonts w:cs="Arial"/>
          <w:sz w:val="24"/>
          <w:szCs w:val="24"/>
        </w:rPr>
        <w:t>The Financial risk rating for the Trust, if operating as a Foundation Trust, as at the 30th September 2014 is a level 1, and the liquidity ratio is 7.9 days which also achieves a level 1.</w:t>
      </w:r>
    </w:p>
    <w:p w:rsidR="00EC7890" w:rsidRPr="00377569" w:rsidRDefault="00EC7890" w:rsidP="00377569">
      <w:pPr>
        <w:spacing w:before="240" w:after="240"/>
        <w:jc w:val="both"/>
        <w:rPr>
          <w:rFonts w:cs="Arial"/>
          <w:sz w:val="24"/>
          <w:szCs w:val="24"/>
        </w:rPr>
      </w:pPr>
      <w:r w:rsidRPr="00377569">
        <w:rPr>
          <w:rFonts w:cs="Arial"/>
          <w:b/>
          <w:bCs/>
          <w:sz w:val="24"/>
          <w:szCs w:val="24"/>
        </w:rPr>
        <w:t xml:space="preserve">5.10.2 </w:t>
      </w:r>
      <w:r w:rsidRPr="00377569">
        <w:rPr>
          <w:rFonts w:cs="Arial"/>
          <w:bCs/>
          <w:sz w:val="24"/>
          <w:szCs w:val="24"/>
        </w:rPr>
        <w:t>T</w:t>
      </w:r>
      <w:r w:rsidRPr="00377569">
        <w:rPr>
          <w:rFonts w:cs="Arial"/>
          <w:sz w:val="24"/>
          <w:szCs w:val="24"/>
        </w:rPr>
        <w:t>he Continuity of Services risk metrics, if operating as a Foundation Trust, as at the 30th September 2014 is a level 1.</w:t>
      </w:r>
    </w:p>
    <w:p w:rsidR="00EC7890" w:rsidRPr="00377569" w:rsidRDefault="00EC7890" w:rsidP="00377569">
      <w:pPr>
        <w:pStyle w:val="Default"/>
        <w:spacing w:before="240" w:after="240"/>
        <w:jc w:val="both"/>
        <w:rPr>
          <w:noProof/>
        </w:rPr>
      </w:pPr>
      <w:r w:rsidRPr="00377569">
        <w:rPr>
          <w:rFonts w:asciiTheme="minorHAnsi" w:hAnsiTheme="minorHAnsi" w:cs="Arial"/>
          <w:b/>
          <w:bCs/>
          <w:color w:val="auto"/>
        </w:rPr>
        <w:t>5.10.3</w:t>
      </w:r>
      <w:r w:rsidR="00377569">
        <w:rPr>
          <w:rFonts w:asciiTheme="minorHAnsi" w:hAnsiTheme="minorHAnsi" w:cs="Arial"/>
          <w:b/>
          <w:bCs/>
          <w:color w:val="auto"/>
        </w:rPr>
        <w:t xml:space="preserve"> </w:t>
      </w:r>
      <w:r w:rsidRPr="00377569">
        <w:rPr>
          <w:rFonts w:asciiTheme="minorHAnsi" w:hAnsiTheme="minorHAnsi" w:cs="Arial"/>
          <w:color w:val="auto"/>
        </w:rPr>
        <w:t>The calculation for the Financial risk rating, after applying the over-riding rules, and for the Continuity of Services risk metrics, for the annual plan, year to date and forecast outturn for the Trust is a 1,</w:t>
      </w:r>
      <w:r w:rsidRPr="00377569">
        <w:t xml:space="preserve"> </w:t>
      </w:r>
      <w:r w:rsidRPr="00377569">
        <w:rPr>
          <w:rFonts w:asciiTheme="minorHAnsi" w:hAnsiTheme="minorHAnsi" w:cs="Arial"/>
        </w:rPr>
        <w:t>which is a result of the Trust’s overall financial sustainability issues.</w:t>
      </w:r>
    </w:p>
    <w:p w:rsidR="00EC7890" w:rsidRPr="006236C6" w:rsidRDefault="00EC7890" w:rsidP="00EC7890">
      <w:pPr>
        <w:pStyle w:val="Default"/>
        <w:spacing w:before="240" w:after="240"/>
        <w:rPr>
          <w:rFonts w:asciiTheme="minorHAnsi" w:hAnsiTheme="minorHAnsi" w:cs="Arial"/>
          <w:color w:val="auto"/>
        </w:rPr>
      </w:pPr>
      <w:bookmarkStart w:id="115" w:name="_Toc318461798"/>
      <w:bookmarkStart w:id="116" w:name="_Toc326332025"/>
      <w:bookmarkStart w:id="117" w:name="_Toc339280272"/>
      <w:bookmarkStart w:id="118" w:name="_Toc313625330"/>
      <w:r w:rsidRPr="006236C6">
        <w:rPr>
          <w:noProof/>
        </w:rPr>
        <w:lastRenderedPageBreak/>
        <w:drawing>
          <wp:inline distT="0" distB="0" distL="0" distR="0">
            <wp:extent cx="5835650" cy="3340937"/>
            <wp:effectExtent l="1905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5835650" cy="3340937"/>
                    </a:xfrm>
                    <a:prstGeom prst="rect">
                      <a:avLst/>
                    </a:prstGeom>
                    <a:noFill/>
                    <a:ln w="9525">
                      <a:noFill/>
                      <a:miter lim="800000"/>
                      <a:headEnd/>
                      <a:tailEnd/>
                    </a:ln>
                  </pic:spPr>
                </pic:pic>
              </a:graphicData>
            </a:graphic>
          </wp:inline>
        </w:drawing>
      </w:r>
    </w:p>
    <w:p w:rsidR="00EC7890" w:rsidRPr="00377569" w:rsidRDefault="00EC7890" w:rsidP="00EC7890">
      <w:pPr>
        <w:pStyle w:val="Heading2"/>
        <w:spacing w:before="240" w:after="240"/>
        <w:rPr>
          <w:sz w:val="24"/>
          <w:szCs w:val="24"/>
        </w:rPr>
      </w:pPr>
      <w:bookmarkStart w:id="119" w:name="_Toc388626849"/>
      <w:r w:rsidRPr="00377569">
        <w:rPr>
          <w:sz w:val="24"/>
          <w:szCs w:val="24"/>
        </w:rPr>
        <w:t>5.11 Recommendation</w:t>
      </w:r>
      <w:bookmarkEnd w:id="115"/>
      <w:bookmarkEnd w:id="116"/>
      <w:bookmarkEnd w:id="117"/>
      <w:bookmarkEnd w:id="119"/>
      <w:r w:rsidRPr="00377569">
        <w:rPr>
          <w:sz w:val="24"/>
          <w:szCs w:val="24"/>
        </w:rPr>
        <w:t xml:space="preserve"> </w:t>
      </w:r>
      <w:bookmarkEnd w:id="118"/>
    </w:p>
    <w:p w:rsidR="00EC7890" w:rsidRPr="00377569" w:rsidRDefault="00EC7890" w:rsidP="00EC7890">
      <w:pPr>
        <w:spacing w:before="240" w:after="240"/>
        <w:jc w:val="both"/>
        <w:rPr>
          <w:sz w:val="24"/>
          <w:szCs w:val="24"/>
        </w:rPr>
      </w:pPr>
      <w:r w:rsidRPr="00377569">
        <w:rPr>
          <w:rFonts w:cs="Arial"/>
          <w:sz w:val="24"/>
          <w:szCs w:val="24"/>
        </w:rPr>
        <w:t xml:space="preserve">The Board is asked to note the Trust’s Month 6 financial performance for 2014/15 regarding the revenue, capital and cash positions. </w:t>
      </w:r>
    </w:p>
    <w:p w:rsidR="00EC7890" w:rsidRPr="006236C6" w:rsidRDefault="00EC7890" w:rsidP="00EC7890">
      <w:pPr>
        <w:pStyle w:val="Default"/>
        <w:spacing w:before="240" w:after="240"/>
      </w:pPr>
    </w:p>
    <w:p w:rsidR="00EC7890" w:rsidRPr="006236C6" w:rsidRDefault="00EC7890" w:rsidP="00EC7890">
      <w:pPr>
        <w:pStyle w:val="Default"/>
        <w:spacing w:before="240" w:after="240"/>
      </w:pPr>
    </w:p>
    <w:p w:rsidR="00EC7890" w:rsidRPr="006236C6" w:rsidRDefault="00EC7890" w:rsidP="00EC7890">
      <w:pPr>
        <w:pStyle w:val="Default"/>
        <w:spacing w:before="240" w:after="240"/>
      </w:pPr>
    </w:p>
    <w:p w:rsidR="00EC7890" w:rsidRPr="006236C6" w:rsidRDefault="00EC7890" w:rsidP="00EC7890">
      <w:pPr>
        <w:pStyle w:val="Default"/>
        <w:spacing w:before="240" w:after="240"/>
      </w:pPr>
    </w:p>
    <w:p w:rsidR="00EC7890" w:rsidRPr="006236C6" w:rsidRDefault="00EC7890" w:rsidP="00EC7890">
      <w:pPr>
        <w:pStyle w:val="Default"/>
        <w:spacing w:before="240" w:after="240"/>
      </w:pPr>
    </w:p>
    <w:p w:rsidR="00EC7890" w:rsidRPr="006236C6" w:rsidRDefault="00EC7890" w:rsidP="00EC7890">
      <w:pPr>
        <w:pStyle w:val="Default"/>
        <w:spacing w:before="240" w:after="240"/>
      </w:pPr>
    </w:p>
    <w:p w:rsidR="00EC7890" w:rsidRPr="006236C6" w:rsidRDefault="00EC7890" w:rsidP="00EC7890">
      <w:pPr>
        <w:pStyle w:val="Default"/>
        <w:spacing w:before="240" w:after="240"/>
      </w:pPr>
    </w:p>
    <w:p w:rsidR="00EC7890" w:rsidRPr="006236C6" w:rsidRDefault="00EC7890" w:rsidP="00EC7890">
      <w:pPr>
        <w:pStyle w:val="Default"/>
        <w:spacing w:before="240" w:after="240"/>
      </w:pPr>
    </w:p>
    <w:p w:rsidR="00EC7890" w:rsidRPr="006236C6" w:rsidRDefault="00EC7890" w:rsidP="00EC7890">
      <w:pPr>
        <w:pStyle w:val="Default"/>
        <w:spacing w:before="240" w:after="240"/>
      </w:pPr>
    </w:p>
    <w:p w:rsidR="00EC7890" w:rsidRPr="006236C6" w:rsidRDefault="00EC7890" w:rsidP="00EC7890">
      <w:pPr>
        <w:pStyle w:val="Default"/>
        <w:spacing w:before="240" w:after="240"/>
        <w:sectPr w:rsidR="00EC7890" w:rsidRPr="006236C6" w:rsidSect="00EC7890">
          <w:pgSz w:w="11900" w:h="16840"/>
          <w:pgMar w:top="680" w:right="1412" w:bottom="641" w:left="1298" w:header="720" w:footer="115" w:gutter="0"/>
          <w:cols w:space="720"/>
          <w:noEndnote/>
        </w:sectPr>
      </w:pPr>
    </w:p>
    <w:p w:rsidR="00EC7890" w:rsidRPr="00377569" w:rsidRDefault="00EC7890" w:rsidP="00EC7890">
      <w:pPr>
        <w:pStyle w:val="Heading3"/>
        <w:rPr>
          <w:b w:val="0"/>
          <w:bCs w:val="0"/>
          <w:i/>
          <w:iCs/>
          <w:sz w:val="24"/>
          <w:szCs w:val="24"/>
        </w:rPr>
      </w:pPr>
      <w:bookmarkStart w:id="120" w:name="_Toc326332026"/>
      <w:bookmarkStart w:id="121" w:name="_Toc339280273"/>
      <w:bookmarkStart w:id="122" w:name="_Toc388626850"/>
      <w:r w:rsidRPr="00377569">
        <w:rPr>
          <w:rStyle w:val="IntenseEmphasis"/>
          <w:i w:val="0"/>
          <w:sz w:val="24"/>
          <w:szCs w:val="24"/>
        </w:rPr>
        <w:lastRenderedPageBreak/>
        <w:t>Appendix A – Statement of Comprehensive Income – Accumulated Variances as at Month 6 –</w:t>
      </w:r>
      <w:bookmarkEnd w:id="120"/>
      <w:bookmarkEnd w:id="121"/>
      <w:r w:rsidRPr="00377569">
        <w:rPr>
          <w:rStyle w:val="IntenseEmphasis"/>
          <w:i w:val="0"/>
          <w:sz w:val="24"/>
          <w:szCs w:val="24"/>
        </w:rPr>
        <w:t xml:space="preserve"> September 2014</w:t>
      </w:r>
      <w:bookmarkEnd w:id="122"/>
    </w:p>
    <w:p w:rsidR="00EC7890" w:rsidRPr="006236C6" w:rsidRDefault="00EC7890" w:rsidP="00EC7890">
      <w:pPr>
        <w:pStyle w:val="Default"/>
        <w:sectPr w:rsidR="00EC7890" w:rsidRPr="006236C6" w:rsidSect="00377569">
          <w:pgSz w:w="16840" w:h="11900" w:orient="landscape"/>
          <w:pgMar w:top="1247" w:right="680" w:bottom="1412" w:left="641" w:header="425" w:footer="301" w:gutter="0"/>
          <w:cols w:space="720"/>
          <w:noEndnote/>
          <w:titlePg/>
          <w:docGrid w:linePitch="326"/>
        </w:sectPr>
      </w:pPr>
      <w:r w:rsidRPr="006236C6">
        <w:rPr>
          <w:noProof/>
        </w:rPr>
        <w:drawing>
          <wp:inline distT="0" distB="0" distL="0" distR="0">
            <wp:extent cx="8458200" cy="5590022"/>
            <wp:effectExtent l="1905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srcRect/>
                    <a:stretch>
                      <a:fillRect/>
                    </a:stretch>
                  </pic:blipFill>
                  <pic:spPr bwMode="auto">
                    <a:xfrm>
                      <a:off x="0" y="0"/>
                      <a:ext cx="8465538" cy="5594872"/>
                    </a:xfrm>
                    <a:prstGeom prst="rect">
                      <a:avLst/>
                    </a:prstGeom>
                    <a:noFill/>
                    <a:ln w="9525">
                      <a:noFill/>
                      <a:miter lim="800000"/>
                      <a:headEnd/>
                      <a:tailEnd/>
                    </a:ln>
                  </pic:spPr>
                </pic:pic>
              </a:graphicData>
            </a:graphic>
          </wp:inline>
        </w:drawing>
      </w:r>
    </w:p>
    <w:p w:rsidR="00EC7890" w:rsidRPr="00377569" w:rsidRDefault="00EC7890" w:rsidP="00EC7890">
      <w:pPr>
        <w:pStyle w:val="Heading3"/>
        <w:rPr>
          <w:rStyle w:val="IntenseEmphasis"/>
          <w:i w:val="0"/>
          <w:sz w:val="24"/>
          <w:szCs w:val="24"/>
        </w:rPr>
      </w:pPr>
      <w:bookmarkStart w:id="123" w:name="_Toc326332027"/>
      <w:bookmarkStart w:id="124" w:name="_Toc339280274"/>
      <w:bookmarkStart w:id="125" w:name="_Toc388626851"/>
      <w:r w:rsidRPr="00377569">
        <w:rPr>
          <w:rStyle w:val="IntenseEmphasis"/>
          <w:i w:val="0"/>
          <w:sz w:val="24"/>
          <w:szCs w:val="24"/>
        </w:rPr>
        <w:lastRenderedPageBreak/>
        <w:t xml:space="preserve">Appendix B – Statement of Financial Position as at 30th </w:t>
      </w:r>
      <w:bookmarkEnd w:id="123"/>
      <w:bookmarkEnd w:id="124"/>
      <w:r w:rsidRPr="00377569">
        <w:rPr>
          <w:rStyle w:val="IntenseEmphasis"/>
          <w:i w:val="0"/>
          <w:sz w:val="24"/>
          <w:szCs w:val="24"/>
        </w:rPr>
        <w:t>September 2014</w:t>
      </w:r>
      <w:bookmarkEnd w:id="125"/>
    </w:p>
    <w:p w:rsidR="00EC7890" w:rsidRPr="006236C6" w:rsidRDefault="00EC7890" w:rsidP="00EC7890">
      <w:r w:rsidRPr="006236C6">
        <w:rPr>
          <w:noProof/>
        </w:rPr>
        <w:drawing>
          <wp:inline distT="0" distB="0" distL="0" distR="0">
            <wp:extent cx="5835650" cy="6769005"/>
            <wp:effectExtent l="1905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srcRect/>
                    <a:stretch>
                      <a:fillRect/>
                    </a:stretch>
                  </pic:blipFill>
                  <pic:spPr bwMode="auto">
                    <a:xfrm>
                      <a:off x="0" y="0"/>
                      <a:ext cx="5835650" cy="6769005"/>
                    </a:xfrm>
                    <a:prstGeom prst="rect">
                      <a:avLst/>
                    </a:prstGeom>
                    <a:noFill/>
                    <a:ln w="9525">
                      <a:noFill/>
                      <a:miter lim="800000"/>
                      <a:headEnd/>
                      <a:tailEnd/>
                    </a:ln>
                  </pic:spPr>
                </pic:pic>
              </a:graphicData>
            </a:graphic>
          </wp:inline>
        </w:drawing>
      </w:r>
    </w:p>
    <w:p w:rsidR="00EC7890" w:rsidRPr="006236C6" w:rsidRDefault="00EC7890" w:rsidP="00EC7890"/>
    <w:p w:rsidR="00EC7890" w:rsidRPr="006236C6" w:rsidRDefault="00EC7890" w:rsidP="00EC7890">
      <w:pPr>
        <w:sectPr w:rsidR="00EC7890" w:rsidRPr="006236C6" w:rsidSect="00EC7890">
          <w:pgSz w:w="11900" w:h="16840"/>
          <w:pgMar w:top="641" w:right="1298" w:bottom="680" w:left="1412" w:header="426" w:footer="301" w:gutter="0"/>
          <w:cols w:space="720"/>
          <w:noEndnote/>
          <w:titlePg/>
          <w:docGrid w:linePitch="326"/>
        </w:sectPr>
      </w:pPr>
      <w:r w:rsidRPr="006236C6">
        <w:rPr>
          <w:rStyle w:val="SubtitleChar"/>
          <w:sz w:val="20"/>
        </w:rPr>
        <w:t xml:space="preserve"> </w:t>
      </w:r>
    </w:p>
    <w:p w:rsidR="00EC7890" w:rsidRPr="00377569" w:rsidRDefault="00377569" w:rsidP="00EC7890">
      <w:pPr>
        <w:pStyle w:val="Heading3"/>
        <w:rPr>
          <w:i/>
          <w:noProof/>
        </w:rPr>
      </w:pPr>
      <w:bookmarkStart w:id="126" w:name="_Toc326332028"/>
      <w:bookmarkStart w:id="127" w:name="_Toc339280275"/>
      <w:bookmarkStart w:id="128" w:name="_Toc388626852"/>
      <w:r>
        <w:rPr>
          <w:rStyle w:val="Heading4Char"/>
          <w:i w:val="0"/>
        </w:rPr>
        <w:lastRenderedPageBreak/>
        <w:t>Appendix C - 12 Month S</w:t>
      </w:r>
      <w:r w:rsidR="00EC7890" w:rsidRPr="00377569">
        <w:rPr>
          <w:rStyle w:val="Heading4Char"/>
          <w:i w:val="0"/>
        </w:rPr>
        <w:t>tatem</w:t>
      </w:r>
      <w:r>
        <w:rPr>
          <w:rStyle w:val="Heading4Char"/>
          <w:i w:val="0"/>
        </w:rPr>
        <w:t>ent of Rolling Cash F</w:t>
      </w:r>
      <w:r w:rsidR="00EC7890" w:rsidRPr="00377569">
        <w:rPr>
          <w:rStyle w:val="Heading4Char"/>
          <w:i w:val="0"/>
        </w:rPr>
        <w:t>low</w:t>
      </w:r>
      <w:bookmarkEnd w:id="126"/>
      <w:bookmarkEnd w:id="127"/>
      <w:bookmarkEnd w:id="128"/>
    </w:p>
    <w:p w:rsidR="00EC7890" w:rsidRPr="006236C6" w:rsidRDefault="00EC7890" w:rsidP="00EC7890">
      <w:pPr>
        <w:pStyle w:val="Default"/>
        <w:rPr>
          <w:noProof/>
        </w:rPr>
      </w:pPr>
    </w:p>
    <w:p w:rsidR="00EC7890" w:rsidRPr="006236C6" w:rsidRDefault="00EC7890" w:rsidP="00EC7890">
      <w:pPr>
        <w:pStyle w:val="Default"/>
        <w:sectPr w:rsidR="00EC7890" w:rsidRPr="006236C6" w:rsidSect="00EC7890">
          <w:pgSz w:w="16840" w:h="11900" w:orient="landscape"/>
          <w:pgMar w:top="1298" w:right="680" w:bottom="1412" w:left="641" w:header="426" w:footer="301" w:gutter="0"/>
          <w:cols w:space="720"/>
          <w:noEndnote/>
          <w:titlePg/>
          <w:docGrid w:linePitch="326"/>
        </w:sectPr>
      </w:pPr>
      <w:r w:rsidRPr="006236C6">
        <w:rPr>
          <w:noProof/>
        </w:rPr>
        <w:drawing>
          <wp:inline distT="0" distB="0" distL="0" distR="0">
            <wp:extent cx="7743825" cy="5297248"/>
            <wp:effectExtent l="19050" t="0" r="9525"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srcRect/>
                    <a:stretch>
                      <a:fillRect/>
                    </a:stretch>
                  </pic:blipFill>
                  <pic:spPr bwMode="auto">
                    <a:xfrm>
                      <a:off x="0" y="0"/>
                      <a:ext cx="7752598" cy="5303249"/>
                    </a:xfrm>
                    <a:prstGeom prst="rect">
                      <a:avLst/>
                    </a:prstGeom>
                    <a:noFill/>
                    <a:ln w="9525">
                      <a:noFill/>
                      <a:miter lim="800000"/>
                      <a:headEnd/>
                      <a:tailEnd/>
                    </a:ln>
                  </pic:spPr>
                </pic:pic>
              </a:graphicData>
            </a:graphic>
          </wp:inline>
        </w:drawing>
      </w:r>
    </w:p>
    <w:p w:rsidR="00EC7890" w:rsidRPr="00377569" w:rsidRDefault="00EC7890" w:rsidP="00EC7890">
      <w:pPr>
        <w:pStyle w:val="Heading3"/>
        <w:rPr>
          <w:noProof/>
          <w:sz w:val="24"/>
          <w:szCs w:val="24"/>
        </w:rPr>
      </w:pPr>
      <w:bookmarkStart w:id="129" w:name="_Toc326332030"/>
      <w:bookmarkStart w:id="130" w:name="_Toc339280277"/>
      <w:bookmarkStart w:id="131" w:name="_Toc388626853"/>
      <w:r w:rsidRPr="00377569">
        <w:rPr>
          <w:b w:val="0"/>
          <w:sz w:val="24"/>
          <w:szCs w:val="24"/>
        </w:rPr>
        <w:lastRenderedPageBreak/>
        <w:t xml:space="preserve">Appendix D - Capital Programme </w:t>
      </w:r>
      <w:bookmarkEnd w:id="129"/>
      <w:bookmarkEnd w:id="130"/>
      <w:r w:rsidRPr="00377569">
        <w:rPr>
          <w:b w:val="0"/>
          <w:sz w:val="24"/>
          <w:szCs w:val="24"/>
        </w:rPr>
        <w:t>30th September 2014</w:t>
      </w:r>
      <w:bookmarkEnd w:id="131"/>
    </w:p>
    <w:p w:rsidR="00EC7890" w:rsidRPr="002140C0" w:rsidRDefault="00EC7890" w:rsidP="00EC7890">
      <w:r w:rsidRPr="00D6587F">
        <w:rPr>
          <w:noProof/>
        </w:rPr>
        <w:drawing>
          <wp:inline distT="0" distB="0" distL="0" distR="0">
            <wp:extent cx="5835650" cy="8269294"/>
            <wp:effectExtent l="1905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5835650" cy="8269294"/>
                    </a:xfrm>
                    <a:prstGeom prst="rect">
                      <a:avLst/>
                    </a:prstGeom>
                    <a:noFill/>
                    <a:ln w="9525">
                      <a:noFill/>
                      <a:miter lim="800000"/>
                      <a:headEnd/>
                      <a:tailEnd/>
                    </a:ln>
                  </pic:spPr>
                </pic:pic>
              </a:graphicData>
            </a:graphic>
          </wp:inline>
        </w:drawing>
      </w:r>
    </w:p>
    <w:bookmarkEnd w:id="48"/>
    <w:bookmarkEnd w:id="49"/>
    <w:p w:rsidR="00EC7890" w:rsidRDefault="00EC7890" w:rsidP="008F22EE">
      <w:pPr>
        <w:widowControl w:val="0"/>
        <w:autoSpaceDE w:val="0"/>
        <w:autoSpaceDN w:val="0"/>
        <w:adjustRightInd w:val="0"/>
        <w:spacing w:after="240" w:line="240" w:lineRule="auto"/>
        <w:jc w:val="both"/>
        <w:rPr>
          <w:rFonts w:asciiTheme="majorHAnsi" w:hAnsiTheme="majorHAnsi" w:cstheme="majorHAnsi"/>
          <w:b/>
          <w:color w:val="21798E" w:themeColor="accent1" w:themeShade="BF"/>
          <w:sz w:val="48"/>
          <w:szCs w:val="48"/>
        </w:rPr>
      </w:pPr>
    </w:p>
    <w:sectPr w:rsidR="00EC7890" w:rsidSect="00EC7890">
      <w:pgSz w:w="11900" w:h="16840"/>
      <w:pgMar w:top="680" w:right="1410" w:bottom="640" w:left="1300" w:header="720" w:footer="115"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316E" w:rsidRDefault="002D316E" w:rsidP="00A77EA2">
      <w:pPr>
        <w:spacing w:after="0" w:line="240" w:lineRule="auto"/>
      </w:pPr>
      <w:r>
        <w:separator/>
      </w:r>
    </w:p>
  </w:endnote>
  <w:endnote w:type="continuationSeparator" w:id="0">
    <w:p w:rsidR="002D316E" w:rsidRDefault="002D316E" w:rsidP="00A77E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16E" w:rsidRDefault="002D316E" w:rsidP="000561FE">
    <w:pPr>
      <w:pStyle w:val="Footer"/>
      <w:tabs>
        <w:tab w:val="center" w:pos="5233"/>
        <w:tab w:val="left" w:pos="6331"/>
      </w:tabs>
    </w:pPr>
    <w:r>
      <w:rPr>
        <w:noProof/>
      </w:rPr>
      <w:drawing>
        <wp:anchor distT="0" distB="0" distL="114300" distR="114300" simplePos="0" relativeHeight="251661312" behindDoc="1" locked="0" layoutInCell="1" allowOverlap="1">
          <wp:simplePos x="0" y="0"/>
          <wp:positionH relativeFrom="column">
            <wp:posOffset>4703445</wp:posOffset>
          </wp:positionH>
          <wp:positionV relativeFrom="paragraph">
            <wp:posOffset>477520</wp:posOffset>
          </wp:positionV>
          <wp:extent cx="1518285" cy="403225"/>
          <wp:effectExtent l="19050" t="0" r="5715" b="0"/>
          <wp:wrapTight wrapText="bothSides">
            <wp:wrapPolygon edited="0">
              <wp:start x="6775" y="0"/>
              <wp:lineTo x="-271" y="3061"/>
              <wp:lineTo x="-271" y="10205"/>
              <wp:lineTo x="1626" y="20409"/>
              <wp:lineTo x="20868" y="20409"/>
              <wp:lineTo x="21139" y="16328"/>
              <wp:lineTo x="21681" y="7143"/>
              <wp:lineTo x="21681" y="0"/>
              <wp:lineTo x="6775" y="0"/>
            </wp:wrapPolygon>
          </wp:wrapTight>
          <wp:docPr id="43" name="Picture 1" descr="PRI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DE logo"/>
                  <pic:cNvPicPr>
                    <a:picLocks noChangeAspect="1" noChangeArrowheads="1"/>
                  </pic:cNvPicPr>
                </pic:nvPicPr>
                <pic:blipFill>
                  <a:blip r:embed="rId1"/>
                  <a:srcRect/>
                  <a:stretch>
                    <a:fillRect/>
                  </a:stretch>
                </pic:blipFill>
                <pic:spPr bwMode="auto">
                  <a:xfrm>
                    <a:off x="0" y="0"/>
                    <a:ext cx="1518285" cy="403225"/>
                  </a:xfrm>
                  <a:prstGeom prst="rect">
                    <a:avLst/>
                  </a:prstGeom>
                  <a:noFill/>
                  <a:ln w="9525">
                    <a:noFill/>
                    <a:miter lim="800000"/>
                    <a:headEnd/>
                    <a:tailEnd/>
                  </a:ln>
                </pic:spPr>
              </pic:pic>
            </a:graphicData>
          </a:graphic>
        </wp:anchor>
      </w:drawing>
    </w:r>
    <w:sdt>
      <w:sdtPr>
        <w:id w:val="14693516"/>
        <w:docPartObj>
          <w:docPartGallery w:val="Page Numbers (Bottom of Page)"/>
          <w:docPartUnique/>
        </w:docPartObj>
      </w:sdtPr>
      <w:sdtContent>
        <w:r>
          <w:tab/>
        </w:r>
        <w:r>
          <w:tab/>
        </w:r>
        <w:r w:rsidR="006101CF">
          <w:rPr>
            <w:noProof/>
          </w:rPr>
        </w:r>
        <w:r w:rsidR="006101CF">
          <w:rPr>
            <w:noProof/>
          </w:rPr>
          <w:pict>
            <v:group id="Group 1" o:spid="_x0000_s2049"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NfhZIyMEAADUEgAADgAAAAAAAAAAAAAAAAAuAgAAZHJzL2Uyb0RvYy54bWxQ&#10;SwECLQAUAAYACAAAACEAsJYdF9wAAAADAQAADwAAAAAAAAAAAAAAAAB9BgAAZHJzL2Rvd25yZXYu&#10;eG1sUEsFBgAAAAAEAAQA8wAAAIYHAAAAAA==&#10;">
              <v:shapetype id="_x0000_t202" coordsize="21600,21600" o:spt="202" path="m,l,21600r21600,l21600,xe">
                <v:stroke joinstyle="miter"/>
                <v:path gradientshapeok="t" o:connecttype="rect"/>
              </v:shapetype>
              <v:shape id="Text Box 2" o:spid="_x0000_s2050" type="#_x0000_t202" style="position:absolute;left:5351;top:800;width:659;height:2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eQcAA&#10;AADbAAAADwAAAGRycy9kb3ducmV2LnhtbERPzYrCMBC+C/sOYRa8iKa7oEg1FVdZ9eKh3X2AoZn+&#10;YDMpTdTq0xtB8DYf3+8sV71pxIU6V1tW8DWJQBDnVtdcKvj/+x3PQTiPrLGxTApu5GCVfAyWGGt7&#10;5ZQumS9FCGEXo4LK+zaW0uUVGXQT2xIHrrCdQR9gV0rd4TWEm0Z+R9FMGqw5NFTY0qai/JSdjQJa&#10;p/Z+PLmdSX+2m11RM43kXqnhZ79egPDU+7f45T7oMH8Kz1/CATJ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FeQcAAAADbAAAADwAAAAAAAAAAAAAAAACYAgAAZHJzL2Rvd25y&#10;ZXYueG1sUEsFBgAAAAAEAAQA9QAAAIUDAAAAAA==&#10;" filled="f" stroked="f">
                <v:textbox style="mso-next-textbox:#Text Box 2" inset="0,0,0,0">
                  <w:txbxContent>
                    <w:p w:rsidR="002D316E" w:rsidRDefault="006101CF">
                      <w:pPr>
                        <w:jc w:val="center"/>
                        <w:rPr>
                          <w:szCs w:val="18"/>
                        </w:rPr>
                      </w:pPr>
                      <w:r w:rsidRPr="006101CF">
                        <w:fldChar w:fldCharType="begin"/>
                      </w:r>
                      <w:r w:rsidR="002D316E">
                        <w:instrText xml:space="preserve"> PAGE    \* MERGEFORMAT </w:instrText>
                      </w:r>
                      <w:r w:rsidRPr="006101CF">
                        <w:fldChar w:fldCharType="separate"/>
                      </w:r>
                      <w:r w:rsidR="002E06EB" w:rsidRPr="002E06EB">
                        <w:rPr>
                          <w:i/>
                          <w:noProof/>
                          <w:sz w:val="18"/>
                          <w:szCs w:val="18"/>
                        </w:rPr>
                        <w:t>19</w:t>
                      </w:r>
                      <w:r>
                        <w:rPr>
                          <w:i/>
                          <w:noProof/>
                          <w:sz w:val="18"/>
                          <w:szCs w:val="18"/>
                        </w:rPr>
                        <w:fldChar w:fldCharType="end"/>
                      </w:r>
                    </w:p>
                  </w:txbxContent>
                </v:textbox>
              </v:shape>
              <v:group id="Group 3" o:spid="_x0000_s2051"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oval id="Oval 4" o:spid="_x0000_s2052" style="position:absolute;left:5486;top:739;width:72;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ogsEA&#10;AADbAAAADwAAAGRycy9kb3ducmV2LnhtbERPTYvCMBC9C/6HMII3TV3Bla5RdJeCBw+uyp6HZLbt&#10;2ky6TdTqrzeC4G0e73Nmi9ZW4kyNLx0rGA0TEMTamZJzBYd9NpiC8AHZYOWYFFzJw2Le7cwwNe7C&#10;33TehVzEEPYpKihCqFMpvS7Ioh+6mjhyv66xGCJscmkavMRwW8m3JJlIiyXHhgJr+ixIH3cnq2C8&#10;wa98ddP/+232M03+nNbjzCvV77XLDxCB2vASP91rE+e/w+OXeIC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l6ILBAAAA2wAAAA8AAAAAAAAAAAAAAAAAmAIAAGRycy9kb3du&#10;cmV2LnhtbFBLBQYAAAAABAAEAPUAAACGAwAAAAA=&#10;" fillcolor="#58bed7 [2420]" stroked="f"/>
                <v:oval id="Oval 5" o:spid="_x0000_s2053" style="position:absolute;left:5636;top:739;width:72;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8MQA&#10;AADbAAAADwAAAGRycy9kb3ducmV2LnhtbESPQW/CMAyF75P4D5GRdhspQ5pQISBgqsRhhw0QZysx&#10;baFxShOg26+fD5N2s/We3/s8X/a+UXfqYh3YwHiUgSK2wdVcGjjsi5cpqJiQHTaBycA3RVguBk9z&#10;zF148Bfdd6lUEsIxRwNVSm2udbQVeYyj0BKLdgqdxyRrV2rX4UPCfaNfs+xNe6xZGipsaVORvexu&#10;3sDkA9/L9Y+97j+L4zQ7B2snRTTmedivZqAS9enf/He9dYIvsPKLDK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fPDEAAAA2wAAAA8AAAAAAAAAAAAAAAAAmAIAAGRycy9k&#10;b3ducmV2LnhtbFBLBQYAAAAABAAEAPUAAACJAwAAAAA=&#10;" fillcolor="#58bed7 [2420]" stroked="f"/>
                <v:oval id="Oval 6" o:spid="_x0000_s2054" style="position:absolute;left:5786;top:739;width:72;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Za8EA&#10;AADbAAAADwAAAGRycy9kb3ducmV2LnhtbERPS4vCMBC+L/gfwgje1tQVRLtG0V0KHjz4Ys9DMtt2&#10;bSbdJmr11xtB8DYf33Om89ZW4kyNLx0rGPQTEMTamZJzBYd99j4G4QOywcoxKbiSh/ms8zbF1LgL&#10;b+m8C7mIIexTVFCEUKdSel2QRd93NXHkfl1jMUTY5NI0eInhtpIfSTKSFkuODQXW9FWQPu5OVsFw&#10;jd/58qb/95vsZ5z8Oa2HmVeq120XnyACteElfrpXJs6fwOOXeIC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22WvBAAAA2wAAAA8AAAAAAAAAAAAAAAAAmAIAAGRycy9kb3du&#10;cmV2LnhtbFBLBQYAAAAABAAEAPUAAACGAwAAAAA=&#10;" fillcolor="#58bed7 [2420]" stroked="f"/>
              </v:group>
              <w10:wrap type="none"/>
              <w10:anchorlock/>
            </v:group>
          </w:pict>
        </w:r>
      </w:sdtContent>
    </w:sdt>
    <w:r>
      <w:tab/>
    </w:r>
  </w:p>
  <w:p w:rsidR="002D316E" w:rsidRDefault="002D316E" w:rsidP="00C42622">
    <w:pPr>
      <w:pStyle w:val="Footer"/>
      <w:tabs>
        <w:tab w:val="clear" w:pos="9026"/>
        <w:tab w:val="left" w:pos="5040"/>
        <w:tab w:val="left" w:pos="5760"/>
        <w:tab w:val="left" w:pos="6480"/>
        <w:tab w:val="left" w:pos="7200"/>
        <w:tab w:val="left" w:pos="7920"/>
        <w:tab w:val="left" w:pos="8640"/>
      </w:tabs>
    </w:pPr>
    <w:r>
      <w:tab/>
    </w:r>
    <w:r>
      <w:tab/>
    </w:r>
    <w:r>
      <w:tab/>
    </w:r>
    <w:r>
      <w:tab/>
    </w:r>
    <w:r>
      <w:tab/>
    </w:r>
    <w:r>
      <w:tab/>
    </w:r>
    <w:r>
      <w:tab/>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16E" w:rsidRDefault="002D316E">
    <w:pPr>
      <w:pStyle w:val="Footer"/>
      <w:jc w:val="center"/>
    </w:pPr>
  </w:p>
  <w:p w:rsidR="002D316E" w:rsidRDefault="002D31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316E" w:rsidRDefault="002D316E" w:rsidP="00A77EA2">
      <w:pPr>
        <w:spacing w:after="0" w:line="240" w:lineRule="auto"/>
      </w:pPr>
      <w:r>
        <w:separator/>
      </w:r>
    </w:p>
  </w:footnote>
  <w:footnote w:type="continuationSeparator" w:id="0">
    <w:p w:rsidR="002D316E" w:rsidRDefault="002D316E" w:rsidP="00A77E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16E" w:rsidRDefault="002D316E">
    <w:pPr>
      <w:pStyle w:val="Header"/>
    </w:pPr>
    <w:r w:rsidRPr="00313BAE">
      <w:rPr>
        <w:noProof/>
      </w:rPr>
      <w:drawing>
        <wp:anchor distT="0" distB="0" distL="114300" distR="114300" simplePos="0" relativeHeight="251659264" behindDoc="0" locked="0" layoutInCell="1" allowOverlap="1">
          <wp:simplePos x="0" y="0"/>
          <wp:positionH relativeFrom="column">
            <wp:posOffset>4921250</wp:posOffset>
          </wp:positionH>
          <wp:positionV relativeFrom="paragraph">
            <wp:posOffset>-102870</wp:posOffset>
          </wp:positionV>
          <wp:extent cx="1546860" cy="313055"/>
          <wp:effectExtent l="19050" t="0" r="0" b="0"/>
          <wp:wrapSquare wrapText="bothSides"/>
          <wp:docPr id="1" name="Picture 1" descr="Wahtcol.JPG"/>
          <wp:cNvGraphicFramePr/>
          <a:graphic xmlns:a="http://schemas.openxmlformats.org/drawingml/2006/main">
            <a:graphicData uri="http://schemas.openxmlformats.org/drawingml/2006/picture">
              <pic:pic xmlns:pic="http://schemas.openxmlformats.org/drawingml/2006/picture">
                <pic:nvPicPr>
                  <pic:cNvPr id="14339" name="Picture 3" descr="Wahtcol.JPG"/>
                  <pic:cNvPicPr>
                    <a:picLocks noChangeAspect="1"/>
                  </pic:cNvPicPr>
                </pic:nvPicPr>
                <pic:blipFill>
                  <a:blip r:embed="rId1" cstate="print"/>
                  <a:srcRect/>
                  <a:stretch>
                    <a:fillRect/>
                  </a:stretch>
                </pic:blipFill>
                <pic:spPr bwMode="auto">
                  <a:xfrm>
                    <a:off x="0" y="0"/>
                    <a:ext cx="1546860" cy="31305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4pt;height:11.4pt" o:bullet="t">
        <v:imagedata r:id="rId1" o:title="BD21364_"/>
      </v:shape>
    </w:pict>
  </w:numPicBullet>
  <w:numPicBullet w:numPicBulletId="1">
    <w:pict>
      <v:shape id="_x0000_i1039" type="#_x0000_t75" style="width:11.4pt;height:11.4pt" o:bullet="t">
        <v:imagedata r:id="rId2" o:title="BD21364_"/>
      </v:shape>
    </w:pict>
  </w:numPicBullet>
  <w:abstractNum w:abstractNumId="0">
    <w:nsid w:val="04D34A45"/>
    <w:multiLevelType w:val="hybridMultilevel"/>
    <w:tmpl w:val="E8D27E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
    <w:nsid w:val="07BA1599"/>
    <w:multiLevelType w:val="hybridMultilevel"/>
    <w:tmpl w:val="7E6A2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EF1907"/>
    <w:multiLevelType w:val="hybridMultilevel"/>
    <w:tmpl w:val="91062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2F4CA2"/>
    <w:multiLevelType w:val="hybridMultilevel"/>
    <w:tmpl w:val="39C0F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D86D38"/>
    <w:multiLevelType w:val="hybridMultilevel"/>
    <w:tmpl w:val="9A40EF70"/>
    <w:lvl w:ilvl="0" w:tplc="0809000F">
      <w:start w:val="1"/>
      <w:numFmt w:val="decimal"/>
      <w:lvlText w:val="%1."/>
      <w:lvlJc w:val="left"/>
      <w:pPr>
        <w:ind w:left="787" w:hanging="360"/>
      </w:pPr>
    </w:lvl>
    <w:lvl w:ilvl="1" w:tplc="08090019" w:tentative="1">
      <w:start w:val="1"/>
      <w:numFmt w:val="lowerLetter"/>
      <w:lvlText w:val="%2."/>
      <w:lvlJc w:val="left"/>
      <w:pPr>
        <w:ind w:left="1507" w:hanging="360"/>
      </w:pPr>
    </w:lvl>
    <w:lvl w:ilvl="2" w:tplc="0809001B" w:tentative="1">
      <w:start w:val="1"/>
      <w:numFmt w:val="lowerRoman"/>
      <w:lvlText w:val="%3."/>
      <w:lvlJc w:val="right"/>
      <w:pPr>
        <w:ind w:left="2227" w:hanging="180"/>
      </w:pPr>
    </w:lvl>
    <w:lvl w:ilvl="3" w:tplc="0809000F" w:tentative="1">
      <w:start w:val="1"/>
      <w:numFmt w:val="decimal"/>
      <w:lvlText w:val="%4."/>
      <w:lvlJc w:val="left"/>
      <w:pPr>
        <w:ind w:left="2947" w:hanging="360"/>
      </w:pPr>
    </w:lvl>
    <w:lvl w:ilvl="4" w:tplc="08090019" w:tentative="1">
      <w:start w:val="1"/>
      <w:numFmt w:val="lowerLetter"/>
      <w:lvlText w:val="%5."/>
      <w:lvlJc w:val="left"/>
      <w:pPr>
        <w:ind w:left="3667" w:hanging="360"/>
      </w:pPr>
    </w:lvl>
    <w:lvl w:ilvl="5" w:tplc="0809001B" w:tentative="1">
      <w:start w:val="1"/>
      <w:numFmt w:val="lowerRoman"/>
      <w:lvlText w:val="%6."/>
      <w:lvlJc w:val="right"/>
      <w:pPr>
        <w:ind w:left="4387" w:hanging="180"/>
      </w:pPr>
    </w:lvl>
    <w:lvl w:ilvl="6" w:tplc="0809000F" w:tentative="1">
      <w:start w:val="1"/>
      <w:numFmt w:val="decimal"/>
      <w:lvlText w:val="%7."/>
      <w:lvlJc w:val="left"/>
      <w:pPr>
        <w:ind w:left="5107" w:hanging="360"/>
      </w:pPr>
    </w:lvl>
    <w:lvl w:ilvl="7" w:tplc="08090019" w:tentative="1">
      <w:start w:val="1"/>
      <w:numFmt w:val="lowerLetter"/>
      <w:lvlText w:val="%8."/>
      <w:lvlJc w:val="left"/>
      <w:pPr>
        <w:ind w:left="5827" w:hanging="360"/>
      </w:pPr>
    </w:lvl>
    <w:lvl w:ilvl="8" w:tplc="0809001B" w:tentative="1">
      <w:start w:val="1"/>
      <w:numFmt w:val="lowerRoman"/>
      <w:lvlText w:val="%9."/>
      <w:lvlJc w:val="right"/>
      <w:pPr>
        <w:ind w:left="6547" w:hanging="180"/>
      </w:pPr>
    </w:lvl>
  </w:abstractNum>
  <w:abstractNum w:abstractNumId="5">
    <w:nsid w:val="10F66108"/>
    <w:multiLevelType w:val="hybridMultilevel"/>
    <w:tmpl w:val="743A3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0470B4"/>
    <w:multiLevelType w:val="hybridMultilevel"/>
    <w:tmpl w:val="F4842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094D17"/>
    <w:multiLevelType w:val="multilevel"/>
    <w:tmpl w:val="43F8CCE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EC242D3"/>
    <w:multiLevelType w:val="hybridMultilevel"/>
    <w:tmpl w:val="B5063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2C35864"/>
    <w:multiLevelType w:val="hybridMultilevel"/>
    <w:tmpl w:val="99562370"/>
    <w:lvl w:ilvl="0" w:tplc="67F6C9F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452074D"/>
    <w:multiLevelType w:val="hybridMultilevel"/>
    <w:tmpl w:val="77381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8BF5E81"/>
    <w:multiLevelType w:val="hybridMultilevel"/>
    <w:tmpl w:val="4470F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CE804B9"/>
    <w:multiLevelType w:val="hybridMultilevel"/>
    <w:tmpl w:val="BBE61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D61217E"/>
    <w:multiLevelType w:val="hybridMultilevel"/>
    <w:tmpl w:val="3028DC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5762B1D"/>
    <w:multiLevelType w:val="hybridMultilevel"/>
    <w:tmpl w:val="B4BC2662"/>
    <w:lvl w:ilvl="0" w:tplc="89F4DB60">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15">
    <w:nsid w:val="36215707"/>
    <w:multiLevelType w:val="hybridMultilevel"/>
    <w:tmpl w:val="BE566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6BD4073"/>
    <w:multiLevelType w:val="hybridMultilevel"/>
    <w:tmpl w:val="97343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CD271EF"/>
    <w:multiLevelType w:val="hybridMultilevel"/>
    <w:tmpl w:val="B38C7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EE76C59"/>
    <w:multiLevelType w:val="hybridMultilevel"/>
    <w:tmpl w:val="DF60E7F0"/>
    <w:lvl w:ilvl="0" w:tplc="08090001">
      <w:start w:val="1"/>
      <w:numFmt w:val="bullet"/>
      <w:lvlText w:val=""/>
      <w:lvlJc w:val="left"/>
      <w:pPr>
        <w:tabs>
          <w:tab w:val="num" w:pos="360"/>
        </w:tabs>
        <w:ind w:left="360" w:hanging="360"/>
      </w:pPr>
      <w:rPr>
        <w:rFonts w:ascii="Symbol" w:hAnsi="Symbol" w:hint="default"/>
      </w:rPr>
    </w:lvl>
    <w:lvl w:ilvl="1" w:tplc="9C48EFD4">
      <w:start w:val="1"/>
      <w:numFmt w:val="bullet"/>
      <w:lvlText w:val=""/>
      <w:lvlJc w:val="left"/>
      <w:pPr>
        <w:tabs>
          <w:tab w:val="num" w:pos="873"/>
        </w:tabs>
        <w:ind w:left="873" w:hanging="153"/>
      </w:pPr>
      <w:rPr>
        <w:rFonts w:ascii="Symbol" w:hAnsi="Symbol" w:hint="default"/>
        <w:color w:val="auto"/>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409F54A6"/>
    <w:multiLevelType w:val="hybridMultilevel"/>
    <w:tmpl w:val="3D544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0A424CE"/>
    <w:multiLevelType w:val="multilevel"/>
    <w:tmpl w:val="4DE6FF58"/>
    <w:lvl w:ilvl="0">
      <w:start w:val="5"/>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10056D9"/>
    <w:multiLevelType w:val="hybridMultilevel"/>
    <w:tmpl w:val="37169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12C6988"/>
    <w:multiLevelType w:val="hybridMultilevel"/>
    <w:tmpl w:val="17E294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2C96460"/>
    <w:multiLevelType w:val="hybridMultilevel"/>
    <w:tmpl w:val="F858CE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8827112"/>
    <w:multiLevelType w:val="hybridMultilevel"/>
    <w:tmpl w:val="EAAC8FFE"/>
    <w:lvl w:ilvl="0" w:tplc="7D86089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9CB361B"/>
    <w:multiLevelType w:val="hybridMultilevel"/>
    <w:tmpl w:val="AF500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AA97416"/>
    <w:multiLevelType w:val="hybridMultilevel"/>
    <w:tmpl w:val="93C0AA2A"/>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7">
    <w:nsid w:val="4B2D31BB"/>
    <w:multiLevelType w:val="hybridMultilevel"/>
    <w:tmpl w:val="3AA0884A"/>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8">
    <w:nsid w:val="4C5F1FD4"/>
    <w:multiLevelType w:val="hybridMultilevel"/>
    <w:tmpl w:val="DC541AF6"/>
    <w:lvl w:ilvl="0" w:tplc="FFFFFFFF">
      <w:start w:val="1"/>
      <w:numFmt w:val="decimal"/>
      <w:lvlText w:val="%1."/>
      <w:lvlJc w:val="left"/>
      <w:pPr>
        <w:tabs>
          <w:tab w:val="num" w:pos="720"/>
        </w:tabs>
        <w:ind w:left="720" w:hanging="360"/>
      </w:pPr>
      <w:rPr>
        <w:rFonts w:cs="Times New Roman"/>
      </w:rPr>
    </w:lvl>
    <w:lvl w:ilvl="1" w:tplc="08090003">
      <w:start w:val="1"/>
      <w:numFmt w:val="bullet"/>
      <w:pStyle w:val="Style8Bullet2After18pt"/>
      <w:lvlText w:val=""/>
      <w:lvlJc w:val="left"/>
      <w:pPr>
        <w:tabs>
          <w:tab w:val="num" w:pos="1440"/>
        </w:tabs>
        <w:ind w:left="1440" w:hanging="360"/>
      </w:pPr>
      <w:rPr>
        <w:rFonts w:ascii="Symbol" w:hAnsi="Symbol" w:hint="default"/>
        <w:color w:val="339966"/>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29">
    <w:nsid w:val="4CAC2A41"/>
    <w:multiLevelType w:val="hybridMultilevel"/>
    <w:tmpl w:val="7C3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1AD2F62"/>
    <w:multiLevelType w:val="hybridMultilevel"/>
    <w:tmpl w:val="05F4C45C"/>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31">
    <w:nsid w:val="54103E37"/>
    <w:multiLevelType w:val="hybridMultilevel"/>
    <w:tmpl w:val="0DA83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4E77692"/>
    <w:multiLevelType w:val="hybridMultilevel"/>
    <w:tmpl w:val="30220ED0"/>
    <w:lvl w:ilvl="0" w:tplc="67F6C9F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AA95935"/>
    <w:multiLevelType w:val="hybridMultilevel"/>
    <w:tmpl w:val="F9D29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C4C21CC"/>
    <w:multiLevelType w:val="hybridMultilevel"/>
    <w:tmpl w:val="839A2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6E478BD"/>
    <w:multiLevelType w:val="multilevel"/>
    <w:tmpl w:val="9B7EBD90"/>
    <w:lvl w:ilvl="0">
      <w:start w:val="1"/>
      <w:numFmt w:val="decimal"/>
      <w:lvlText w:val="%1.0"/>
      <w:lvlJc w:val="left"/>
      <w:pPr>
        <w:ind w:left="555" w:hanging="555"/>
      </w:pPr>
      <w:rPr>
        <w:rFonts w:hint="default"/>
      </w:rPr>
    </w:lvl>
    <w:lvl w:ilvl="1">
      <w:start w:val="1"/>
      <w:numFmt w:val="decimal"/>
      <w:lvlText w:val="%1.%2"/>
      <w:lvlJc w:val="left"/>
      <w:pPr>
        <w:ind w:left="1275" w:hanging="55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nsid w:val="677F4913"/>
    <w:multiLevelType w:val="hybridMultilevel"/>
    <w:tmpl w:val="81DEB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9873E83"/>
    <w:multiLevelType w:val="hybridMultilevel"/>
    <w:tmpl w:val="BE58A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FDB713A"/>
    <w:multiLevelType w:val="multilevel"/>
    <w:tmpl w:val="069CF48A"/>
    <w:lvl w:ilvl="0">
      <w:start w:val="1"/>
      <w:numFmt w:val="decimal"/>
      <w:lvlText w:val="%1"/>
      <w:lvlJc w:val="left"/>
      <w:pPr>
        <w:ind w:left="510" w:hanging="510"/>
      </w:pPr>
      <w:rPr>
        <w:rFonts w:asciiTheme="majorHAnsi" w:eastAsiaTheme="majorEastAsia" w:hAnsiTheme="majorHAnsi" w:cstheme="majorBidi" w:hint="default"/>
        <w:b/>
        <w:color w:val="2DA2BF" w:themeColor="accent1"/>
        <w:sz w:val="26"/>
      </w:rPr>
    </w:lvl>
    <w:lvl w:ilvl="1">
      <w:start w:val="1"/>
      <w:numFmt w:val="decimal"/>
      <w:lvlText w:val="%1.%2"/>
      <w:lvlJc w:val="left"/>
      <w:pPr>
        <w:ind w:left="510" w:hanging="510"/>
      </w:pPr>
      <w:rPr>
        <w:rFonts w:asciiTheme="majorHAnsi" w:eastAsiaTheme="majorEastAsia" w:hAnsiTheme="majorHAnsi" w:cstheme="majorBidi" w:hint="default"/>
        <w:b/>
        <w:color w:val="2DA2BF" w:themeColor="accent1"/>
        <w:sz w:val="26"/>
      </w:rPr>
    </w:lvl>
    <w:lvl w:ilvl="2">
      <w:start w:val="1"/>
      <w:numFmt w:val="decimal"/>
      <w:lvlText w:val="%1.%2.%3"/>
      <w:lvlJc w:val="left"/>
      <w:pPr>
        <w:ind w:left="720" w:hanging="720"/>
      </w:pPr>
      <w:rPr>
        <w:rFonts w:asciiTheme="majorHAnsi" w:eastAsiaTheme="majorEastAsia" w:hAnsiTheme="majorHAnsi" w:cstheme="majorBidi" w:hint="default"/>
        <w:b/>
        <w:color w:val="2DA2BF" w:themeColor="accent1"/>
        <w:sz w:val="26"/>
      </w:rPr>
    </w:lvl>
    <w:lvl w:ilvl="3">
      <w:start w:val="1"/>
      <w:numFmt w:val="decimal"/>
      <w:lvlText w:val="%1.%2.%3.%4"/>
      <w:lvlJc w:val="left"/>
      <w:pPr>
        <w:ind w:left="1080" w:hanging="1080"/>
      </w:pPr>
      <w:rPr>
        <w:rFonts w:asciiTheme="majorHAnsi" w:eastAsiaTheme="majorEastAsia" w:hAnsiTheme="majorHAnsi" w:cstheme="majorBidi" w:hint="default"/>
        <w:b/>
        <w:color w:val="2DA2BF" w:themeColor="accent1"/>
        <w:sz w:val="26"/>
      </w:rPr>
    </w:lvl>
    <w:lvl w:ilvl="4">
      <w:start w:val="1"/>
      <w:numFmt w:val="decimal"/>
      <w:lvlText w:val="%1.%2.%3.%4.%5"/>
      <w:lvlJc w:val="left"/>
      <w:pPr>
        <w:ind w:left="1080" w:hanging="1080"/>
      </w:pPr>
      <w:rPr>
        <w:rFonts w:asciiTheme="majorHAnsi" w:eastAsiaTheme="majorEastAsia" w:hAnsiTheme="majorHAnsi" w:cstheme="majorBidi" w:hint="default"/>
        <w:b/>
        <w:color w:val="2DA2BF" w:themeColor="accent1"/>
        <w:sz w:val="26"/>
      </w:rPr>
    </w:lvl>
    <w:lvl w:ilvl="5">
      <w:start w:val="1"/>
      <w:numFmt w:val="decimal"/>
      <w:lvlText w:val="%1.%2.%3.%4.%5.%6"/>
      <w:lvlJc w:val="left"/>
      <w:pPr>
        <w:ind w:left="1440" w:hanging="1440"/>
      </w:pPr>
      <w:rPr>
        <w:rFonts w:asciiTheme="majorHAnsi" w:eastAsiaTheme="majorEastAsia" w:hAnsiTheme="majorHAnsi" w:cstheme="majorBidi" w:hint="default"/>
        <w:b/>
        <w:color w:val="2DA2BF" w:themeColor="accent1"/>
        <w:sz w:val="26"/>
      </w:rPr>
    </w:lvl>
    <w:lvl w:ilvl="6">
      <w:start w:val="1"/>
      <w:numFmt w:val="decimal"/>
      <w:lvlText w:val="%1.%2.%3.%4.%5.%6.%7"/>
      <w:lvlJc w:val="left"/>
      <w:pPr>
        <w:ind w:left="1440" w:hanging="1440"/>
      </w:pPr>
      <w:rPr>
        <w:rFonts w:asciiTheme="majorHAnsi" w:eastAsiaTheme="majorEastAsia" w:hAnsiTheme="majorHAnsi" w:cstheme="majorBidi" w:hint="default"/>
        <w:b/>
        <w:color w:val="2DA2BF" w:themeColor="accent1"/>
        <w:sz w:val="26"/>
      </w:rPr>
    </w:lvl>
    <w:lvl w:ilvl="7">
      <w:start w:val="1"/>
      <w:numFmt w:val="decimal"/>
      <w:lvlText w:val="%1.%2.%3.%4.%5.%6.%7.%8"/>
      <w:lvlJc w:val="left"/>
      <w:pPr>
        <w:ind w:left="1800" w:hanging="1800"/>
      </w:pPr>
      <w:rPr>
        <w:rFonts w:asciiTheme="majorHAnsi" w:eastAsiaTheme="majorEastAsia" w:hAnsiTheme="majorHAnsi" w:cstheme="majorBidi" w:hint="default"/>
        <w:b/>
        <w:color w:val="2DA2BF" w:themeColor="accent1"/>
        <w:sz w:val="26"/>
      </w:rPr>
    </w:lvl>
    <w:lvl w:ilvl="8">
      <w:start w:val="1"/>
      <w:numFmt w:val="decimal"/>
      <w:lvlText w:val="%1.%2.%3.%4.%5.%6.%7.%8.%9"/>
      <w:lvlJc w:val="left"/>
      <w:pPr>
        <w:ind w:left="2160" w:hanging="2160"/>
      </w:pPr>
      <w:rPr>
        <w:rFonts w:asciiTheme="majorHAnsi" w:eastAsiaTheme="majorEastAsia" w:hAnsiTheme="majorHAnsi" w:cstheme="majorBidi" w:hint="default"/>
        <w:b/>
        <w:color w:val="2DA2BF" w:themeColor="accent1"/>
        <w:sz w:val="26"/>
      </w:rPr>
    </w:lvl>
  </w:abstractNum>
  <w:abstractNum w:abstractNumId="39">
    <w:nsid w:val="71F04A95"/>
    <w:multiLevelType w:val="hybridMultilevel"/>
    <w:tmpl w:val="3D66C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25156E4"/>
    <w:multiLevelType w:val="multilevel"/>
    <w:tmpl w:val="769EF92E"/>
    <w:lvl w:ilvl="0">
      <w:start w:val="5"/>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nsid w:val="74B33555"/>
    <w:multiLevelType w:val="multilevel"/>
    <w:tmpl w:val="FC6EA584"/>
    <w:lvl w:ilvl="0">
      <w:start w:val="1"/>
      <w:numFmt w:val="decimal"/>
      <w:lvlText w:val="%1."/>
      <w:lvlJc w:val="left"/>
      <w:pPr>
        <w:ind w:left="720" w:hanging="360"/>
      </w:pPr>
      <w:rPr>
        <w:rFonts w:hint="default"/>
      </w:rPr>
    </w:lvl>
    <w:lvl w:ilvl="1">
      <w:start w:val="9"/>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75EF1D5E"/>
    <w:multiLevelType w:val="multilevel"/>
    <w:tmpl w:val="C7988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6794BE8"/>
    <w:multiLevelType w:val="multilevel"/>
    <w:tmpl w:val="962EF60A"/>
    <w:lvl w:ilvl="0">
      <w:start w:val="5"/>
      <w:numFmt w:val="decimal"/>
      <w:lvlText w:val="%1"/>
      <w:lvlJc w:val="left"/>
      <w:pPr>
        <w:ind w:left="495" w:hanging="495"/>
      </w:pPr>
      <w:rPr>
        <w:rFonts w:hint="default"/>
        <w:b w:val="0"/>
        <w:i w:val="0"/>
      </w:rPr>
    </w:lvl>
    <w:lvl w:ilvl="1">
      <w:start w:val="1"/>
      <w:numFmt w:val="decimal"/>
      <w:lvlText w:val="%1.%2"/>
      <w:lvlJc w:val="left"/>
      <w:pPr>
        <w:ind w:left="495" w:hanging="495"/>
      </w:pPr>
      <w:rPr>
        <w:rFonts w:hint="default"/>
        <w:b w:val="0"/>
        <w:i w:val="0"/>
      </w:rPr>
    </w:lvl>
    <w:lvl w:ilvl="2">
      <w:start w:val="5"/>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44">
    <w:nsid w:val="770312AF"/>
    <w:multiLevelType w:val="hybridMultilevel"/>
    <w:tmpl w:val="E2B26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B9005F7"/>
    <w:multiLevelType w:val="hybridMultilevel"/>
    <w:tmpl w:val="CAEC6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C2321C6"/>
    <w:multiLevelType w:val="hybridMultilevel"/>
    <w:tmpl w:val="12C43AD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8"/>
  </w:num>
  <w:num w:numId="3">
    <w:abstractNumId w:val="32"/>
  </w:num>
  <w:num w:numId="4">
    <w:abstractNumId w:val="28"/>
  </w:num>
  <w:num w:numId="5">
    <w:abstractNumId w:val="18"/>
  </w:num>
  <w:num w:numId="6">
    <w:abstractNumId w:val="27"/>
  </w:num>
  <w:num w:numId="7">
    <w:abstractNumId w:val="46"/>
  </w:num>
  <w:num w:numId="8">
    <w:abstractNumId w:val="35"/>
  </w:num>
  <w:num w:numId="9">
    <w:abstractNumId w:val="2"/>
  </w:num>
  <w:num w:numId="10">
    <w:abstractNumId w:val="34"/>
  </w:num>
  <w:num w:numId="11">
    <w:abstractNumId w:val="31"/>
  </w:num>
  <w:num w:numId="12">
    <w:abstractNumId w:val="41"/>
  </w:num>
  <w:num w:numId="13">
    <w:abstractNumId w:val="39"/>
  </w:num>
  <w:num w:numId="14">
    <w:abstractNumId w:val="42"/>
  </w:num>
  <w:num w:numId="15">
    <w:abstractNumId w:val="6"/>
  </w:num>
  <w:num w:numId="16">
    <w:abstractNumId w:val="37"/>
  </w:num>
  <w:num w:numId="17">
    <w:abstractNumId w:val="25"/>
  </w:num>
  <w:num w:numId="18">
    <w:abstractNumId w:val="14"/>
  </w:num>
  <w:num w:numId="19">
    <w:abstractNumId w:val="12"/>
  </w:num>
  <w:num w:numId="20">
    <w:abstractNumId w:val="23"/>
  </w:num>
  <w:num w:numId="21">
    <w:abstractNumId w:val="29"/>
  </w:num>
  <w:num w:numId="22">
    <w:abstractNumId w:val="33"/>
  </w:num>
  <w:num w:numId="23">
    <w:abstractNumId w:val="5"/>
  </w:num>
  <w:num w:numId="24">
    <w:abstractNumId w:val="36"/>
  </w:num>
  <w:num w:numId="25">
    <w:abstractNumId w:val="4"/>
  </w:num>
  <w:num w:numId="26">
    <w:abstractNumId w:val="17"/>
  </w:num>
  <w:num w:numId="27">
    <w:abstractNumId w:val="1"/>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13"/>
  </w:num>
  <w:num w:numId="31">
    <w:abstractNumId w:val="21"/>
  </w:num>
  <w:num w:numId="32">
    <w:abstractNumId w:val="9"/>
  </w:num>
  <w:num w:numId="33">
    <w:abstractNumId w:val="40"/>
  </w:num>
  <w:num w:numId="34">
    <w:abstractNumId w:val="26"/>
  </w:num>
  <w:num w:numId="35">
    <w:abstractNumId w:val="30"/>
  </w:num>
  <w:num w:numId="36">
    <w:abstractNumId w:val="8"/>
  </w:num>
  <w:num w:numId="37">
    <w:abstractNumId w:val="45"/>
  </w:num>
  <w:num w:numId="38">
    <w:abstractNumId w:val="15"/>
  </w:num>
  <w:num w:numId="39">
    <w:abstractNumId w:val="19"/>
  </w:num>
  <w:num w:numId="40">
    <w:abstractNumId w:val="7"/>
  </w:num>
  <w:num w:numId="41">
    <w:abstractNumId w:val="20"/>
  </w:num>
  <w:num w:numId="42">
    <w:abstractNumId w:val="11"/>
  </w:num>
  <w:num w:numId="43">
    <w:abstractNumId w:val="24"/>
  </w:num>
  <w:num w:numId="44">
    <w:abstractNumId w:val="43"/>
  </w:num>
  <w:num w:numId="45">
    <w:abstractNumId w:val="3"/>
  </w:num>
  <w:num w:numId="46">
    <w:abstractNumId w:val="16"/>
  </w:num>
  <w:num w:numId="47">
    <w:abstractNumId w:val="44"/>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56" fillcolor="none [3201]" strokecolor="none [1940]">
      <v:fill color="none [3201]" color2="none [1300]" focusposition="1" focussize="" focus="100%" type="gradient"/>
      <v:stroke color="none [1940]" weight="1pt"/>
      <v:shadow on="t" type="perspective" color="none [1604]" opacity=".5" offset="1pt" offset2="-3pt"/>
    </o:shapedefaults>
    <o:shapelayout v:ext="edit">
      <o:idmap v:ext="edit" data="2"/>
    </o:shapelayout>
  </w:hdrShapeDefaults>
  <w:footnotePr>
    <w:footnote w:id="-1"/>
    <w:footnote w:id="0"/>
  </w:footnotePr>
  <w:endnotePr>
    <w:endnote w:id="-1"/>
    <w:endnote w:id="0"/>
  </w:endnotePr>
  <w:compat>
    <w:useFELayout/>
  </w:compat>
  <w:rsids>
    <w:rsidRoot w:val="00AB3CF2"/>
    <w:rsid w:val="00000B99"/>
    <w:rsid w:val="000016EC"/>
    <w:rsid w:val="00001C96"/>
    <w:rsid w:val="000024C5"/>
    <w:rsid w:val="00002858"/>
    <w:rsid w:val="00002B46"/>
    <w:rsid w:val="00002B84"/>
    <w:rsid w:val="00002EA3"/>
    <w:rsid w:val="0000354B"/>
    <w:rsid w:val="00003930"/>
    <w:rsid w:val="00003F64"/>
    <w:rsid w:val="00004669"/>
    <w:rsid w:val="000051CC"/>
    <w:rsid w:val="00005333"/>
    <w:rsid w:val="00005FFB"/>
    <w:rsid w:val="000075D5"/>
    <w:rsid w:val="00007ABE"/>
    <w:rsid w:val="0001047A"/>
    <w:rsid w:val="000130B7"/>
    <w:rsid w:val="00013AB8"/>
    <w:rsid w:val="00014A40"/>
    <w:rsid w:val="00014CBC"/>
    <w:rsid w:val="00014E2A"/>
    <w:rsid w:val="00015ACC"/>
    <w:rsid w:val="0001615B"/>
    <w:rsid w:val="00017954"/>
    <w:rsid w:val="00017BAC"/>
    <w:rsid w:val="00017E65"/>
    <w:rsid w:val="00020125"/>
    <w:rsid w:val="00020242"/>
    <w:rsid w:val="00020319"/>
    <w:rsid w:val="00020B64"/>
    <w:rsid w:val="00020C0E"/>
    <w:rsid w:val="00020FB5"/>
    <w:rsid w:val="00021082"/>
    <w:rsid w:val="000217AE"/>
    <w:rsid w:val="000218F9"/>
    <w:rsid w:val="00022506"/>
    <w:rsid w:val="00022653"/>
    <w:rsid w:val="0002267E"/>
    <w:rsid w:val="000229BF"/>
    <w:rsid w:val="00023C44"/>
    <w:rsid w:val="000242DF"/>
    <w:rsid w:val="00024841"/>
    <w:rsid w:val="00025127"/>
    <w:rsid w:val="000252B9"/>
    <w:rsid w:val="00025B1D"/>
    <w:rsid w:val="00025DAD"/>
    <w:rsid w:val="00025FD9"/>
    <w:rsid w:val="00026541"/>
    <w:rsid w:val="00026779"/>
    <w:rsid w:val="00027678"/>
    <w:rsid w:val="0002776D"/>
    <w:rsid w:val="00027BF8"/>
    <w:rsid w:val="0003345A"/>
    <w:rsid w:val="0003387F"/>
    <w:rsid w:val="0003388D"/>
    <w:rsid w:val="00033A3A"/>
    <w:rsid w:val="00034556"/>
    <w:rsid w:val="000349F5"/>
    <w:rsid w:val="0003639D"/>
    <w:rsid w:val="00037166"/>
    <w:rsid w:val="0003730C"/>
    <w:rsid w:val="00037B85"/>
    <w:rsid w:val="00040C76"/>
    <w:rsid w:val="000413BB"/>
    <w:rsid w:val="0004183E"/>
    <w:rsid w:val="00042A5D"/>
    <w:rsid w:val="000431B4"/>
    <w:rsid w:val="000436D7"/>
    <w:rsid w:val="00043ED8"/>
    <w:rsid w:val="0004656D"/>
    <w:rsid w:val="00050213"/>
    <w:rsid w:val="00052791"/>
    <w:rsid w:val="00053433"/>
    <w:rsid w:val="00054029"/>
    <w:rsid w:val="00055768"/>
    <w:rsid w:val="00055EE1"/>
    <w:rsid w:val="000561FE"/>
    <w:rsid w:val="000562D4"/>
    <w:rsid w:val="000569D2"/>
    <w:rsid w:val="000577A1"/>
    <w:rsid w:val="00057BA5"/>
    <w:rsid w:val="000615D6"/>
    <w:rsid w:val="000619F7"/>
    <w:rsid w:val="00061A1C"/>
    <w:rsid w:val="00061EE9"/>
    <w:rsid w:val="00062875"/>
    <w:rsid w:val="00063F7B"/>
    <w:rsid w:val="00064347"/>
    <w:rsid w:val="000646D9"/>
    <w:rsid w:val="00064CC0"/>
    <w:rsid w:val="00067216"/>
    <w:rsid w:val="0006772C"/>
    <w:rsid w:val="00070155"/>
    <w:rsid w:val="0007071E"/>
    <w:rsid w:val="00071970"/>
    <w:rsid w:val="00072343"/>
    <w:rsid w:val="00072368"/>
    <w:rsid w:val="00072F15"/>
    <w:rsid w:val="00073310"/>
    <w:rsid w:val="00074BC8"/>
    <w:rsid w:val="00075530"/>
    <w:rsid w:val="00076CF4"/>
    <w:rsid w:val="000818AD"/>
    <w:rsid w:val="00083361"/>
    <w:rsid w:val="00083973"/>
    <w:rsid w:val="00083E3B"/>
    <w:rsid w:val="00083E7A"/>
    <w:rsid w:val="00084993"/>
    <w:rsid w:val="00084C77"/>
    <w:rsid w:val="00085FB6"/>
    <w:rsid w:val="00087F23"/>
    <w:rsid w:val="00087F60"/>
    <w:rsid w:val="00090852"/>
    <w:rsid w:val="000908D4"/>
    <w:rsid w:val="00090AA8"/>
    <w:rsid w:val="00090BFF"/>
    <w:rsid w:val="000918CB"/>
    <w:rsid w:val="000923AF"/>
    <w:rsid w:val="00093148"/>
    <w:rsid w:val="00093B68"/>
    <w:rsid w:val="00093ED0"/>
    <w:rsid w:val="00094A8C"/>
    <w:rsid w:val="00095C85"/>
    <w:rsid w:val="00095C98"/>
    <w:rsid w:val="000964F5"/>
    <w:rsid w:val="00097179"/>
    <w:rsid w:val="000974D9"/>
    <w:rsid w:val="000A133B"/>
    <w:rsid w:val="000A1BD5"/>
    <w:rsid w:val="000A349C"/>
    <w:rsid w:val="000A4101"/>
    <w:rsid w:val="000A5C20"/>
    <w:rsid w:val="000A67A9"/>
    <w:rsid w:val="000A7301"/>
    <w:rsid w:val="000B073C"/>
    <w:rsid w:val="000B0C9B"/>
    <w:rsid w:val="000B1022"/>
    <w:rsid w:val="000B14A0"/>
    <w:rsid w:val="000B2672"/>
    <w:rsid w:val="000B2A9E"/>
    <w:rsid w:val="000B2C52"/>
    <w:rsid w:val="000B2F16"/>
    <w:rsid w:val="000B3FAC"/>
    <w:rsid w:val="000B4143"/>
    <w:rsid w:val="000B44EA"/>
    <w:rsid w:val="000B5F0B"/>
    <w:rsid w:val="000B6079"/>
    <w:rsid w:val="000B74E2"/>
    <w:rsid w:val="000B7727"/>
    <w:rsid w:val="000C019A"/>
    <w:rsid w:val="000C08AA"/>
    <w:rsid w:val="000C0C71"/>
    <w:rsid w:val="000C0CE6"/>
    <w:rsid w:val="000C0DF1"/>
    <w:rsid w:val="000C2046"/>
    <w:rsid w:val="000C2C79"/>
    <w:rsid w:val="000C3392"/>
    <w:rsid w:val="000C3924"/>
    <w:rsid w:val="000C3AAB"/>
    <w:rsid w:val="000C3B94"/>
    <w:rsid w:val="000C47D5"/>
    <w:rsid w:val="000C4D08"/>
    <w:rsid w:val="000C4FD9"/>
    <w:rsid w:val="000C50AA"/>
    <w:rsid w:val="000C56E1"/>
    <w:rsid w:val="000C5CB3"/>
    <w:rsid w:val="000C6FC6"/>
    <w:rsid w:val="000C77A2"/>
    <w:rsid w:val="000C795D"/>
    <w:rsid w:val="000C7E16"/>
    <w:rsid w:val="000D001F"/>
    <w:rsid w:val="000D0822"/>
    <w:rsid w:val="000D1026"/>
    <w:rsid w:val="000D1258"/>
    <w:rsid w:val="000D181F"/>
    <w:rsid w:val="000D4197"/>
    <w:rsid w:val="000D41DB"/>
    <w:rsid w:val="000D4F61"/>
    <w:rsid w:val="000D5A10"/>
    <w:rsid w:val="000D5C74"/>
    <w:rsid w:val="000D61DC"/>
    <w:rsid w:val="000D64A0"/>
    <w:rsid w:val="000D6520"/>
    <w:rsid w:val="000D66BA"/>
    <w:rsid w:val="000D726F"/>
    <w:rsid w:val="000E004D"/>
    <w:rsid w:val="000E0307"/>
    <w:rsid w:val="000E072F"/>
    <w:rsid w:val="000E1026"/>
    <w:rsid w:val="000E1C50"/>
    <w:rsid w:val="000E1CC5"/>
    <w:rsid w:val="000E2457"/>
    <w:rsid w:val="000E3A13"/>
    <w:rsid w:val="000E561A"/>
    <w:rsid w:val="000E6080"/>
    <w:rsid w:val="000E643F"/>
    <w:rsid w:val="000F11DD"/>
    <w:rsid w:val="000F1393"/>
    <w:rsid w:val="000F20A6"/>
    <w:rsid w:val="000F27EC"/>
    <w:rsid w:val="000F2A73"/>
    <w:rsid w:val="000F317A"/>
    <w:rsid w:val="000F36F2"/>
    <w:rsid w:val="000F4010"/>
    <w:rsid w:val="000F481F"/>
    <w:rsid w:val="000F4A71"/>
    <w:rsid w:val="000F5895"/>
    <w:rsid w:val="000F7D93"/>
    <w:rsid w:val="000F7E6A"/>
    <w:rsid w:val="00101E0C"/>
    <w:rsid w:val="001027B5"/>
    <w:rsid w:val="00102C1C"/>
    <w:rsid w:val="00103564"/>
    <w:rsid w:val="001058B5"/>
    <w:rsid w:val="00105EDA"/>
    <w:rsid w:val="00107B23"/>
    <w:rsid w:val="0011029F"/>
    <w:rsid w:val="00110742"/>
    <w:rsid w:val="00110BAD"/>
    <w:rsid w:val="00111766"/>
    <w:rsid w:val="00112200"/>
    <w:rsid w:val="00112521"/>
    <w:rsid w:val="00112A70"/>
    <w:rsid w:val="0011380E"/>
    <w:rsid w:val="00115BCD"/>
    <w:rsid w:val="00115E87"/>
    <w:rsid w:val="00116129"/>
    <w:rsid w:val="00116145"/>
    <w:rsid w:val="00116DA0"/>
    <w:rsid w:val="001174AF"/>
    <w:rsid w:val="00117EBA"/>
    <w:rsid w:val="00120376"/>
    <w:rsid w:val="001209E1"/>
    <w:rsid w:val="00121F8C"/>
    <w:rsid w:val="0012293C"/>
    <w:rsid w:val="00123203"/>
    <w:rsid w:val="0012342B"/>
    <w:rsid w:val="00123AC4"/>
    <w:rsid w:val="001245B7"/>
    <w:rsid w:val="001263C0"/>
    <w:rsid w:val="00126AC6"/>
    <w:rsid w:val="00130867"/>
    <w:rsid w:val="00130FAF"/>
    <w:rsid w:val="00131D93"/>
    <w:rsid w:val="0013224F"/>
    <w:rsid w:val="00133F4E"/>
    <w:rsid w:val="00134534"/>
    <w:rsid w:val="001347AF"/>
    <w:rsid w:val="00135F11"/>
    <w:rsid w:val="00136EAB"/>
    <w:rsid w:val="00137406"/>
    <w:rsid w:val="0014003B"/>
    <w:rsid w:val="00140D79"/>
    <w:rsid w:val="001423E0"/>
    <w:rsid w:val="00142518"/>
    <w:rsid w:val="0014271A"/>
    <w:rsid w:val="001433B2"/>
    <w:rsid w:val="001433C9"/>
    <w:rsid w:val="001435C1"/>
    <w:rsid w:val="00144E44"/>
    <w:rsid w:val="0014558F"/>
    <w:rsid w:val="00145CDF"/>
    <w:rsid w:val="00145DD6"/>
    <w:rsid w:val="00145EB6"/>
    <w:rsid w:val="00146038"/>
    <w:rsid w:val="00146B7B"/>
    <w:rsid w:val="00147458"/>
    <w:rsid w:val="00150C05"/>
    <w:rsid w:val="00150D0D"/>
    <w:rsid w:val="001510BB"/>
    <w:rsid w:val="001513CF"/>
    <w:rsid w:val="00152146"/>
    <w:rsid w:val="00152492"/>
    <w:rsid w:val="00154DE4"/>
    <w:rsid w:val="0015628B"/>
    <w:rsid w:val="0015632C"/>
    <w:rsid w:val="00156872"/>
    <w:rsid w:val="00157B5C"/>
    <w:rsid w:val="001603CC"/>
    <w:rsid w:val="00160D68"/>
    <w:rsid w:val="00162748"/>
    <w:rsid w:val="001633DA"/>
    <w:rsid w:val="001633E0"/>
    <w:rsid w:val="00164F10"/>
    <w:rsid w:val="001666CC"/>
    <w:rsid w:val="001669FD"/>
    <w:rsid w:val="00167DA7"/>
    <w:rsid w:val="0017079A"/>
    <w:rsid w:val="00170A77"/>
    <w:rsid w:val="0017190D"/>
    <w:rsid w:val="0017227E"/>
    <w:rsid w:val="0017236D"/>
    <w:rsid w:val="00172552"/>
    <w:rsid w:val="001726A4"/>
    <w:rsid w:val="00172B81"/>
    <w:rsid w:val="00174469"/>
    <w:rsid w:val="00174D43"/>
    <w:rsid w:val="00174F79"/>
    <w:rsid w:val="00175C94"/>
    <w:rsid w:val="001763A8"/>
    <w:rsid w:val="001768A4"/>
    <w:rsid w:val="00177679"/>
    <w:rsid w:val="001779B4"/>
    <w:rsid w:val="00177E0B"/>
    <w:rsid w:val="00177F87"/>
    <w:rsid w:val="001802FF"/>
    <w:rsid w:val="001808CB"/>
    <w:rsid w:val="00180C26"/>
    <w:rsid w:val="00180F3B"/>
    <w:rsid w:val="00181136"/>
    <w:rsid w:val="001821EF"/>
    <w:rsid w:val="00182851"/>
    <w:rsid w:val="00183722"/>
    <w:rsid w:val="00183FC7"/>
    <w:rsid w:val="0018416F"/>
    <w:rsid w:val="0018436B"/>
    <w:rsid w:val="001860A7"/>
    <w:rsid w:val="001864C3"/>
    <w:rsid w:val="0018717A"/>
    <w:rsid w:val="00190A4A"/>
    <w:rsid w:val="001916BC"/>
    <w:rsid w:val="0019199D"/>
    <w:rsid w:val="00191A1B"/>
    <w:rsid w:val="00191E5D"/>
    <w:rsid w:val="00192411"/>
    <w:rsid w:val="00192808"/>
    <w:rsid w:val="00193598"/>
    <w:rsid w:val="00193DD5"/>
    <w:rsid w:val="0019504C"/>
    <w:rsid w:val="00195962"/>
    <w:rsid w:val="00195B4B"/>
    <w:rsid w:val="00195F2C"/>
    <w:rsid w:val="001963C2"/>
    <w:rsid w:val="001969AF"/>
    <w:rsid w:val="001A1396"/>
    <w:rsid w:val="001A18DF"/>
    <w:rsid w:val="001A1E20"/>
    <w:rsid w:val="001A2F20"/>
    <w:rsid w:val="001A4B9D"/>
    <w:rsid w:val="001A503C"/>
    <w:rsid w:val="001A53A7"/>
    <w:rsid w:val="001A5D58"/>
    <w:rsid w:val="001A5D91"/>
    <w:rsid w:val="001A6673"/>
    <w:rsid w:val="001B0999"/>
    <w:rsid w:val="001B17D3"/>
    <w:rsid w:val="001B1AFB"/>
    <w:rsid w:val="001B1B66"/>
    <w:rsid w:val="001B1B68"/>
    <w:rsid w:val="001B1CEF"/>
    <w:rsid w:val="001B1D27"/>
    <w:rsid w:val="001B1DC1"/>
    <w:rsid w:val="001B2D2A"/>
    <w:rsid w:val="001B3B3A"/>
    <w:rsid w:val="001B3E35"/>
    <w:rsid w:val="001B586D"/>
    <w:rsid w:val="001B59FF"/>
    <w:rsid w:val="001B5FAE"/>
    <w:rsid w:val="001B6079"/>
    <w:rsid w:val="001B6E2E"/>
    <w:rsid w:val="001B7226"/>
    <w:rsid w:val="001C0E10"/>
    <w:rsid w:val="001C0E15"/>
    <w:rsid w:val="001C1371"/>
    <w:rsid w:val="001C1617"/>
    <w:rsid w:val="001C16A2"/>
    <w:rsid w:val="001C248F"/>
    <w:rsid w:val="001C2664"/>
    <w:rsid w:val="001C2BA5"/>
    <w:rsid w:val="001C2EE7"/>
    <w:rsid w:val="001C386B"/>
    <w:rsid w:val="001C38FE"/>
    <w:rsid w:val="001C3CB2"/>
    <w:rsid w:val="001C5705"/>
    <w:rsid w:val="001C58B7"/>
    <w:rsid w:val="001C5D8D"/>
    <w:rsid w:val="001C6980"/>
    <w:rsid w:val="001C7B00"/>
    <w:rsid w:val="001C7B82"/>
    <w:rsid w:val="001D0B2F"/>
    <w:rsid w:val="001D0BDC"/>
    <w:rsid w:val="001D0D25"/>
    <w:rsid w:val="001D20DD"/>
    <w:rsid w:val="001D22E8"/>
    <w:rsid w:val="001D322F"/>
    <w:rsid w:val="001D5948"/>
    <w:rsid w:val="001D5B4E"/>
    <w:rsid w:val="001D5DC9"/>
    <w:rsid w:val="001D70DF"/>
    <w:rsid w:val="001E03B2"/>
    <w:rsid w:val="001E03ED"/>
    <w:rsid w:val="001E07A1"/>
    <w:rsid w:val="001E07C0"/>
    <w:rsid w:val="001E1878"/>
    <w:rsid w:val="001E1CA5"/>
    <w:rsid w:val="001E210D"/>
    <w:rsid w:val="001E283F"/>
    <w:rsid w:val="001E28F9"/>
    <w:rsid w:val="001E39F7"/>
    <w:rsid w:val="001E3CE5"/>
    <w:rsid w:val="001E4F9A"/>
    <w:rsid w:val="001E6142"/>
    <w:rsid w:val="001E6545"/>
    <w:rsid w:val="001E6910"/>
    <w:rsid w:val="001E76E9"/>
    <w:rsid w:val="001E7BD1"/>
    <w:rsid w:val="001F0B8E"/>
    <w:rsid w:val="001F168E"/>
    <w:rsid w:val="001F170B"/>
    <w:rsid w:val="001F2158"/>
    <w:rsid w:val="001F3473"/>
    <w:rsid w:val="001F42FC"/>
    <w:rsid w:val="001F475D"/>
    <w:rsid w:val="001F49B0"/>
    <w:rsid w:val="001F67E8"/>
    <w:rsid w:val="001F71E1"/>
    <w:rsid w:val="001F7D4D"/>
    <w:rsid w:val="002002A7"/>
    <w:rsid w:val="002005B8"/>
    <w:rsid w:val="002005DF"/>
    <w:rsid w:val="00200DC5"/>
    <w:rsid w:val="0020289C"/>
    <w:rsid w:val="00202A81"/>
    <w:rsid w:val="0020326D"/>
    <w:rsid w:val="00203DD9"/>
    <w:rsid w:val="0020403C"/>
    <w:rsid w:val="0020425B"/>
    <w:rsid w:val="002046B4"/>
    <w:rsid w:val="00204D4D"/>
    <w:rsid w:val="00206DFF"/>
    <w:rsid w:val="00207AE6"/>
    <w:rsid w:val="00210480"/>
    <w:rsid w:val="00210748"/>
    <w:rsid w:val="00210A68"/>
    <w:rsid w:val="00210B82"/>
    <w:rsid w:val="00210BEF"/>
    <w:rsid w:val="00211B11"/>
    <w:rsid w:val="00211C67"/>
    <w:rsid w:val="002129A2"/>
    <w:rsid w:val="00213AD2"/>
    <w:rsid w:val="00213C21"/>
    <w:rsid w:val="002145C8"/>
    <w:rsid w:val="00214D95"/>
    <w:rsid w:val="00214F8C"/>
    <w:rsid w:val="00216A0B"/>
    <w:rsid w:val="0022019A"/>
    <w:rsid w:val="002202FB"/>
    <w:rsid w:val="00220A63"/>
    <w:rsid w:val="00222869"/>
    <w:rsid w:val="00222D7C"/>
    <w:rsid w:val="002254F4"/>
    <w:rsid w:val="00226AB5"/>
    <w:rsid w:val="00226C2A"/>
    <w:rsid w:val="00226FD4"/>
    <w:rsid w:val="00227C38"/>
    <w:rsid w:val="00227F30"/>
    <w:rsid w:val="0023114B"/>
    <w:rsid w:val="0023125B"/>
    <w:rsid w:val="0023158A"/>
    <w:rsid w:val="00231DE4"/>
    <w:rsid w:val="00232F7E"/>
    <w:rsid w:val="00233193"/>
    <w:rsid w:val="00233332"/>
    <w:rsid w:val="002339FA"/>
    <w:rsid w:val="00233A01"/>
    <w:rsid w:val="00234C35"/>
    <w:rsid w:val="00235A07"/>
    <w:rsid w:val="002364F3"/>
    <w:rsid w:val="00236A2F"/>
    <w:rsid w:val="00236DF4"/>
    <w:rsid w:val="00237E13"/>
    <w:rsid w:val="002404FA"/>
    <w:rsid w:val="00241059"/>
    <w:rsid w:val="00241166"/>
    <w:rsid w:val="0024164C"/>
    <w:rsid w:val="00241833"/>
    <w:rsid w:val="00242236"/>
    <w:rsid w:val="00243146"/>
    <w:rsid w:val="002434A7"/>
    <w:rsid w:val="002436C9"/>
    <w:rsid w:val="002439B5"/>
    <w:rsid w:val="002447D7"/>
    <w:rsid w:val="002458C4"/>
    <w:rsid w:val="00245F3C"/>
    <w:rsid w:val="00252E48"/>
    <w:rsid w:val="00253D96"/>
    <w:rsid w:val="002551AA"/>
    <w:rsid w:val="00255468"/>
    <w:rsid w:val="002554CA"/>
    <w:rsid w:val="0025606B"/>
    <w:rsid w:val="002566C3"/>
    <w:rsid w:val="002572DA"/>
    <w:rsid w:val="00257A8C"/>
    <w:rsid w:val="00257ACD"/>
    <w:rsid w:val="00260A0D"/>
    <w:rsid w:val="00260F5F"/>
    <w:rsid w:val="00262253"/>
    <w:rsid w:val="00262513"/>
    <w:rsid w:val="00262C6F"/>
    <w:rsid w:val="00262CF4"/>
    <w:rsid w:val="002634DC"/>
    <w:rsid w:val="002641D2"/>
    <w:rsid w:val="00264652"/>
    <w:rsid w:val="00265688"/>
    <w:rsid w:val="00265A83"/>
    <w:rsid w:val="00265B12"/>
    <w:rsid w:val="0026783C"/>
    <w:rsid w:val="00270040"/>
    <w:rsid w:val="00270AB2"/>
    <w:rsid w:val="00270D48"/>
    <w:rsid w:val="00270E6A"/>
    <w:rsid w:val="00271799"/>
    <w:rsid w:val="00273525"/>
    <w:rsid w:val="00273985"/>
    <w:rsid w:val="00274001"/>
    <w:rsid w:val="0027420D"/>
    <w:rsid w:val="00275225"/>
    <w:rsid w:val="002755F8"/>
    <w:rsid w:val="00275CB4"/>
    <w:rsid w:val="0027666E"/>
    <w:rsid w:val="00280563"/>
    <w:rsid w:val="002813CC"/>
    <w:rsid w:val="002815F8"/>
    <w:rsid w:val="00282830"/>
    <w:rsid w:val="002835BC"/>
    <w:rsid w:val="002837F9"/>
    <w:rsid w:val="00284434"/>
    <w:rsid w:val="00285C87"/>
    <w:rsid w:val="002872BD"/>
    <w:rsid w:val="00287913"/>
    <w:rsid w:val="00287ABC"/>
    <w:rsid w:val="00287D7D"/>
    <w:rsid w:val="002909B1"/>
    <w:rsid w:val="0029270C"/>
    <w:rsid w:val="00293522"/>
    <w:rsid w:val="00293B7D"/>
    <w:rsid w:val="00293F08"/>
    <w:rsid w:val="002940E0"/>
    <w:rsid w:val="002946D4"/>
    <w:rsid w:val="00294FC8"/>
    <w:rsid w:val="002960FA"/>
    <w:rsid w:val="00296D51"/>
    <w:rsid w:val="00297B2D"/>
    <w:rsid w:val="002A0162"/>
    <w:rsid w:val="002A0215"/>
    <w:rsid w:val="002A0CF1"/>
    <w:rsid w:val="002A0D1E"/>
    <w:rsid w:val="002A1A6B"/>
    <w:rsid w:val="002A1D94"/>
    <w:rsid w:val="002A35BF"/>
    <w:rsid w:val="002A3C02"/>
    <w:rsid w:val="002A3EF4"/>
    <w:rsid w:val="002A417D"/>
    <w:rsid w:val="002A46EF"/>
    <w:rsid w:val="002A5E93"/>
    <w:rsid w:val="002A7BC5"/>
    <w:rsid w:val="002B0932"/>
    <w:rsid w:val="002B1277"/>
    <w:rsid w:val="002B14CF"/>
    <w:rsid w:val="002B437E"/>
    <w:rsid w:val="002B47C5"/>
    <w:rsid w:val="002B4AA5"/>
    <w:rsid w:val="002B4B08"/>
    <w:rsid w:val="002B5038"/>
    <w:rsid w:val="002B5092"/>
    <w:rsid w:val="002B542C"/>
    <w:rsid w:val="002B5FC9"/>
    <w:rsid w:val="002B7250"/>
    <w:rsid w:val="002B7423"/>
    <w:rsid w:val="002B76BB"/>
    <w:rsid w:val="002C073C"/>
    <w:rsid w:val="002C0C3A"/>
    <w:rsid w:val="002C0D9D"/>
    <w:rsid w:val="002C20F3"/>
    <w:rsid w:val="002C3248"/>
    <w:rsid w:val="002C3A04"/>
    <w:rsid w:val="002C3FB4"/>
    <w:rsid w:val="002C4E19"/>
    <w:rsid w:val="002C502E"/>
    <w:rsid w:val="002C52A6"/>
    <w:rsid w:val="002C5BBD"/>
    <w:rsid w:val="002C6698"/>
    <w:rsid w:val="002C6E93"/>
    <w:rsid w:val="002C7C19"/>
    <w:rsid w:val="002D01E1"/>
    <w:rsid w:val="002D0304"/>
    <w:rsid w:val="002D1898"/>
    <w:rsid w:val="002D1E8F"/>
    <w:rsid w:val="002D2AB4"/>
    <w:rsid w:val="002D2D1F"/>
    <w:rsid w:val="002D2ED8"/>
    <w:rsid w:val="002D316E"/>
    <w:rsid w:val="002D32DC"/>
    <w:rsid w:val="002D3722"/>
    <w:rsid w:val="002D39AB"/>
    <w:rsid w:val="002D4CCD"/>
    <w:rsid w:val="002D525F"/>
    <w:rsid w:val="002D569F"/>
    <w:rsid w:val="002D5D05"/>
    <w:rsid w:val="002D7236"/>
    <w:rsid w:val="002D7EBC"/>
    <w:rsid w:val="002E0150"/>
    <w:rsid w:val="002E03FB"/>
    <w:rsid w:val="002E06EB"/>
    <w:rsid w:val="002E07B6"/>
    <w:rsid w:val="002E1943"/>
    <w:rsid w:val="002E19A3"/>
    <w:rsid w:val="002E22C1"/>
    <w:rsid w:val="002E2A62"/>
    <w:rsid w:val="002E3EAF"/>
    <w:rsid w:val="002E49EA"/>
    <w:rsid w:val="002E5188"/>
    <w:rsid w:val="002E56A6"/>
    <w:rsid w:val="002E5C9C"/>
    <w:rsid w:val="002E6425"/>
    <w:rsid w:val="002E65ED"/>
    <w:rsid w:val="002E69A2"/>
    <w:rsid w:val="002F0D35"/>
    <w:rsid w:val="002F1D19"/>
    <w:rsid w:val="002F204C"/>
    <w:rsid w:val="002F22B4"/>
    <w:rsid w:val="002F3751"/>
    <w:rsid w:val="002F4A04"/>
    <w:rsid w:val="002F516B"/>
    <w:rsid w:val="002F530C"/>
    <w:rsid w:val="002F6A19"/>
    <w:rsid w:val="002F6B07"/>
    <w:rsid w:val="002F6ED6"/>
    <w:rsid w:val="002F7335"/>
    <w:rsid w:val="002F78D9"/>
    <w:rsid w:val="003002CE"/>
    <w:rsid w:val="00300523"/>
    <w:rsid w:val="00300608"/>
    <w:rsid w:val="003007E2"/>
    <w:rsid w:val="00300E5B"/>
    <w:rsid w:val="003011CA"/>
    <w:rsid w:val="003012E8"/>
    <w:rsid w:val="003015B9"/>
    <w:rsid w:val="00301BD1"/>
    <w:rsid w:val="00301DBB"/>
    <w:rsid w:val="0030348D"/>
    <w:rsid w:val="00304297"/>
    <w:rsid w:val="003048DC"/>
    <w:rsid w:val="003055CD"/>
    <w:rsid w:val="00305CD6"/>
    <w:rsid w:val="00306048"/>
    <w:rsid w:val="00306665"/>
    <w:rsid w:val="00306ECE"/>
    <w:rsid w:val="003106A7"/>
    <w:rsid w:val="00310819"/>
    <w:rsid w:val="00311E1A"/>
    <w:rsid w:val="0031263D"/>
    <w:rsid w:val="00313465"/>
    <w:rsid w:val="00313BAE"/>
    <w:rsid w:val="00313DD9"/>
    <w:rsid w:val="0031443E"/>
    <w:rsid w:val="003163DF"/>
    <w:rsid w:val="00316A1F"/>
    <w:rsid w:val="00317546"/>
    <w:rsid w:val="00317A79"/>
    <w:rsid w:val="00321356"/>
    <w:rsid w:val="003222A3"/>
    <w:rsid w:val="00322D4C"/>
    <w:rsid w:val="00323E94"/>
    <w:rsid w:val="0032495F"/>
    <w:rsid w:val="00326230"/>
    <w:rsid w:val="003274E8"/>
    <w:rsid w:val="003277DA"/>
    <w:rsid w:val="00327929"/>
    <w:rsid w:val="00327EA5"/>
    <w:rsid w:val="00330053"/>
    <w:rsid w:val="003308EE"/>
    <w:rsid w:val="0033100F"/>
    <w:rsid w:val="0033107A"/>
    <w:rsid w:val="003330D7"/>
    <w:rsid w:val="00333672"/>
    <w:rsid w:val="00333B10"/>
    <w:rsid w:val="00334158"/>
    <w:rsid w:val="00334887"/>
    <w:rsid w:val="00334959"/>
    <w:rsid w:val="00335179"/>
    <w:rsid w:val="00335F9D"/>
    <w:rsid w:val="003378B6"/>
    <w:rsid w:val="00340DB6"/>
    <w:rsid w:val="00343D78"/>
    <w:rsid w:val="00344403"/>
    <w:rsid w:val="00344A76"/>
    <w:rsid w:val="0034582F"/>
    <w:rsid w:val="00346F66"/>
    <w:rsid w:val="00347787"/>
    <w:rsid w:val="00347877"/>
    <w:rsid w:val="00347A8D"/>
    <w:rsid w:val="003514DC"/>
    <w:rsid w:val="00351B6A"/>
    <w:rsid w:val="00351CB3"/>
    <w:rsid w:val="00351CCF"/>
    <w:rsid w:val="00352DBB"/>
    <w:rsid w:val="0035334A"/>
    <w:rsid w:val="003534E5"/>
    <w:rsid w:val="003538B7"/>
    <w:rsid w:val="003543B8"/>
    <w:rsid w:val="00354D75"/>
    <w:rsid w:val="00356EDF"/>
    <w:rsid w:val="00357B27"/>
    <w:rsid w:val="0036088E"/>
    <w:rsid w:val="003623A8"/>
    <w:rsid w:val="00363707"/>
    <w:rsid w:val="003641BB"/>
    <w:rsid w:val="00364A67"/>
    <w:rsid w:val="00364CFD"/>
    <w:rsid w:val="003655FE"/>
    <w:rsid w:val="0036646F"/>
    <w:rsid w:val="003670DE"/>
    <w:rsid w:val="00367D0D"/>
    <w:rsid w:val="0037147E"/>
    <w:rsid w:val="00371910"/>
    <w:rsid w:val="00371A0F"/>
    <w:rsid w:val="0037209A"/>
    <w:rsid w:val="00372BB4"/>
    <w:rsid w:val="00373214"/>
    <w:rsid w:val="00373358"/>
    <w:rsid w:val="003735AB"/>
    <w:rsid w:val="00376555"/>
    <w:rsid w:val="00376585"/>
    <w:rsid w:val="00377569"/>
    <w:rsid w:val="0037756A"/>
    <w:rsid w:val="00377B3E"/>
    <w:rsid w:val="00380396"/>
    <w:rsid w:val="0038084B"/>
    <w:rsid w:val="003837D0"/>
    <w:rsid w:val="00383FF8"/>
    <w:rsid w:val="003849AB"/>
    <w:rsid w:val="0038593E"/>
    <w:rsid w:val="00385FA5"/>
    <w:rsid w:val="003871C1"/>
    <w:rsid w:val="00387444"/>
    <w:rsid w:val="003875CF"/>
    <w:rsid w:val="00387645"/>
    <w:rsid w:val="00387B6A"/>
    <w:rsid w:val="00387BD6"/>
    <w:rsid w:val="00390733"/>
    <w:rsid w:val="00390F4F"/>
    <w:rsid w:val="00391CBD"/>
    <w:rsid w:val="00392402"/>
    <w:rsid w:val="00392A76"/>
    <w:rsid w:val="00392B14"/>
    <w:rsid w:val="00392C94"/>
    <w:rsid w:val="00395AFA"/>
    <w:rsid w:val="003960F5"/>
    <w:rsid w:val="00397595"/>
    <w:rsid w:val="00397BB1"/>
    <w:rsid w:val="00397F47"/>
    <w:rsid w:val="003A04B6"/>
    <w:rsid w:val="003A16CD"/>
    <w:rsid w:val="003A1D05"/>
    <w:rsid w:val="003A319B"/>
    <w:rsid w:val="003A398D"/>
    <w:rsid w:val="003A3B21"/>
    <w:rsid w:val="003A48F0"/>
    <w:rsid w:val="003A5F5D"/>
    <w:rsid w:val="003A77C6"/>
    <w:rsid w:val="003B1940"/>
    <w:rsid w:val="003B3C83"/>
    <w:rsid w:val="003B43E8"/>
    <w:rsid w:val="003B44F3"/>
    <w:rsid w:val="003B4597"/>
    <w:rsid w:val="003B51A2"/>
    <w:rsid w:val="003B5AF2"/>
    <w:rsid w:val="003B6774"/>
    <w:rsid w:val="003B6A06"/>
    <w:rsid w:val="003B6F03"/>
    <w:rsid w:val="003B76D6"/>
    <w:rsid w:val="003C0979"/>
    <w:rsid w:val="003C119C"/>
    <w:rsid w:val="003C203D"/>
    <w:rsid w:val="003C34DB"/>
    <w:rsid w:val="003C443B"/>
    <w:rsid w:val="003C4932"/>
    <w:rsid w:val="003C4951"/>
    <w:rsid w:val="003C4E3B"/>
    <w:rsid w:val="003C592B"/>
    <w:rsid w:val="003C5A33"/>
    <w:rsid w:val="003C5D27"/>
    <w:rsid w:val="003C68B9"/>
    <w:rsid w:val="003C7F6E"/>
    <w:rsid w:val="003D09ED"/>
    <w:rsid w:val="003D13B5"/>
    <w:rsid w:val="003D14C6"/>
    <w:rsid w:val="003D1DAD"/>
    <w:rsid w:val="003D24ED"/>
    <w:rsid w:val="003D3379"/>
    <w:rsid w:val="003D342D"/>
    <w:rsid w:val="003D4384"/>
    <w:rsid w:val="003D4509"/>
    <w:rsid w:val="003D4A64"/>
    <w:rsid w:val="003D5087"/>
    <w:rsid w:val="003D6E55"/>
    <w:rsid w:val="003D7420"/>
    <w:rsid w:val="003E16B6"/>
    <w:rsid w:val="003E1BF4"/>
    <w:rsid w:val="003E22C5"/>
    <w:rsid w:val="003E2C96"/>
    <w:rsid w:val="003E3E86"/>
    <w:rsid w:val="003E4123"/>
    <w:rsid w:val="003E4C07"/>
    <w:rsid w:val="003E6708"/>
    <w:rsid w:val="003E7785"/>
    <w:rsid w:val="003F02DD"/>
    <w:rsid w:val="003F0C18"/>
    <w:rsid w:val="003F159A"/>
    <w:rsid w:val="003F2715"/>
    <w:rsid w:val="003F2CBB"/>
    <w:rsid w:val="003F3A01"/>
    <w:rsid w:val="003F3BE9"/>
    <w:rsid w:val="003F4995"/>
    <w:rsid w:val="003F4B9B"/>
    <w:rsid w:val="003F7C12"/>
    <w:rsid w:val="0040000A"/>
    <w:rsid w:val="00400136"/>
    <w:rsid w:val="004008A8"/>
    <w:rsid w:val="004016EC"/>
    <w:rsid w:val="004025EB"/>
    <w:rsid w:val="00402FB9"/>
    <w:rsid w:val="004031F3"/>
    <w:rsid w:val="00404581"/>
    <w:rsid w:val="00404C63"/>
    <w:rsid w:val="00405ED3"/>
    <w:rsid w:val="004069BF"/>
    <w:rsid w:val="00407C7A"/>
    <w:rsid w:val="004102D3"/>
    <w:rsid w:val="0041121E"/>
    <w:rsid w:val="004119B9"/>
    <w:rsid w:val="00411DB3"/>
    <w:rsid w:val="004132E9"/>
    <w:rsid w:val="00414F90"/>
    <w:rsid w:val="00415268"/>
    <w:rsid w:val="004156FF"/>
    <w:rsid w:val="0041581A"/>
    <w:rsid w:val="004167B7"/>
    <w:rsid w:val="00416B1C"/>
    <w:rsid w:val="00416C99"/>
    <w:rsid w:val="00417C05"/>
    <w:rsid w:val="00417CE5"/>
    <w:rsid w:val="0042000A"/>
    <w:rsid w:val="00421C45"/>
    <w:rsid w:val="00421F6B"/>
    <w:rsid w:val="004221AE"/>
    <w:rsid w:val="00422324"/>
    <w:rsid w:val="00423037"/>
    <w:rsid w:val="0042354C"/>
    <w:rsid w:val="00423E82"/>
    <w:rsid w:val="0042462F"/>
    <w:rsid w:val="00424940"/>
    <w:rsid w:val="00424FD0"/>
    <w:rsid w:val="00425431"/>
    <w:rsid w:val="00425818"/>
    <w:rsid w:val="00425D5C"/>
    <w:rsid w:val="00426C19"/>
    <w:rsid w:val="00426D26"/>
    <w:rsid w:val="0042724B"/>
    <w:rsid w:val="004276F2"/>
    <w:rsid w:val="00427DF3"/>
    <w:rsid w:val="004305D8"/>
    <w:rsid w:val="004312AC"/>
    <w:rsid w:val="00431E92"/>
    <w:rsid w:val="00432E1B"/>
    <w:rsid w:val="0043391A"/>
    <w:rsid w:val="004355A6"/>
    <w:rsid w:val="00435832"/>
    <w:rsid w:val="00435837"/>
    <w:rsid w:val="00437C4B"/>
    <w:rsid w:val="0044178A"/>
    <w:rsid w:val="004418C6"/>
    <w:rsid w:val="004429F1"/>
    <w:rsid w:val="004430A6"/>
    <w:rsid w:val="0044348D"/>
    <w:rsid w:val="00446938"/>
    <w:rsid w:val="00447C1B"/>
    <w:rsid w:val="00450400"/>
    <w:rsid w:val="0045132A"/>
    <w:rsid w:val="004517E5"/>
    <w:rsid w:val="00451EE5"/>
    <w:rsid w:val="004525F8"/>
    <w:rsid w:val="00453892"/>
    <w:rsid w:val="004539EA"/>
    <w:rsid w:val="00453F5E"/>
    <w:rsid w:val="004541C5"/>
    <w:rsid w:val="00454331"/>
    <w:rsid w:val="00455057"/>
    <w:rsid w:val="004558FA"/>
    <w:rsid w:val="004562E5"/>
    <w:rsid w:val="004567C9"/>
    <w:rsid w:val="00456A77"/>
    <w:rsid w:val="004574CF"/>
    <w:rsid w:val="004608A8"/>
    <w:rsid w:val="00461BD6"/>
    <w:rsid w:val="00461ED6"/>
    <w:rsid w:val="00461FF0"/>
    <w:rsid w:val="004631AE"/>
    <w:rsid w:val="004633B9"/>
    <w:rsid w:val="004640B6"/>
    <w:rsid w:val="004641CD"/>
    <w:rsid w:val="004643EE"/>
    <w:rsid w:val="00464610"/>
    <w:rsid w:val="00465660"/>
    <w:rsid w:val="00466424"/>
    <w:rsid w:val="00466929"/>
    <w:rsid w:val="00466995"/>
    <w:rsid w:val="00467093"/>
    <w:rsid w:val="004675B6"/>
    <w:rsid w:val="0046763E"/>
    <w:rsid w:val="00470231"/>
    <w:rsid w:val="0047072A"/>
    <w:rsid w:val="00470FCA"/>
    <w:rsid w:val="00471B9A"/>
    <w:rsid w:val="00472334"/>
    <w:rsid w:val="00472394"/>
    <w:rsid w:val="00472CF0"/>
    <w:rsid w:val="00472D79"/>
    <w:rsid w:val="004734A3"/>
    <w:rsid w:val="004735EA"/>
    <w:rsid w:val="0047470D"/>
    <w:rsid w:val="00474E80"/>
    <w:rsid w:val="004757B0"/>
    <w:rsid w:val="00475D6B"/>
    <w:rsid w:val="004763C8"/>
    <w:rsid w:val="004777D1"/>
    <w:rsid w:val="00477CC7"/>
    <w:rsid w:val="004803A0"/>
    <w:rsid w:val="00480BA5"/>
    <w:rsid w:val="00481825"/>
    <w:rsid w:val="004818DF"/>
    <w:rsid w:val="0048239A"/>
    <w:rsid w:val="00482A0C"/>
    <w:rsid w:val="004839AD"/>
    <w:rsid w:val="0048610A"/>
    <w:rsid w:val="00486C78"/>
    <w:rsid w:val="0049006A"/>
    <w:rsid w:val="00491270"/>
    <w:rsid w:val="00491979"/>
    <w:rsid w:val="004925C8"/>
    <w:rsid w:val="00492EBA"/>
    <w:rsid w:val="004932CA"/>
    <w:rsid w:val="00493586"/>
    <w:rsid w:val="00493658"/>
    <w:rsid w:val="004954D9"/>
    <w:rsid w:val="00495638"/>
    <w:rsid w:val="004956ED"/>
    <w:rsid w:val="00496391"/>
    <w:rsid w:val="004969F7"/>
    <w:rsid w:val="00496A0A"/>
    <w:rsid w:val="00497391"/>
    <w:rsid w:val="004973DD"/>
    <w:rsid w:val="00497711"/>
    <w:rsid w:val="004A0112"/>
    <w:rsid w:val="004A0C84"/>
    <w:rsid w:val="004A11E0"/>
    <w:rsid w:val="004A1533"/>
    <w:rsid w:val="004A2D9D"/>
    <w:rsid w:val="004A2E63"/>
    <w:rsid w:val="004A321E"/>
    <w:rsid w:val="004A3A84"/>
    <w:rsid w:val="004A43A5"/>
    <w:rsid w:val="004A47F0"/>
    <w:rsid w:val="004A4D2B"/>
    <w:rsid w:val="004A50DB"/>
    <w:rsid w:val="004A5299"/>
    <w:rsid w:val="004A56BE"/>
    <w:rsid w:val="004A6B55"/>
    <w:rsid w:val="004A6B5F"/>
    <w:rsid w:val="004A7B27"/>
    <w:rsid w:val="004B16E0"/>
    <w:rsid w:val="004B1DBB"/>
    <w:rsid w:val="004B2AC2"/>
    <w:rsid w:val="004B2D9B"/>
    <w:rsid w:val="004B47D4"/>
    <w:rsid w:val="004B5CA6"/>
    <w:rsid w:val="004B5D59"/>
    <w:rsid w:val="004B67E7"/>
    <w:rsid w:val="004B696F"/>
    <w:rsid w:val="004B76A1"/>
    <w:rsid w:val="004B77D4"/>
    <w:rsid w:val="004C01A4"/>
    <w:rsid w:val="004C06AD"/>
    <w:rsid w:val="004C0819"/>
    <w:rsid w:val="004C08A0"/>
    <w:rsid w:val="004C10F2"/>
    <w:rsid w:val="004C12F3"/>
    <w:rsid w:val="004C1461"/>
    <w:rsid w:val="004C149E"/>
    <w:rsid w:val="004C1D5C"/>
    <w:rsid w:val="004C2191"/>
    <w:rsid w:val="004C22F8"/>
    <w:rsid w:val="004C38FF"/>
    <w:rsid w:val="004C475C"/>
    <w:rsid w:val="004C506A"/>
    <w:rsid w:val="004C57F7"/>
    <w:rsid w:val="004C6DED"/>
    <w:rsid w:val="004C7386"/>
    <w:rsid w:val="004C741B"/>
    <w:rsid w:val="004C747F"/>
    <w:rsid w:val="004D1FDD"/>
    <w:rsid w:val="004D4738"/>
    <w:rsid w:val="004D490E"/>
    <w:rsid w:val="004E14A9"/>
    <w:rsid w:val="004E155F"/>
    <w:rsid w:val="004E1A1C"/>
    <w:rsid w:val="004E3F6C"/>
    <w:rsid w:val="004E48A7"/>
    <w:rsid w:val="004E4B20"/>
    <w:rsid w:val="004E52E7"/>
    <w:rsid w:val="004E6319"/>
    <w:rsid w:val="004E6330"/>
    <w:rsid w:val="004E660C"/>
    <w:rsid w:val="004E7BAD"/>
    <w:rsid w:val="004F0087"/>
    <w:rsid w:val="004F1607"/>
    <w:rsid w:val="004F1EBA"/>
    <w:rsid w:val="004F2456"/>
    <w:rsid w:val="004F2CA8"/>
    <w:rsid w:val="004F3DA5"/>
    <w:rsid w:val="004F4D5A"/>
    <w:rsid w:val="004F5281"/>
    <w:rsid w:val="004F581D"/>
    <w:rsid w:val="004F5DCA"/>
    <w:rsid w:val="004F69B7"/>
    <w:rsid w:val="004F742A"/>
    <w:rsid w:val="004F7E85"/>
    <w:rsid w:val="005003F5"/>
    <w:rsid w:val="00500D36"/>
    <w:rsid w:val="005023A2"/>
    <w:rsid w:val="005031C9"/>
    <w:rsid w:val="005052C1"/>
    <w:rsid w:val="00505A58"/>
    <w:rsid w:val="00505E87"/>
    <w:rsid w:val="00506A29"/>
    <w:rsid w:val="005071C0"/>
    <w:rsid w:val="005112F5"/>
    <w:rsid w:val="005113EB"/>
    <w:rsid w:val="00512965"/>
    <w:rsid w:val="00512B79"/>
    <w:rsid w:val="00513B3D"/>
    <w:rsid w:val="00513F99"/>
    <w:rsid w:val="00514B59"/>
    <w:rsid w:val="00514B73"/>
    <w:rsid w:val="00514F28"/>
    <w:rsid w:val="00515670"/>
    <w:rsid w:val="005165C0"/>
    <w:rsid w:val="005168CD"/>
    <w:rsid w:val="00516DE7"/>
    <w:rsid w:val="00517695"/>
    <w:rsid w:val="005217AC"/>
    <w:rsid w:val="00522B0A"/>
    <w:rsid w:val="00523326"/>
    <w:rsid w:val="00524069"/>
    <w:rsid w:val="005243ED"/>
    <w:rsid w:val="00524578"/>
    <w:rsid w:val="005249AD"/>
    <w:rsid w:val="00524A94"/>
    <w:rsid w:val="005251FB"/>
    <w:rsid w:val="00525683"/>
    <w:rsid w:val="00525AFC"/>
    <w:rsid w:val="005262CD"/>
    <w:rsid w:val="005263A3"/>
    <w:rsid w:val="00526E6D"/>
    <w:rsid w:val="00527D0A"/>
    <w:rsid w:val="00530096"/>
    <w:rsid w:val="00530F87"/>
    <w:rsid w:val="005311D1"/>
    <w:rsid w:val="0053243C"/>
    <w:rsid w:val="005339C5"/>
    <w:rsid w:val="00533FEB"/>
    <w:rsid w:val="00534D8E"/>
    <w:rsid w:val="00537675"/>
    <w:rsid w:val="0053788D"/>
    <w:rsid w:val="00540251"/>
    <w:rsid w:val="00540C6D"/>
    <w:rsid w:val="00540D6C"/>
    <w:rsid w:val="00541445"/>
    <w:rsid w:val="00541920"/>
    <w:rsid w:val="00541D88"/>
    <w:rsid w:val="00542807"/>
    <w:rsid w:val="00542E63"/>
    <w:rsid w:val="005434F5"/>
    <w:rsid w:val="00543FD7"/>
    <w:rsid w:val="0054545A"/>
    <w:rsid w:val="0054582E"/>
    <w:rsid w:val="00546710"/>
    <w:rsid w:val="00546719"/>
    <w:rsid w:val="00547936"/>
    <w:rsid w:val="00547CAC"/>
    <w:rsid w:val="00547DCE"/>
    <w:rsid w:val="005505C6"/>
    <w:rsid w:val="005516FC"/>
    <w:rsid w:val="00552146"/>
    <w:rsid w:val="005522B8"/>
    <w:rsid w:val="00553182"/>
    <w:rsid w:val="00553476"/>
    <w:rsid w:val="00553ACD"/>
    <w:rsid w:val="00554343"/>
    <w:rsid w:val="00554657"/>
    <w:rsid w:val="00554ED4"/>
    <w:rsid w:val="00555429"/>
    <w:rsid w:val="00555F87"/>
    <w:rsid w:val="005561FC"/>
    <w:rsid w:val="00557B15"/>
    <w:rsid w:val="00560615"/>
    <w:rsid w:val="0056083B"/>
    <w:rsid w:val="00561132"/>
    <w:rsid w:val="005611B5"/>
    <w:rsid w:val="005613CF"/>
    <w:rsid w:val="00561901"/>
    <w:rsid w:val="005624A0"/>
    <w:rsid w:val="00562D31"/>
    <w:rsid w:val="005636D0"/>
    <w:rsid w:val="00563CB9"/>
    <w:rsid w:val="005647F9"/>
    <w:rsid w:val="00564F08"/>
    <w:rsid w:val="00566578"/>
    <w:rsid w:val="00566AE0"/>
    <w:rsid w:val="00566B26"/>
    <w:rsid w:val="00567329"/>
    <w:rsid w:val="00567C49"/>
    <w:rsid w:val="005705B4"/>
    <w:rsid w:val="00571922"/>
    <w:rsid w:val="00573928"/>
    <w:rsid w:val="00573BFF"/>
    <w:rsid w:val="00573FC5"/>
    <w:rsid w:val="005741C6"/>
    <w:rsid w:val="005741C9"/>
    <w:rsid w:val="005742DF"/>
    <w:rsid w:val="0057431D"/>
    <w:rsid w:val="00576134"/>
    <w:rsid w:val="0057752D"/>
    <w:rsid w:val="00577B7D"/>
    <w:rsid w:val="005803C7"/>
    <w:rsid w:val="00580D76"/>
    <w:rsid w:val="005830CB"/>
    <w:rsid w:val="005831DE"/>
    <w:rsid w:val="00583297"/>
    <w:rsid w:val="00584AF4"/>
    <w:rsid w:val="00584C2F"/>
    <w:rsid w:val="00584EE2"/>
    <w:rsid w:val="00585F33"/>
    <w:rsid w:val="0058637A"/>
    <w:rsid w:val="00586466"/>
    <w:rsid w:val="00590363"/>
    <w:rsid w:val="00591CA7"/>
    <w:rsid w:val="00591CD5"/>
    <w:rsid w:val="0059246D"/>
    <w:rsid w:val="005926DF"/>
    <w:rsid w:val="00592A2F"/>
    <w:rsid w:val="00592D60"/>
    <w:rsid w:val="00592DDC"/>
    <w:rsid w:val="00592E1D"/>
    <w:rsid w:val="0059343E"/>
    <w:rsid w:val="00593843"/>
    <w:rsid w:val="00593FD6"/>
    <w:rsid w:val="0059407D"/>
    <w:rsid w:val="005947CA"/>
    <w:rsid w:val="00594902"/>
    <w:rsid w:val="0059504E"/>
    <w:rsid w:val="00595195"/>
    <w:rsid w:val="005954ED"/>
    <w:rsid w:val="00595C2A"/>
    <w:rsid w:val="0059689B"/>
    <w:rsid w:val="00597CB9"/>
    <w:rsid w:val="005A0115"/>
    <w:rsid w:val="005A0BFB"/>
    <w:rsid w:val="005A1188"/>
    <w:rsid w:val="005A16F3"/>
    <w:rsid w:val="005A17A8"/>
    <w:rsid w:val="005A3698"/>
    <w:rsid w:val="005A3E96"/>
    <w:rsid w:val="005A4111"/>
    <w:rsid w:val="005A4712"/>
    <w:rsid w:val="005A531A"/>
    <w:rsid w:val="005A5868"/>
    <w:rsid w:val="005A59BC"/>
    <w:rsid w:val="005A60ED"/>
    <w:rsid w:val="005A66F2"/>
    <w:rsid w:val="005A6AA6"/>
    <w:rsid w:val="005A6BF7"/>
    <w:rsid w:val="005A77E2"/>
    <w:rsid w:val="005B038D"/>
    <w:rsid w:val="005B045A"/>
    <w:rsid w:val="005B04E3"/>
    <w:rsid w:val="005B107B"/>
    <w:rsid w:val="005B11AD"/>
    <w:rsid w:val="005B15AE"/>
    <w:rsid w:val="005B1A95"/>
    <w:rsid w:val="005B20D9"/>
    <w:rsid w:val="005B34D8"/>
    <w:rsid w:val="005B3E4A"/>
    <w:rsid w:val="005B3F44"/>
    <w:rsid w:val="005B44C4"/>
    <w:rsid w:val="005B5279"/>
    <w:rsid w:val="005B629E"/>
    <w:rsid w:val="005B66B1"/>
    <w:rsid w:val="005B74FF"/>
    <w:rsid w:val="005B75ED"/>
    <w:rsid w:val="005B790F"/>
    <w:rsid w:val="005B7ECB"/>
    <w:rsid w:val="005C0AA4"/>
    <w:rsid w:val="005C3DEC"/>
    <w:rsid w:val="005C3EC3"/>
    <w:rsid w:val="005C43B5"/>
    <w:rsid w:val="005C4454"/>
    <w:rsid w:val="005C44A9"/>
    <w:rsid w:val="005C4C86"/>
    <w:rsid w:val="005C4CEA"/>
    <w:rsid w:val="005C5199"/>
    <w:rsid w:val="005C5487"/>
    <w:rsid w:val="005C6100"/>
    <w:rsid w:val="005C6276"/>
    <w:rsid w:val="005C63CD"/>
    <w:rsid w:val="005C6DFF"/>
    <w:rsid w:val="005C7F0F"/>
    <w:rsid w:val="005D11D6"/>
    <w:rsid w:val="005D15E8"/>
    <w:rsid w:val="005D1D02"/>
    <w:rsid w:val="005D241B"/>
    <w:rsid w:val="005D24D0"/>
    <w:rsid w:val="005D4A4E"/>
    <w:rsid w:val="005D62B9"/>
    <w:rsid w:val="005D7719"/>
    <w:rsid w:val="005D775F"/>
    <w:rsid w:val="005D7BA4"/>
    <w:rsid w:val="005D7DC2"/>
    <w:rsid w:val="005D7F19"/>
    <w:rsid w:val="005E0FD8"/>
    <w:rsid w:val="005E101D"/>
    <w:rsid w:val="005E237D"/>
    <w:rsid w:val="005E2F05"/>
    <w:rsid w:val="005E3375"/>
    <w:rsid w:val="005E34DE"/>
    <w:rsid w:val="005E3711"/>
    <w:rsid w:val="005E3A99"/>
    <w:rsid w:val="005E566D"/>
    <w:rsid w:val="005E5E2D"/>
    <w:rsid w:val="005E62BE"/>
    <w:rsid w:val="005E6E01"/>
    <w:rsid w:val="005E6E87"/>
    <w:rsid w:val="005F00E3"/>
    <w:rsid w:val="005F05DB"/>
    <w:rsid w:val="005F0F7F"/>
    <w:rsid w:val="005F145C"/>
    <w:rsid w:val="005F1958"/>
    <w:rsid w:val="005F29D6"/>
    <w:rsid w:val="005F2A96"/>
    <w:rsid w:val="005F3601"/>
    <w:rsid w:val="005F388D"/>
    <w:rsid w:val="005F389B"/>
    <w:rsid w:val="005F4671"/>
    <w:rsid w:val="005F5D9D"/>
    <w:rsid w:val="005F5EA9"/>
    <w:rsid w:val="005F68A8"/>
    <w:rsid w:val="005F77E2"/>
    <w:rsid w:val="00600906"/>
    <w:rsid w:val="00601334"/>
    <w:rsid w:val="0060209B"/>
    <w:rsid w:val="00602242"/>
    <w:rsid w:val="00602FF4"/>
    <w:rsid w:val="006046C6"/>
    <w:rsid w:val="00604AB7"/>
    <w:rsid w:val="00604F8F"/>
    <w:rsid w:val="006062BA"/>
    <w:rsid w:val="00606E96"/>
    <w:rsid w:val="00607111"/>
    <w:rsid w:val="0060730B"/>
    <w:rsid w:val="00607A65"/>
    <w:rsid w:val="006101CF"/>
    <w:rsid w:val="006115B5"/>
    <w:rsid w:val="00611E3C"/>
    <w:rsid w:val="00612172"/>
    <w:rsid w:val="006150F0"/>
    <w:rsid w:val="00615B92"/>
    <w:rsid w:val="006166A1"/>
    <w:rsid w:val="00616ACD"/>
    <w:rsid w:val="006204A0"/>
    <w:rsid w:val="00620640"/>
    <w:rsid w:val="0062076A"/>
    <w:rsid w:val="00621117"/>
    <w:rsid w:val="006215E4"/>
    <w:rsid w:val="00621D87"/>
    <w:rsid w:val="00621EEE"/>
    <w:rsid w:val="0062232B"/>
    <w:rsid w:val="0062294B"/>
    <w:rsid w:val="00622AA8"/>
    <w:rsid w:val="00622C2D"/>
    <w:rsid w:val="006230D0"/>
    <w:rsid w:val="006231F5"/>
    <w:rsid w:val="006236D1"/>
    <w:rsid w:val="006236ED"/>
    <w:rsid w:val="00623F0B"/>
    <w:rsid w:val="0062470A"/>
    <w:rsid w:val="00624D6A"/>
    <w:rsid w:val="0062534A"/>
    <w:rsid w:val="0062568F"/>
    <w:rsid w:val="006267E3"/>
    <w:rsid w:val="006267F3"/>
    <w:rsid w:val="00626810"/>
    <w:rsid w:val="00627FBA"/>
    <w:rsid w:val="006315A7"/>
    <w:rsid w:val="0063216E"/>
    <w:rsid w:val="0063287F"/>
    <w:rsid w:val="0063315B"/>
    <w:rsid w:val="006335A0"/>
    <w:rsid w:val="006338C3"/>
    <w:rsid w:val="00633913"/>
    <w:rsid w:val="00635297"/>
    <w:rsid w:val="00636285"/>
    <w:rsid w:val="0063688C"/>
    <w:rsid w:val="00636BBC"/>
    <w:rsid w:val="0063700E"/>
    <w:rsid w:val="00637436"/>
    <w:rsid w:val="00637820"/>
    <w:rsid w:val="0064183F"/>
    <w:rsid w:val="00641B83"/>
    <w:rsid w:val="00642881"/>
    <w:rsid w:val="00642CED"/>
    <w:rsid w:val="00642D5D"/>
    <w:rsid w:val="0064411F"/>
    <w:rsid w:val="00644E65"/>
    <w:rsid w:val="00645C24"/>
    <w:rsid w:val="00645DC6"/>
    <w:rsid w:val="006462A8"/>
    <w:rsid w:val="00646FCB"/>
    <w:rsid w:val="0064753C"/>
    <w:rsid w:val="006476B8"/>
    <w:rsid w:val="00647995"/>
    <w:rsid w:val="00650F78"/>
    <w:rsid w:val="00652850"/>
    <w:rsid w:val="0065294E"/>
    <w:rsid w:val="00653AB1"/>
    <w:rsid w:val="00653BF5"/>
    <w:rsid w:val="00653F1D"/>
    <w:rsid w:val="0065472A"/>
    <w:rsid w:val="00654859"/>
    <w:rsid w:val="00657BD7"/>
    <w:rsid w:val="00657C97"/>
    <w:rsid w:val="0066039F"/>
    <w:rsid w:val="0066113E"/>
    <w:rsid w:val="0066241D"/>
    <w:rsid w:val="00662A8A"/>
    <w:rsid w:val="0066316C"/>
    <w:rsid w:val="00664EF5"/>
    <w:rsid w:val="00665306"/>
    <w:rsid w:val="006658B6"/>
    <w:rsid w:val="00665C3F"/>
    <w:rsid w:val="00665E0A"/>
    <w:rsid w:val="00667020"/>
    <w:rsid w:val="00667A5D"/>
    <w:rsid w:val="00667D17"/>
    <w:rsid w:val="006711E8"/>
    <w:rsid w:val="006712C4"/>
    <w:rsid w:val="00671331"/>
    <w:rsid w:val="006718CD"/>
    <w:rsid w:val="00673E59"/>
    <w:rsid w:val="006751D6"/>
    <w:rsid w:val="006755EC"/>
    <w:rsid w:val="00675994"/>
    <w:rsid w:val="00676438"/>
    <w:rsid w:val="006765DB"/>
    <w:rsid w:val="00676BCA"/>
    <w:rsid w:val="0067733D"/>
    <w:rsid w:val="00677E1D"/>
    <w:rsid w:val="0068025D"/>
    <w:rsid w:val="00680513"/>
    <w:rsid w:val="006806BF"/>
    <w:rsid w:val="006807D0"/>
    <w:rsid w:val="00681442"/>
    <w:rsid w:val="0068148C"/>
    <w:rsid w:val="00681C21"/>
    <w:rsid w:val="006823DE"/>
    <w:rsid w:val="00682524"/>
    <w:rsid w:val="00682934"/>
    <w:rsid w:val="006836F5"/>
    <w:rsid w:val="006847A1"/>
    <w:rsid w:val="006847BD"/>
    <w:rsid w:val="0068563F"/>
    <w:rsid w:val="0068625D"/>
    <w:rsid w:val="006867DD"/>
    <w:rsid w:val="00686D0B"/>
    <w:rsid w:val="006870D5"/>
    <w:rsid w:val="00687896"/>
    <w:rsid w:val="00687FFC"/>
    <w:rsid w:val="006901AC"/>
    <w:rsid w:val="006902AD"/>
    <w:rsid w:val="00690DA4"/>
    <w:rsid w:val="00691EBE"/>
    <w:rsid w:val="00692093"/>
    <w:rsid w:val="006922A8"/>
    <w:rsid w:val="006924D3"/>
    <w:rsid w:val="006925C9"/>
    <w:rsid w:val="00692A98"/>
    <w:rsid w:val="00693A60"/>
    <w:rsid w:val="00693DA8"/>
    <w:rsid w:val="006953B9"/>
    <w:rsid w:val="00695464"/>
    <w:rsid w:val="006A031B"/>
    <w:rsid w:val="006A03C3"/>
    <w:rsid w:val="006A0E39"/>
    <w:rsid w:val="006A1DCB"/>
    <w:rsid w:val="006A2B15"/>
    <w:rsid w:val="006A307C"/>
    <w:rsid w:val="006A30AD"/>
    <w:rsid w:val="006A54E2"/>
    <w:rsid w:val="006A63A3"/>
    <w:rsid w:val="006A6C58"/>
    <w:rsid w:val="006B00E3"/>
    <w:rsid w:val="006B0B07"/>
    <w:rsid w:val="006B1F2C"/>
    <w:rsid w:val="006B3B45"/>
    <w:rsid w:val="006B446D"/>
    <w:rsid w:val="006B4FED"/>
    <w:rsid w:val="006B5D17"/>
    <w:rsid w:val="006B60D1"/>
    <w:rsid w:val="006B6827"/>
    <w:rsid w:val="006B6C77"/>
    <w:rsid w:val="006B6F3C"/>
    <w:rsid w:val="006B74C0"/>
    <w:rsid w:val="006B7CAB"/>
    <w:rsid w:val="006C1366"/>
    <w:rsid w:val="006C2050"/>
    <w:rsid w:val="006C26C4"/>
    <w:rsid w:val="006C33EB"/>
    <w:rsid w:val="006C34AC"/>
    <w:rsid w:val="006C3767"/>
    <w:rsid w:val="006C3A50"/>
    <w:rsid w:val="006C3B27"/>
    <w:rsid w:val="006C4B7C"/>
    <w:rsid w:val="006C4BCB"/>
    <w:rsid w:val="006C4DE7"/>
    <w:rsid w:val="006C6B7D"/>
    <w:rsid w:val="006C7738"/>
    <w:rsid w:val="006C783D"/>
    <w:rsid w:val="006C7E10"/>
    <w:rsid w:val="006D0842"/>
    <w:rsid w:val="006D098E"/>
    <w:rsid w:val="006D1389"/>
    <w:rsid w:val="006D15DE"/>
    <w:rsid w:val="006D1C36"/>
    <w:rsid w:val="006D207F"/>
    <w:rsid w:val="006D5B37"/>
    <w:rsid w:val="006D616A"/>
    <w:rsid w:val="006D68CE"/>
    <w:rsid w:val="006D75EF"/>
    <w:rsid w:val="006E0824"/>
    <w:rsid w:val="006E1093"/>
    <w:rsid w:val="006E178D"/>
    <w:rsid w:val="006E1972"/>
    <w:rsid w:val="006E19FC"/>
    <w:rsid w:val="006E2D85"/>
    <w:rsid w:val="006E3745"/>
    <w:rsid w:val="006E383D"/>
    <w:rsid w:val="006E49CF"/>
    <w:rsid w:val="006E4E6B"/>
    <w:rsid w:val="006E5DF1"/>
    <w:rsid w:val="006E6A04"/>
    <w:rsid w:val="006E7516"/>
    <w:rsid w:val="006E7E7C"/>
    <w:rsid w:val="006F04EC"/>
    <w:rsid w:val="006F1220"/>
    <w:rsid w:val="006F1B50"/>
    <w:rsid w:val="006F27DE"/>
    <w:rsid w:val="006F3879"/>
    <w:rsid w:val="006F4260"/>
    <w:rsid w:val="006F427C"/>
    <w:rsid w:val="006F42F6"/>
    <w:rsid w:val="006F5C7D"/>
    <w:rsid w:val="006F6E0F"/>
    <w:rsid w:val="00700699"/>
    <w:rsid w:val="0070070B"/>
    <w:rsid w:val="007014E9"/>
    <w:rsid w:val="007024A2"/>
    <w:rsid w:val="00702C84"/>
    <w:rsid w:val="00703EE3"/>
    <w:rsid w:val="0070411C"/>
    <w:rsid w:val="00704A49"/>
    <w:rsid w:val="00705523"/>
    <w:rsid w:val="00705A42"/>
    <w:rsid w:val="00706967"/>
    <w:rsid w:val="00706AC4"/>
    <w:rsid w:val="0070717C"/>
    <w:rsid w:val="00712140"/>
    <w:rsid w:val="0071232D"/>
    <w:rsid w:val="00712DB0"/>
    <w:rsid w:val="00713143"/>
    <w:rsid w:val="00713381"/>
    <w:rsid w:val="00713523"/>
    <w:rsid w:val="00714D79"/>
    <w:rsid w:val="007152BE"/>
    <w:rsid w:val="00715706"/>
    <w:rsid w:val="007157A4"/>
    <w:rsid w:val="0071687A"/>
    <w:rsid w:val="00716FD5"/>
    <w:rsid w:val="0071794B"/>
    <w:rsid w:val="00717B95"/>
    <w:rsid w:val="00717CEC"/>
    <w:rsid w:val="00717F80"/>
    <w:rsid w:val="007204C2"/>
    <w:rsid w:val="007218B4"/>
    <w:rsid w:val="00722111"/>
    <w:rsid w:val="00723489"/>
    <w:rsid w:val="007240FA"/>
    <w:rsid w:val="007260CC"/>
    <w:rsid w:val="00726CE2"/>
    <w:rsid w:val="00727436"/>
    <w:rsid w:val="00727EDD"/>
    <w:rsid w:val="00730835"/>
    <w:rsid w:val="00730E16"/>
    <w:rsid w:val="00732145"/>
    <w:rsid w:val="00732911"/>
    <w:rsid w:val="00732A1F"/>
    <w:rsid w:val="007332DC"/>
    <w:rsid w:val="007333AE"/>
    <w:rsid w:val="0073425F"/>
    <w:rsid w:val="00734B4C"/>
    <w:rsid w:val="00734DC5"/>
    <w:rsid w:val="0073533B"/>
    <w:rsid w:val="0073589F"/>
    <w:rsid w:val="00735DD1"/>
    <w:rsid w:val="00736069"/>
    <w:rsid w:val="007364B8"/>
    <w:rsid w:val="007365FA"/>
    <w:rsid w:val="007366FD"/>
    <w:rsid w:val="00736977"/>
    <w:rsid w:val="007374C0"/>
    <w:rsid w:val="00740923"/>
    <w:rsid w:val="00740A04"/>
    <w:rsid w:val="00742110"/>
    <w:rsid w:val="0074288D"/>
    <w:rsid w:val="007463C5"/>
    <w:rsid w:val="00746C01"/>
    <w:rsid w:val="00747976"/>
    <w:rsid w:val="00747B5E"/>
    <w:rsid w:val="0075086F"/>
    <w:rsid w:val="00750F8B"/>
    <w:rsid w:val="00754188"/>
    <w:rsid w:val="00754589"/>
    <w:rsid w:val="00754649"/>
    <w:rsid w:val="00754D05"/>
    <w:rsid w:val="007554AC"/>
    <w:rsid w:val="0075553E"/>
    <w:rsid w:val="007556AF"/>
    <w:rsid w:val="00757E4D"/>
    <w:rsid w:val="00760FE7"/>
    <w:rsid w:val="00761A73"/>
    <w:rsid w:val="007622FC"/>
    <w:rsid w:val="00762D82"/>
    <w:rsid w:val="0076300C"/>
    <w:rsid w:val="007633C6"/>
    <w:rsid w:val="00763664"/>
    <w:rsid w:val="007644D3"/>
    <w:rsid w:val="00764A15"/>
    <w:rsid w:val="00764AAF"/>
    <w:rsid w:val="00765A80"/>
    <w:rsid w:val="00765BD2"/>
    <w:rsid w:val="007662CA"/>
    <w:rsid w:val="00767A5E"/>
    <w:rsid w:val="00767E98"/>
    <w:rsid w:val="00770541"/>
    <w:rsid w:val="007712AA"/>
    <w:rsid w:val="00771820"/>
    <w:rsid w:val="00771AB1"/>
    <w:rsid w:val="00772998"/>
    <w:rsid w:val="00773323"/>
    <w:rsid w:val="007737E0"/>
    <w:rsid w:val="0077398A"/>
    <w:rsid w:val="00773F91"/>
    <w:rsid w:val="0077401B"/>
    <w:rsid w:val="00774D58"/>
    <w:rsid w:val="00775094"/>
    <w:rsid w:val="00775720"/>
    <w:rsid w:val="007759D5"/>
    <w:rsid w:val="007779C6"/>
    <w:rsid w:val="007817B2"/>
    <w:rsid w:val="00781B61"/>
    <w:rsid w:val="00781E77"/>
    <w:rsid w:val="00782DB9"/>
    <w:rsid w:val="007835A7"/>
    <w:rsid w:val="00783A44"/>
    <w:rsid w:val="00783CA3"/>
    <w:rsid w:val="00784FFE"/>
    <w:rsid w:val="007854D1"/>
    <w:rsid w:val="00786258"/>
    <w:rsid w:val="00786829"/>
    <w:rsid w:val="007876FA"/>
    <w:rsid w:val="00787905"/>
    <w:rsid w:val="00787AA9"/>
    <w:rsid w:val="0079066C"/>
    <w:rsid w:val="0079070A"/>
    <w:rsid w:val="00790E28"/>
    <w:rsid w:val="00791750"/>
    <w:rsid w:val="00791F16"/>
    <w:rsid w:val="007924BE"/>
    <w:rsid w:val="00793728"/>
    <w:rsid w:val="00794525"/>
    <w:rsid w:val="007949D5"/>
    <w:rsid w:val="007951B4"/>
    <w:rsid w:val="00795534"/>
    <w:rsid w:val="00795947"/>
    <w:rsid w:val="007961F5"/>
    <w:rsid w:val="00796496"/>
    <w:rsid w:val="007964CA"/>
    <w:rsid w:val="00796557"/>
    <w:rsid w:val="00797F4D"/>
    <w:rsid w:val="007A04FF"/>
    <w:rsid w:val="007A0D14"/>
    <w:rsid w:val="007A0EC2"/>
    <w:rsid w:val="007A115C"/>
    <w:rsid w:val="007A1A7B"/>
    <w:rsid w:val="007A2680"/>
    <w:rsid w:val="007A2E4C"/>
    <w:rsid w:val="007A3101"/>
    <w:rsid w:val="007A42DC"/>
    <w:rsid w:val="007A4481"/>
    <w:rsid w:val="007A4984"/>
    <w:rsid w:val="007A5E25"/>
    <w:rsid w:val="007A5E5A"/>
    <w:rsid w:val="007A642E"/>
    <w:rsid w:val="007A7335"/>
    <w:rsid w:val="007A78BA"/>
    <w:rsid w:val="007A7FC1"/>
    <w:rsid w:val="007B02A3"/>
    <w:rsid w:val="007B11EF"/>
    <w:rsid w:val="007B1498"/>
    <w:rsid w:val="007B1BED"/>
    <w:rsid w:val="007B2370"/>
    <w:rsid w:val="007B2D6B"/>
    <w:rsid w:val="007B4064"/>
    <w:rsid w:val="007B4219"/>
    <w:rsid w:val="007B42E3"/>
    <w:rsid w:val="007B44B1"/>
    <w:rsid w:val="007B77C5"/>
    <w:rsid w:val="007C012F"/>
    <w:rsid w:val="007C11B6"/>
    <w:rsid w:val="007C16F7"/>
    <w:rsid w:val="007C315B"/>
    <w:rsid w:val="007C395E"/>
    <w:rsid w:val="007C4F78"/>
    <w:rsid w:val="007C5259"/>
    <w:rsid w:val="007C63BA"/>
    <w:rsid w:val="007C64E7"/>
    <w:rsid w:val="007C67AE"/>
    <w:rsid w:val="007C7184"/>
    <w:rsid w:val="007C7868"/>
    <w:rsid w:val="007C794C"/>
    <w:rsid w:val="007C7C3F"/>
    <w:rsid w:val="007D0247"/>
    <w:rsid w:val="007D0D40"/>
    <w:rsid w:val="007D1221"/>
    <w:rsid w:val="007D17C5"/>
    <w:rsid w:val="007D17EA"/>
    <w:rsid w:val="007D2456"/>
    <w:rsid w:val="007D2AE4"/>
    <w:rsid w:val="007D3224"/>
    <w:rsid w:val="007D4C6A"/>
    <w:rsid w:val="007D4E3C"/>
    <w:rsid w:val="007D71E1"/>
    <w:rsid w:val="007D71E9"/>
    <w:rsid w:val="007D73E4"/>
    <w:rsid w:val="007E04BB"/>
    <w:rsid w:val="007E0F41"/>
    <w:rsid w:val="007E1348"/>
    <w:rsid w:val="007E1E21"/>
    <w:rsid w:val="007E1FD6"/>
    <w:rsid w:val="007E2318"/>
    <w:rsid w:val="007E28D6"/>
    <w:rsid w:val="007E350A"/>
    <w:rsid w:val="007E3B60"/>
    <w:rsid w:val="007E41FF"/>
    <w:rsid w:val="007E45AB"/>
    <w:rsid w:val="007E51EF"/>
    <w:rsid w:val="007E548B"/>
    <w:rsid w:val="007E6266"/>
    <w:rsid w:val="007E6A69"/>
    <w:rsid w:val="007F0DF8"/>
    <w:rsid w:val="007F11ED"/>
    <w:rsid w:val="007F2B01"/>
    <w:rsid w:val="007F43E0"/>
    <w:rsid w:val="007F4487"/>
    <w:rsid w:val="007F521B"/>
    <w:rsid w:val="007F5484"/>
    <w:rsid w:val="007F5D0A"/>
    <w:rsid w:val="007F5DFD"/>
    <w:rsid w:val="007F6764"/>
    <w:rsid w:val="007F6C4F"/>
    <w:rsid w:val="007F6DFD"/>
    <w:rsid w:val="008007D0"/>
    <w:rsid w:val="00802045"/>
    <w:rsid w:val="008027FE"/>
    <w:rsid w:val="00802A71"/>
    <w:rsid w:val="00802DE7"/>
    <w:rsid w:val="00803854"/>
    <w:rsid w:val="008044B7"/>
    <w:rsid w:val="00804DBD"/>
    <w:rsid w:val="008058B6"/>
    <w:rsid w:val="00805D6A"/>
    <w:rsid w:val="008066A1"/>
    <w:rsid w:val="00806CE8"/>
    <w:rsid w:val="0080727C"/>
    <w:rsid w:val="008100BE"/>
    <w:rsid w:val="008101F1"/>
    <w:rsid w:val="00810573"/>
    <w:rsid w:val="0081117D"/>
    <w:rsid w:val="008116B7"/>
    <w:rsid w:val="0081205A"/>
    <w:rsid w:val="008129A8"/>
    <w:rsid w:val="00812BB3"/>
    <w:rsid w:val="00813267"/>
    <w:rsid w:val="00813629"/>
    <w:rsid w:val="0081366C"/>
    <w:rsid w:val="0081524D"/>
    <w:rsid w:val="00815B09"/>
    <w:rsid w:val="0081601E"/>
    <w:rsid w:val="0081643F"/>
    <w:rsid w:val="0081748F"/>
    <w:rsid w:val="00817D27"/>
    <w:rsid w:val="00820D88"/>
    <w:rsid w:val="00820D91"/>
    <w:rsid w:val="0082142C"/>
    <w:rsid w:val="00821FF3"/>
    <w:rsid w:val="00824651"/>
    <w:rsid w:val="0082543F"/>
    <w:rsid w:val="00825A6E"/>
    <w:rsid w:val="00825A7C"/>
    <w:rsid w:val="0082608B"/>
    <w:rsid w:val="00826D36"/>
    <w:rsid w:val="00827B0C"/>
    <w:rsid w:val="00827E37"/>
    <w:rsid w:val="00827F0C"/>
    <w:rsid w:val="008305EF"/>
    <w:rsid w:val="00831139"/>
    <w:rsid w:val="0083138E"/>
    <w:rsid w:val="008346DA"/>
    <w:rsid w:val="00834775"/>
    <w:rsid w:val="0083485A"/>
    <w:rsid w:val="00834CE7"/>
    <w:rsid w:val="00835D15"/>
    <w:rsid w:val="00836623"/>
    <w:rsid w:val="00836C61"/>
    <w:rsid w:val="00837318"/>
    <w:rsid w:val="008407C7"/>
    <w:rsid w:val="00840B22"/>
    <w:rsid w:val="00840D0B"/>
    <w:rsid w:val="008425F9"/>
    <w:rsid w:val="00844D23"/>
    <w:rsid w:val="0084523F"/>
    <w:rsid w:val="00845FB4"/>
    <w:rsid w:val="00846AC8"/>
    <w:rsid w:val="00846DC4"/>
    <w:rsid w:val="0085013B"/>
    <w:rsid w:val="0085018C"/>
    <w:rsid w:val="008503D4"/>
    <w:rsid w:val="0085075A"/>
    <w:rsid w:val="00850906"/>
    <w:rsid w:val="008517BD"/>
    <w:rsid w:val="00851C0A"/>
    <w:rsid w:val="00851EE2"/>
    <w:rsid w:val="00852390"/>
    <w:rsid w:val="00853A15"/>
    <w:rsid w:val="00853EA1"/>
    <w:rsid w:val="008540C4"/>
    <w:rsid w:val="008542CE"/>
    <w:rsid w:val="00854E06"/>
    <w:rsid w:val="00855BA9"/>
    <w:rsid w:val="0085615F"/>
    <w:rsid w:val="00856748"/>
    <w:rsid w:val="00856C8B"/>
    <w:rsid w:val="008570B2"/>
    <w:rsid w:val="00857860"/>
    <w:rsid w:val="008578E8"/>
    <w:rsid w:val="00857C36"/>
    <w:rsid w:val="00860941"/>
    <w:rsid w:val="00860CA6"/>
    <w:rsid w:val="00860D76"/>
    <w:rsid w:val="00861242"/>
    <w:rsid w:val="00861409"/>
    <w:rsid w:val="0086212A"/>
    <w:rsid w:val="0086261A"/>
    <w:rsid w:val="00862668"/>
    <w:rsid w:val="00862918"/>
    <w:rsid w:val="00862E1E"/>
    <w:rsid w:val="00863242"/>
    <w:rsid w:val="0086444C"/>
    <w:rsid w:val="00864BE2"/>
    <w:rsid w:val="00864E39"/>
    <w:rsid w:val="00867317"/>
    <w:rsid w:val="00867641"/>
    <w:rsid w:val="00867686"/>
    <w:rsid w:val="00867815"/>
    <w:rsid w:val="00867AEE"/>
    <w:rsid w:val="00870286"/>
    <w:rsid w:val="0087040C"/>
    <w:rsid w:val="00870561"/>
    <w:rsid w:val="00871852"/>
    <w:rsid w:val="0087281E"/>
    <w:rsid w:val="00872E73"/>
    <w:rsid w:val="00874424"/>
    <w:rsid w:val="008753A6"/>
    <w:rsid w:val="0087559A"/>
    <w:rsid w:val="008756D3"/>
    <w:rsid w:val="008760D2"/>
    <w:rsid w:val="00877014"/>
    <w:rsid w:val="008773D4"/>
    <w:rsid w:val="00877476"/>
    <w:rsid w:val="00877B91"/>
    <w:rsid w:val="00877D8F"/>
    <w:rsid w:val="00880B4C"/>
    <w:rsid w:val="00880E89"/>
    <w:rsid w:val="00880EA1"/>
    <w:rsid w:val="008818AF"/>
    <w:rsid w:val="008819E3"/>
    <w:rsid w:val="0088522A"/>
    <w:rsid w:val="0088566A"/>
    <w:rsid w:val="0088624B"/>
    <w:rsid w:val="00886A72"/>
    <w:rsid w:val="00886D79"/>
    <w:rsid w:val="00886F31"/>
    <w:rsid w:val="0088712C"/>
    <w:rsid w:val="0088794B"/>
    <w:rsid w:val="0089059B"/>
    <w:rsid w:val="008910A5"/>
    <w:rsid w:val="00891D1F"/>
    <w:rsid w:val="0089223B"/>
    <w:rsid w:val="00893C04"/>
    <w:rsid w:val="0089445E"/>
    <w:rsid w:val="0089449F"/>
    <w:rsid w:val="0089494B"/>
    <w:rsid w:val="00894A1D"/>
    <w:rsid w:val="008954E7"/>
    <w:rsid w:val="008956D9"/>
    <w:rsid w:val="00895AB4"/>
    <w:rsid w:val="00896599"/>
    <w:rsid w:val="0089700E"/>
    <w:rsid w:val="00897298"/>
    <w:rsid w:val="00897BB8"/>
    <w:rsid w:val="008A0314"/>
    <w:rsid w:val="008A0993"/>
    <w:rsid w:val="008A149A"/>
    <w:rsid w:val="008A2EEA"/>
    <w:rsid w:val="008A3BAD"/>
    <w:rsid w:val="008A48A5"/>
    <w:rsid w:val="008A4BBD"/>
    <w:rsid w:val="008A4C7A"/>
    <w:rsid w:val="008A52D3"/>
    <w:rsid w:val="008A7A2D"/>
    <w:rsid w:val="008A7B81"/>
    <w:rsid w:val="008A7FF1"/>
    <w:rsid w:val="008B0C98"/>
    <w:rsid w:val="008B0E4B"/>
    <w:rsid w:val="008B2D0E"/>
    <w:rsid w:val="008B4085"/>
    <w:rsid w:val="008B43A0"/>
    <w:rsid w:val="008B51D0"/>
    <w:rsid w:val="008B51D3"/>
    <w:rsid w:val="008B5588"/>
    <w:rsid w:val="008B591B"/>
    <w:rsid w:val="008B5CB2"/>
    <w:rsid w:val="008B5FB0"/>
    <w:rsid w:val="008B66DC"/>
    <w:rsid w:val="008B69B5"/>
    <w:rsid w:val="008B73BA"/>
    <w:rsid w:val="008B73D3"/>
    <w:rsid w:val="008B7D02"/>
    <w:rsid w:val="008C0682"/>
    <w:rsid w:val="008C0832"/>
    <w:rsid w:val="008C0AED"/>
    <w:rsid w:val="008C0DEB"/>
    <w:rsid w:val="008C127F"/>
    <w:rsid w:val="008C13C4"/>
    <w:rsid w:val="008C2AE7"/>
    <w:rsid w:val="008C2BCC"/>
    <w:rsid w:val="008C327C"/>
    <w:rsid w:val="008C35A1"/>
    <w:rsid w:val="008C418F"/>
    <w:rsid w:val="008C467A"/>
    <w:rsid w:val="008C48CC"/>
    <w:rsid w:val="008C4B16"/>
    <w:rsid w:val="008C4D32"/>
    <w:rsid w:val="008C549B"/>
    <w:rsid w:val="008C5A5E"/>
    <w:rsid w:val="008C76FA"/>
    <w:rsid w:val="008C7911"/>
    <w:rsid w:val="008D0C5F"/>
    <w:rsid w:val="008D0C96"/>
    <w:rsid w:val="008D0DA0"/>
    <w:rsid w:val="008D17CF"/>
    <w:rsid w:val="008D1F50"/>
    <w:rsid w:val="008D23FE"/>
    <w:rsid w:val="008D308D"/>
    <w:rsid w:val="008D45FD"/>
    <w:rsid w:val="008D620D"/>
    <w:rsid w:val="008D637D"/>
    <w:rsid w:val="008D64EA"/>
    <w:rsid w:val="008D6BCD"/>
    <w:rsid w:val="008D779D"/>
    <w:rsid w:val="008D78F8"/>
    <w:rsid w:val="008E036C"/>
    <w:rsid w:val="008E0A00"/>
    <w:rsid w:val="008E1A17"/>
    <w:rsid w:val="008E1AC0"/>
    <w:rsid w:val="008E1EE8"/>
    <w:rsid w:val="008E2A90"/>
    <w:rsid w:val="008E2FE4"/>
    <w:rsid w:val="008E39A6"/>
    <w:rsid w:val="008E42F6"/>
    <w:rsid w:val="008E50CA"/>
    <w:rsid w:val="008E5A8F"/>
    <w:rsid w:val="008E61AF"/>
    <w:rsid w:val="008E6439"/>
    <w:rsid w:val="008E673D"/>
    <w:rsid w:val="008E7CC7"/>
    <w:rsid w:val="008F087C"/>
    <w:rsid w:val="008F0AD1"/>
    <w:rsid w:val="008F0D15"/>
    <w:rsid w:val="008F0ECB"/>
    <w:rsid w:val="008F1BE2"/>
    <w:rsid w:val="008F22EE"/>
    <w:rsid w:val="008F3288"/>
    <w:rsid w:val="008F33E7"/>
    <w:rsid w:val="008F3587"/>
    <w:rsid w:val="008F3F86"/>
    <w:rsid w:val="008F3FFA"/>
    <w:rsid w:val="008F4BEA"/>
    <w:rsid w:val="008F4F3B"/>
    <w:rsid w:val="008F4F8B"/>
    <w:rsid w:val="008F5373"/>
    <w:rsid w:val="008F53BA"/>
    <w:rsid w:val="008F56CB"/>
    <w:rsid w:val="008F5760"/>
    <w:rsid w:val="008F597E"/>
    <w:rsid w:val="008F5C0B"/>
    <w:rsid w:val="008F5D63"/>
    <w:rsid w:val="008F663B"/>
    <w:rsid w:val="008F737A"/>
    <w:rsid w:val="008F77DF"/>
    <w:rsid w:val="008F7A4B"/>
    <w:rsid w:val="00900644"/>
    <w:rsid w:val="0090104D"/>
    <w:rsid w:val="00901931"/>
    <w:rsid w:val="00901C7D"/>
    <w:rsid w:val="00902766"/>
    <w:rsid w:val="00903F3C"/>
    <w:rsid w:val="00904E31"/>
    <w:rsid w:val="009054CB"/>
    <w:rsid w:val="0090671E"/>
    <w:rsid w:val="009068E8"/>
    <w:rsid w:val="00907901"/>
    <w:rsid w:val="00907A88"/>
    <w:rsid w:val="00911193"/>
    <w:rsid w:val="0091242C"/>
    <w:rsid w:val="009128D1"/>
    <w:rsid w:val="00912D91"/>
    <w:rsid w:val="009136C2"/>
    <w:rsid w:val="00913BB9"/>
    <w:rsid w:val="00914569"/>
    <w:rsid w:val="00914BB9"/>
    <w:rsid w:val="009150F7"/>
    <w:rsid w:val="00915A49"/>
    <w:rsid w:val="00916532"/>
    <w:rsid w:val="00917310"/>
    <w:rsid w:val="00917417"/>
    <w:rsid w:val="00917E6F"/>
    <w:rsid w:val="009203D2"/>
    <w:rsid w:val="009205FB"/>
    <w:rsid w:val="00920E9C"/>
    <w:rsid w:val="0092140D"/>
    <w:rsid w:val="00921573"/>
    <w:rsid w:val="00921A8B"/>
    <w:rsid w:val="00923086"/>
    <w:rsid w:val="0092347D"/>
    <w:rsid w:val="0092370C"/>
    <w:rsid w:val="009242E1"/>
    <w:rsid w:val="00924732"/>
    <w:rsid w:val="00924973"/>
    <w:rsid w:val="00925AAB"/>
    <w:rsid w:val="009266DA"/>
    <w:rsid w:val="00930286"/>
    <w:rsid w:val="00931413"/>
    <w:rsid w:val="009314B6"/>
    <w:rsid w:val="0093152C"/>
    <w:rsid w:val="00932DFA"/>
    <w:rsid w:val="0093333C"/>
    <w:rsid w:val="009335DC"/>
    <w:rsid w:val="009339B0"/>
    <w:rsid w:val="00933FFC"/>
    <w:rsid w:val="0093510F"/>
    <w:rsid w:val="00935B7B"/>
    <w:rsid w:val="00935BB0"/>
    <w:rsid w:val="00935F2B"/>
    <w:rsid w:val="0093689B"/>
    <w:rsid w:val="00936F3B"/>
    <w:rsid w:val="00937F88"/>
    <w:rsid w:val="00940BA5"/>
    <w:rsid w:val="00942A93"/>
    <w:rsid w:val="0094351E"/>
    <w:rsid w:val="00943694"/>
    <w:rsid w:val="00944810"/>
    <w:rsid w:val="00945159"/>
    <w:rsid w:val="0094644F"/>
    <w:rsid w:val="00946E81"/>
    <w:rsid w:val="009504B3"/>
    <w:rsid w:val="009505C1"/>
    <w:rsid w:val="00953199"/>
    <w:rsid w:val="00953F4B"/>
    <w:rsid w:val="009568A9"/>
    <w:rsid w:val="00956979"/>
    <w:rsid w:val="0095758C"/>
    <w:rsid w:val="0096059F"/>
    <w:rsid w:val="009618D5"/>
    <w:rsid w:val="00961B08"/>
    <w:rsid w:val="0096254D"/>
    <w:rsid w:val="00962B4B"/>
    <w:rsid w:val="0096359A"/>
    <w:rsid w:val="00963B8E"/>
    <w:rsid w:val="009648EB"/>
    <w:rsid w:val="00964900"/>
    <w:rsid w:val="009651F5"/>
    <w:rsid w:val="009655F9"/>
    <w:rsid w:val="00966221"/>
    <w:rsid w:val="009670A8"/>
    <w:rsid w:val="00971E14"/>
    <w:rsid w:val="009720FA"/>
    <w:rsid w:val="009757AE"/>
    <w:rsid w:val="00976052"/>
    <w:rsid w:val="00976680"/>
    <w:rsid w:val="00976874"/>
    <w:rsid w:val="00977416"/>
    <w:rsid w:val="00977449"/>
    <w:rsid w:val="00977913"/>
    <w:rsid w:val="00980848"/>
    <w:rsid w:val="009825E1"/>
    <w:rsid w:val="00982AD0"/>
    <w:rsid w:val="00983420"/>
    <w:rsid w:val="00983EF4"/>
    <w:rsid w:val="009845F5"/>
    <w:rsid w:val="00984AC1"/>
    <w:rsid w:val="00985AF2"/>
    <w:rsid w:val="00985C30"/>
    <w:rsid w:val="00985EFD"/>
    <w:rsid w:val="0098634D"/>
    <w:rsid w:val="00986453"/>
    <w:rsid w:val="00986680"/>
    <w:rsid w:val="00986D9F"/>
    <w:rsid w:val="00987AB8"/>
    <w:rsid w:val="009909AD"/>
    <w:rsid w:val="009914D4"/>
    <w:rsid w:val="009933AC"/>
    <w:rsid w:val="009946AD"/>
    <w:rsid w:val="00994D74"/>
    <w:rsid w:val="009950AA"/>
    <w:rsid w:val="00996FB7"/>
    <w:rsid w:val="009A0764"/>
    <w:rsid w:val="009A0A6A"/>
    <w:rsid w:val="009A0E65"/>
    <w:rsid w:val="009A1067"/>
    <w:rsid w:val="009A1381"/>
    <w:rsid w:val="009A1528"/>
    <w:rsid w:val="009A15AA"/>
    <w:rsid w:val="009A1939"/>
    <w:rsid w:val="009A24E8"/>
    <w:rsid w:val="009A28FC"/>
    <w:rsid w:val="009A292E"/>
    <w:rsid w:val="009A2B74"/>
    <w:rsid w:val="009A2D9D"/>
    <w:rsid w:val="009A3199"/>
    <w:rsid w:val="009A3A0D"/>
    <w:rsid w:val="009A48FD"/>
    <w:rsid w:val="009A4D0E"/>
    <w:rsid w:val="009A4E8C"/>
    <w:rsid w:val="009A5613"/>
    <w:rsid w:val="009A5AC9"/>
    <w:rsid w:val="009A6A71"/>
    <w:rsid w:val="009A6E2D"/>
    <w:rsid w:val="009B0ACF"/>
    <w:rsid w:val="009B2849"/>
    <w:rsid w:val="009B3014"/>
    <w:rsid w:val="009B3EA5"/>
    <w:rsid w:val="009B411A"/>
    <w:rsid w:val="009B41BF"/>
    <w:rsid w:val="009B4515"/>
    <w:rsid w:val="009B4920"/>
    <w:rsid w:val="009B49F9"/>
    <w:rsid w:val="009B4C41"/>
    <w:rsid w:val="009B5C4F"/>
    <w:rsid w:val="009B5FFC"/>
    <w:rsid w:val="009B6368"/>
    <w:rsid w:val="009B6CF3"/>
    <w:rsid w:val="009B6D65"/>
    <w:rsid w:val="009B774B"/>
    <w:rsid w:val="009B7DA6"/>
    <w:rsid w:val="009C009F"/>
    <w:rsid w:val="009C0A76"/>
    <w:rsid w:val="009C15FA"/>
    <w:rsid w:val="009C2B72"/>
    <w:rsid w:val="009C32C1"/>
    <w:rsid w:val="009C335A"/>
    <w:rsid w:val="009C346F"/>
    <w:rsid w:val="009C376F"/>
    <w:rsid w:val="009C417C"/>
    <w:rsid w:val="009C609C"/>
    <w:rsid w:val="009C61CA"/>
    <w:rsid w:val="009C66FE"/>
    <w:rsid w:val="009C7315"/>
    <w:rsid w:val="009C731B"/>
    <w:rsid w:val="009C763C"/>
    <w:rsid w:val="009C7F16"/>
    <w:rsid w:val="009C7F28"/>
    <w:rsid w:val="009D03C2"/>
    <w:rsid w:val="009D0ECE"/>
    <w:rsid w:val="009D1E2B"/>
    <w:rsid w:val="009D3B0E"/>
    <w:rsid w:val="009D4BD2"/>
    <w:rsid w:val="009D5BB5"/>
    <w:rsid w:val="009D622E"/>
    <w:rsid w:val="009D6779"/>
    <w:rsid w:val="009D7824"/>
    <w:rsid w:val="009D78B5"/>
    <w:rsid w:val="009E0F61"/>
    <w:rsid w:val="009E1293"/>
    <w:rsid w:val="009E1792"/>
    <w:rsid w:val="009E17B6"/>
    <w:rsid w:val="009E1938"/>
    <w:rsid w:val="009E1CE3"/>
    <w:rsid w:val="009E220A"/>
    <w:rsid w:val="009E356B"/>
    <w:rsid w:val="009E3771"/>
    <w:rsid w:val="009E4DEB"/>
    <w:rsid w:val="009E541D"/>
    <w:rsid w:val="009E5613"/>
    <w:rsid w:val="009E5D4D"/>
    <w:rsid w:val="009E6828"/>
    <w:rsid w:val="009E6857"/>
    <w:rsid w:val="009F0C5C"/>
    <w:rsid w:val="009F1A62"/>
    <w:rsid w:val="009F1B96"/>
    <w:rsid w:val="009F219E"/>
    <w:rsid w:val="009F233D"/>
    <w:rsid w:val="009F31B6"/>
    <w:rsid w:val="009F38CB"/>
    <w:rsid w:val="009F466B"/>
    <w:rsid w:val="009F4A56"/>
    <w:rsid w:val="009F4CAA"/>
    <w:rsid w:val="009F4D37"/>
    <w:rsid w:val="009F5CFF"/>
    <w:rsid w:val="00A0058D"/>
    <w:rsid w:val="00A0233C"/>
    <w:rsid w:val="00A03ACC"/>
    <w:rsid w:val="00A04317"/>
    <w:rsid w:val="00A047BC"/>
    <w:rsid w:val="00A054BA"/>
    <w:rsid w:val="00A058A7"/>
    <w:rsid w:val="00A06E47"/>
    <w:rsid w:val="00A06E88"/>
    <w:rsid w:val="00A10BC6"/>
    <w:rsid w:val="00A114FA"/>
    <w:rsid w:val="00A12223"/>
    <w:rsid w:val="00A12B76"/>
    <w:rsid w:val="00A13963"/>
    <w:rsid w:val="00A15105"/>
    <w:rsid w:val="00A15BBB"/>
    <w:rsid w:val="00A16603"/>
    <w:rsid w:val="00A16F1D"/>
    <w:rsid w:val="00A17671"/>
    <w:rsid w:val="00A2142D"/>
    <w:rsid w:val="00A216E2"/>
    <w:rsid w:val="00A21D00"/>
    <w:rsid w:val="00A220EB"/>
    <w:rsid w:val="00A2269F"/>
    <w:rsid w:val="00A22DAA"/>
    <w:rsid w:val="00A237DD"/>
    <w:rsid w:val="00A23BE2"/>
    <w:rsid w:val="00A23F70"/>
    <w:rsid w:val="00A258C1"/>
    <w:rsid w:val="00A25BC8"/>
    <w:rsid w:val="00A2623F"/>
    <w:rsid w:val="00A262BB"/>
    <w:rsid w:val="00A262F2"/>
    <w:rsid w:val="00A2647B"/>
    <w:rsid w:val="00A27465"/>
    <w:rsid w:val="00A27DFC"/>
    <w:rsid w:val="00A30A62"/>
    <w:rsid w:val="00A30C42"/>
    <w:rsid w:val="00A30D49"/>
    <w:rsid w:val="00A31711"/>
    <w:rsid w:val="00A31F23"/>
    <w:rsid w:val="00A33B0F"/>
    <w:rsid w:val="00A33B4A"/>
    <w:rsid w:val="00A35BC5"/>
    <w:rsid w:val="00A35D63"/>
    <w:rsid w:val="00A415D9"/>
    <w:rsid w:val="00A42485"/>
    <w:rsid w:val="00A4340E"/>
    <w:rsid w:val="00A435B4"/>
    <w:rsid w:val="00A44414"/>
    <w:rsid w:val="00A459C8"/>
    <w:rsid w:val="00A467D8"/>
    <w:rsid w:val="00A47172"/>
    <w:rsid w:val="00A47FC8"/>
    <w:rsid w:val="00A505E4"/>
    <w:rsid w:val="00A51BF8"/>
    <w:rsid w:val="00A5343F"/>
    <w:rsid w:val="00A534A7"/>
    <w:rsid w:val="00A5357F"/>
    <w:rsid w:val="00A53CE8"/>
    <w:rsid w:val="00A53D61"/>
    <w:rsid w:val="00A54124"/>
    <w:rsid w:val="00A542CB"/>
    <w:rsid w:val="00A549EC"/>
    <w:rsid w:val="00A55329"/>
    <w:rsid w:val="00A5573B"/>
    <w:rsid w:val="00A56679"/>
    <w:rsid w:val="00A567C7"/>
    <w:rsid w:val="00A5745B"/>
    <w:rsid w:val="00A57DBE"/>
    <w:rsid w:val="00A57E00"/>
    <w:rsid w:val="00A57F43"/>
    <w:rsid w:val="00A60C23"/>
    <w:rsid w:val="00A60E8C"/>
    <w:rsid w:val="00A6127B"/>
    <w:rsid w:val="00A61A67"/>
    <w:rsid w:val="00A62C24"/>
    <w:rsid w:val="00A62F6D"/>
    <w:rsid w:val="00A63E10"/>
    <w:rsid w:val="00A64B30"/>
    <w:rsid w:val="00A6519F"/>
    <w:rsid w:val="00A653AE"/>
    <w:rsid w:val="00A65CF8"/>
    <w:rsid w:val="00A669A9"/>
    <w:rsid w:val="00A67521"/>
    <w:rsid w:val="00A6781A"/>
    <w:rsid w:val="00A67904"/>
    <w:rsid w:val="00A67AFC"/>
    <w:rsid w:val="00A67BF6"/>
    <w:rsid w:val="00A7047B"/>
    <w:rsid w:val="00A70712"/>
    <w:rsid w:val="00A71D9E"/>
    <w:rsid w:val="00A71E8F"/>
    <w:rsid w:val="00A7220A"/>
    <w:rsid w:val="00A73067"/>
    <w:rsid w:val="00A7409C"/>
    <w:rsid w:val="00A74E61"/>
    <w:rsid w:val="00A76292"/>
    <w:rsid w:val="00A7692F"/>
    <w:rsid w:val="00A76E69"/>
    <w:rsid w:val="00A77EA2"/>
    <w:rsid w:val="00A817C7"/>
    <w:rsid w:val="00A83E92"/>
    <w:rsid w:val="00A84262"/>
    <w:rsid w:val="00A842F2"/>
    <w:rsid w:val="00A865A0"/>
    <w:rsid w:val="00A867AB"/>
    <w:rsid w:val="00A868C1"/>
    <w:rsid w:val="00A869B3"/>
    <w:rsid w:val="00A86C80"/>
    <w:rsid w:val="00A86FC2"/>
    <w:rsid w:val="00A8796A"/>
    <w:rsid w:val="00A87BB3"/>
    <w:rsid w:val="00A90431"/>
    <w:rsid w:val="00A90495"/>
    <w:rsid w:val="00A906B9"/>
    <w:rsid w:val="00A906E8"/>
    <w:rsid w:val="00A90921"/>
    <w:rsid w:val="00A90D80"/>
    <w:rsid w:val="00A913B0"/>
    <w:rsid w:val="00A92503"/>
    <w:rsid w:val="00A925D1"/>
    <w:rsid w:val="00A92843"/>
    <w:rsid w:val="00A92D8B"/>
    <w:rsid w:val="00A9342B"/>
    <w:rsid w:val="00A936C8"/>
    <w:rsid w:val="00A944D5"/>
    <w:rsid w:val="00A9452C"/>
    <w:rsid w:val="00A94C98"/>
    <w:rsid w:val="00A94FD7"/>
    <w:rsid w:val="00A9562A"/>
    <w:rsid w:val="00A95F6D"/>
    <w:rsid w:val="00A96094"/>
    <w:rsid w:val="00A9650F"/>
    <w:rsid w:val="00A96708"/>
    <w:rsid w:val="00A97F46"/>
    <w:rsid w:val="00AA016F"/>
    <w:rsid w:val="00AA0D8A"/>
    <w:rsid w:val="00AA1948"/>
    <w:rsid w:val="00AA1962"/>
    <w:rsid w:val="00AA2022"/>
    <w:rsid w:val="00AA24F4"/>
    <w:rsid w:val="00AA2937"/>
    <w:rsid w:val="00AA4DCE"/>
    <w:rsid w:val="00AA4E97"/>
    <w:rsid w:val="00AA54CA"/>
    <w:rsid w:val="00AA6E36"/>
    <w:rsid w:val="00AA70AE"/>
    <w:rsid w:val="00AA7902"/>
    <w:rsid w:val="00AB0CD9"/>
    <w:rsid w:val="00AB1DA7"/>
    <w:rsid w:val="00AB2C84"/>
    <w:rsid w:val="00AB3CF2"/>
    <w:rsid w:val="00AB53E0"/>
    <w:rsid w:val="00AB57D4"/>
    <w:rsid w:val="00AB693B"/>
    <w:rsid w:val="00AC1B82"/>
    <w:rsid w:val="00AC1FB4"/>
    <w:rsid w:val="00AC2D84"/>
    <w:rsid w:val="00AC2EE8"/>
    <w:rsid w:val="00AC3913"/>
    <w:rsid w:val="00AC3C60"/>
    <w:rsid w:val="00AC3C8C"/>
    <w:rsid w:val="00AC5082"/>
    <w:rsid w:val="00AC6468"/>
    <w:rsid w:val="00AC678C"/>
    <w:rsid w:val="00AC6BEB"/>
    <w:rsid w:val="00AC6D2C"/>
    <w:rsid w:val="00AC743C"/>
    <w:rsid w:val="00AD0637"/>
    <w:rsid w:val="00AD0CB6"/>
    <w:rsid w:val="00AD1534"/>
    <w:rsid w:val="00AD1F48"/>
    <w:rsid w:val="00AD28E4"/>
    <w:rsid w:val="00AD3306"/>
    <w:rsid w:val="00AD33EB"/>
    <w:rsid w:val="00AD34CE"/>
    <w:rsid w:val="00AD3959"/>
    <w:rsid w:val="00AD4150"/>
    <w:rsid w:val="00AD433A"/>
    <w:rsid w:val="00AD4863"/>
    <w:rsid w:val="00AD5A21"/>
    <w:rsid w:val="00AD701F"/>
    <w:rsid w:val="00AD7642"/>
    <w:rsid w:val="00AD7EA3"/>
    <w:rsid w:val="00AE0018"/>
    <w:rsid w:val="00AE1173"/>
    <w:rsid w:val="00AE2992"/>
    <w:rsid w:val="00AE33F9"/>
    <w:rsid w:val="00AE3DA6"/>
    <w:rsid w:val="00AE3ECE"/>
    <w:rsid w:val="00AE471F"/>
    <w:rsid w:val="00AE49A0"/>
    <w:rsid w:val="00AE4D17"/>
    <w:rsid w:val="00AE4EE8"/>
    <w:rsid w:val="00AE5240"/>
    <w:rsid w:val="00AE5A8F"/>
    <w:rsid w:val="00AE5BDB"/>
    <w:rsid w:val="00AE62EA"/>
    <w:rsid w:val="00AE63F6"/>
    <w:rsid w:val="00AE6548"/>
    <w:rsid w:val="00AE6B35"/>
    <w:rsid w:val="00AE6D69"/>
    <w:rsid w:val="00AE7136"/>
    <w:rsid w:val="00AE7F11"/>
    <w:rsid w:val="00AF0671"/>
    <w:rsid w:val="00AF1E0C"/>
    <w:rsid w:val="00AF1FA0"/>
    <w:rsid w:val="00AF35DF"/>
    <w:rsid w:val="00AF3BF9"/>
    <w:rsid w:val="00AF4E35"/>
    <w:rsid w:val="00AF52FD"/>
    <w:rsid w:val="00AF652C"/>
    <w:rsid w:val="00AF7A5E"/>
    <w:rsid w:val="00B02AD7"/>
    <w:rsid w:val="00B02CC7"/>
    <w:rsid w:val="00B02FFC"/>
    <w:rsid w:val="00B035D3"/>
    <w:rsid w:val="00B05722"/>
    <w:rsid w:val="00B06701"/>
    <w:rsid w:val="00B073CD"/>
    <w:rsid w:val="00B07811"/>
    <w:rsid w:val="00B105A0"/>
    <w:rsid w:val="00B105D8"/>
    <w:rsid w:val="00B10C52"/>
    <w:rsid w:val="00B10CE6"/>
    <w:rsid w:val="00B10F5D"/>
    <w:rsid w:val="00B1362F"/>
    <w:rsid w:val="00B1563A"/>
    <w:rsid w:val="00B15ED1"/>
    <w:rsid w:val="00B165EC"/>
    <w:rsid w:val="00B168F8"/>
    <w:rsid w:val="00B1775D"/>
    <w:rsid w:val="00B17FB2"/>
    <w:rsid w:val="00B20498"/>
    <w:rsid w:val="00B214BA"/>
    <w:rsid w:val="00B219A5"/>
    <w:rsid w:val="00B21FA7"/>
    <w:rsid w:val="00B222D6"/>
    <w:rsid w:val="00B2312D"/>
    <w:rsid w:val="00B23248"/>
    <w:rsid w:val="00B23630"/>
    <w:rsid w:val="00B238FD"/>
    <w:rsid w:val="00B24D42"/>
    <w:rsid w:val="00B24E9C"/>
    <w:rsid w:val="00B24EAD"/>
    <w:rsid w:val="00B253BC"/>
    <w:rsid w:val="00B25647"/>
    <w:rsid w:val="00B27C49"/>
    <w:rsid w:val="00B308F3"/>
    <w:rsid w:val="00B31339"/>
    <w:rsid w:val="00B31449"/>
    <w:rsid w:val="00B316E2"/>
    <w:rsid w:val="00B316F4"/>
    <w:rsid w:val="00B33175"/>
    <w:rsid w:val="00B33541"/>
    <w:rsid w:val="00B3479D"/>
    <w:rsid w:val="00B34A0F"/>
    <w:rsid w:val="00B35181"/>
    <w:rsid w:val="00B352EE"/>
    <w:rsid w:val="00B35B8B"/>
    <w:rsid w:val="00B35BF3"/>
    <w:rsid w:val="00B36B0E"/>
    <w:rsid w:val="00B37C9D"/>
    <w:rsid w:val="00B37D3B"/>
    <w:rsid w:val="00B37DD2"/>
    <w:rsid w:val="00B4008C"/>
    <w:rsid w:val="00B40120"/>
    <w:rsid w:val="00B40A7F"/>
    <w:rsid w:val="00B447FC"/>
    <w:rsid w:val="00B4552C"/>
    <w:rsid w:val="00B46A87"/>
    <w:rsid w:val="00B47E2A"/>
    <w:rsid w:val="00B50857"/>
    <w:rsid w:val="00B51964"/>
    <w:rsid w:val="00B51F80"/>
    <w:rsid w:val="00B53BC2"/>
    <w:rsid w:val="00B548DF"/>
    <w:rsid w:val="00B549FC"/>
    <w:rsid w:val="00B56877"/>
    <w:rsid w:val="00B56A67"/>
    <w:rsid w:val="00B56C4E"/>
    <w:rsid w:val="00B56D63"/>
    <w:rsid w:val="00B56ECB"/>
    <w:rsid w:val="00B57C23"/>
    <w:rsid w:val="00B60E17"/>
    <w:rsid w:val="00B64289"/>
    <w:rsid w:val="00B64398"/>
    <w:rsid w:val="00B6488D"/>
    <w:rsid w:val="00B65280"/>
    <w:rsid w:val="00B660B0"/>
    <w:rsid w:val="00B6687A"/>
    <w:rsid w:val="00B66A3E"/>
    <w:rsid w:val="00B678BF"/>
    <w:rsid w:val="00B711E1"/>
    <w:rsid w:val="00B71772"/>
    <w:rsid w:val="00B71DC7"/>
    <w:rsid w:val="00B73B48"/>
    <w:rsid w:val="00B73D14"/>
    <w:rsid w:val="00B746DB"/>
    <w:rsid w:val="00B750CF"/>
    <w:rsid w:val="00B750D4"/>
    <w:rsid w:val="00B759E9"/>
    <w:rsid w:val="00B76DC9"/>
    <w:rsid w:val="00B76E87"/>
    <w:rsid w:val="00B810AC"/>
    <w:rsid w:val="00B8132A"/>
    <w:rsid w:val="00B81933"/>
    <w:rsid w:val="00B81D37"/>
    <w:rsid w:val="00B82845"/>
    <w:rsid w:val="00B8353E"/>
    <w:rsid w:val="00B83726"/>
    <w:rsid w:val="00B84AE2"/>
    <w:rsid w:val="00B85863"/>
    <w:rsid w:val="00B864AD"/>
    <w:rsid w:val="00B876CE"/>
    <w:rsid w:val="00B87BD1"/>
    <w:rsid w:val="00B90239"/>
    <w:rsid w:val="00B90521"/>
    <w:rsid w:val="00B90A15"/>
    <w:rsid w:val="00B90C0D"/>
    <w:rsid w:val="00B92233"/>
    <w:rsid w:val="00B92568"/>
    <w:rsid w:val="00B92D8C"/>
    <w:rsid w:val="00B93333"/>
    <w:rsid w:val="00B9383D"/>
    <w:rsid w:val="00B93FE1"/>
    <w:rsid w:val="00B94699"/>
    <w:rsid w:val="00B946B9"/>
    <w:rsid w:val="00B94C5E"/>
    <w:rsid w:val="00B94D15"/>
    <w:rsid w:val="00B95C43"/>
    <w:rsid w:val="00B97431"/>
    <w:rsid w:val="00B97488"/>
    <w:rsid w:val="00BA38A9"/>
    <w:rsid w:val="00BA38D9"/>
    <w:rsid w:val="00BA4069"/>
    <w:rsid w:val="00BA44BA"/>
    <w:rsid w:val="00BA4D54"/>
    <w:rsid w:val="00BA5077"/>
    <w:rsid w:val="00BA525E"/>
    <w:rsid w:val="00BA62B9"/>
    <w:rsid w:val="00BB15B9"/>
    <w:rsid w:val="00BB2278"/>
    <w:rsid w:val="00BB24F7"/>
    <w:rsid w:val="00BB256C"/>
    <w:rsid w:val="00BB4EF7"/>
    <w:rsid w:val="00BB54FD"/>
    <w:rsid w:val="00BB5BDF"/>
    <w:rsid w:val="00BB5D78"/>
    <w:rsid w:val="00BC0081"/>
    <w:rsid w:val="00BC0722"/>
    <w:rsid w:val="00BC20BC"/>
    <w:rsid w:val="00BC27E4"/>
    <w:rsid w:val="00BC2EAF"/>
    <w:rsid w:val="00BC3076"/>
    <w:rsid w:val="00BC3194"/>
    <w:rsid w:val="00BC3B46"/>
    <w:rsid w:val="00BC3CEB"/>
    <w:rsid w:val="00BC4179"/>
    <w:rsid w:val="00BC46F0"/>
    <w:rsid w:val="00BC59CC"/>
    <w:rsid w:val="00BC5D6D"/>
    <w:rsid w:val="00BC5DFB"/>
    <w:rsid w:val="00BC609F"/>
    <w:rsid w:val="00BC6358"/>
    <w:rsid w:val="00BC70CC"/>
    <w:rsid w:val="00BC721D"/>
    <w:rsid w:val="00BC74FB"/>
    <w:rsid w:val="00BD0437"/>
    <w:rsid w:val="00BD069D"/>
    <w:rsid w:val="00BD0AEF"/>
    <w:rsid w:val="00BD1201"/>
    <w:rsid w:val="00BD1367"/>
    <w:rsid w:val="00BD24A3"/>
    <w:rsid w:val="00BD27DC"/>
    <w:rsid w:val="00BD482A"/>
    <w:rsid w:val="00BD4C42"/>
    <w:rsid w:val="00BD5279"/>
    <w:rsid w:val="00BD540E"/>
    <w:rsid w:val="00BD5AB3"/>
    <w:rsid w:val="00BD5F38"/>
    <w:rsid w:val="00BD6050"/>
    <w:rsid w:val="00BD6DBA"/>
    <w:rsid w:val="00BD7159"/>
    <w:rsid w:val="00BD72B1"/>
    <w:rsid w:val="00BD72FB"/>
    <w:rsid w:val="00BD73CD"/>
    <w:rsid w:val="00BE06D1"/>
    <w:rsid w:val="00BE0918"/>
    <w:rsid w:val="00BE0AD5"/>
    <w:rsid w:val="00BE0E4D"/>
    <w:rsid w:val="00BE1A1E"/>
    <w:rsid w:val="00BE1E8F"/>
    <w:rsid w:val="00BE21D9"/>
    <w:rsid w:val="00BE3CCE"/>
    <w:rsid w:val="00BE4AFB"/>
    <w:rsid w:val="00BE5070"/>
    <w:rsid w:val="00BE6118"/>
    <w:rsid w:val="00BE6E3E"/>
    <w:rsid w:val="00BE71F4"/>
    <w:rsid w:val="00BE7317"/>
    <w:rsid w:val="00BF0082"/>
    <w:rsid w:val="00BF015C"/>
    <w:rsid w:val="00BF0491"/>
    <w:rsid w:val="00BF1920"/>
    <w:rsid w:val="00BF2978"/>
    <w:rsid w:val="00BF2D7E"/>
    <w:rsid w:val="00BF3309"/>
    <w:rsid w:val="00BF3811"/>
    <w:rsid w:val="00BF3B69"/>
    <w:rsid w:val="00BF49EF"/>
    <w:rsid w:val="00BF51FA"/>
    <w:rsid w:val="00BF537C"/>
    <w:rsid w:val="00BF5EEA"/>
    <w:rsid w:val="00BF5FBC"/>
    <w:rsid w:val="00BF7AC7"/>
    <w:rsid w:val="00C01581"/>
    <w:rsid w:val="00C016D7"/>
    <w:rsid w:val="00C02959"/>
    <w:rsid w:val="00C03911"/>
    <w:rsid w:val="00C04169"/>
    <w:rsid w:val="00C069DE"/>
    <w:rsid w:val="00C06F74"/>
    <w:rsid w:val="00C07431"/>
    <w:rsid w:val="00C102A8"/>
    <w:rsid w:val="00C10428"/>
    <w:rsid w:val="00C108F0"/>
    <w:rsid w:val="00C121A8"/>
    <w:rsid w:val="00C12602"/>
    <w:rsid w:val="00C12CC1"/>
    <w:rsid w:val="00C12E24"/>
    <w:rsid w:val="00C12FEB"/>
    <w:rsid w:val="00C1366A"/>
    <w:rsid w:val="00C13A99"/>
    <w:rsid w:val="00C13B77"/>
    <w:rsid w:val="00C13D9A"/>
    <w:rsid w:val="00C13E63"/>
    <w:rsid w:val="00C140CB"/>
    <w:rsid w:val="00C14E6D"/>
    <w:rsid w:val="00C14FDB"/>
    <w:rsid w:val="00C16E26"/>
    <w:rsid w:val="00C175DF"/>
    <w:rsid w:val="00C17A50"/>
    <w:rsid w:val="00C21059"/>
    <w:rsid w:val="00C210D5"/>
    <w:rsid w:val="00C228EF"/>
    <w:rsid w:val="00C23169"/>
    <w:rsid w:val="00C23E18"/>
    <w:rsid w:val="00C24A3F"/>
    <w:rsid w:val="00C260F5"/>
    <w:rsid w:val="00C26103"/>
    <w:rsid w:val="00C2629E"/>
    <w:rsid w:val="00C262D2"/>
    <w:rsid w:val="00C27058"/>
    <w:rsid w:val="00C27A75"/>
    <w:rsid w:val="00C27A9E"/>
    <w:rsid w:val="00C27F21"/>
    <w:rsid w:val="00C3109B"/>
    <w:rsid w:val="00C31425"/>
    <w:rsid w:val="00C31831"/>
    <w:rsid w:val="00C3187D"/>
    <w:rsid w:val="00C31F49"/>
    <w:rsid w:val="00C321D8"/>
    <w:rsid w:val="00C331C7"/>
    <w:rsid w:val="00C33496"/>
    <w:rsid w:val="00C339D2"/>
    <w:rsid w:val="00C33BA1"/>
    <w:rsid w:val="00C340A3"/>
    <w:rsid w:val="00C344A3"/>
    <w:rsid w:val="00C345C1"/>
    <w:rsid w:val="00C35AF9"/>
    <w:rsid w:val="00C35BBA"/>
    <w:rsid w:val="00C35BFD"/>
    <w:rsid w:val="00C36682"/>
    <w:rsid w:val="00C3684B"/>
    <w:rsid w:val="00C37665"/>
    <w:rsid w:val="00C3787A"/>
    <w:rsid w:val="00C379A3"/>
    <w:rsid w:val="00C37D88"/>
    <w:rsid w:val="00C37F9B"/>
    <w:rsid w:val="00C4032C"/>
    <w:rsid w:val="00C40868"/>
    <w:rsid w:val="00C40890"/>
    <w:rsid w:val="00C41833"/>
    <w:rsid w:val="00C41E78"/>
    <w:rsid w:val="00C421B9"/>
    <w:rsid w:val="00C42622"/>
    <w:rsid w:val="00C428AB"/>
    <w:rsid w:val="00C42970"/>
    <w:rsid w:val="00C42A29"/>
    <w:rsid w:val="00C42AF8"/>
    <w:rsid w:val="00C43FB7"/>
    <w:rsid w:val="00C45200"/>
    <w:rsid w:val="00C45514"/>
    <w:rsid w:val="00C45A45"/>
    <w:rsid w:val="00C47347"/>
    <w:rsid w:val="00C50F41"/>
    <w:rsid w:val="00C50F71"/>
    <w:rsid w:val="00C51384"/>
    <w:rsid w:val="00C51CDF"/>
    <w:rsid w:val="00C53D80"/>
    <w:rsid w:val="00C5677C"/>
    <w:rsid w:val="00C57053"/>
    <w:rsid w:val="00C57C7A"/>
    <w:rsid w:val="00C61325"/>
    <w:rsid w:val="00C6160A"/>
    <w:rsid w:val="00C617AE"/>
    <w:rsid w:val="00C61967"/>
    <w:rsid w:val="00C61C5C"/>
    <w:rsid w:val="00C62801"/>
    <w:rsid w:val="00C62D6A"/>
    <w:rsid w:val="00C63763"/>
    <w:rsid w:val="00C65976"/>
    <w:rsid w:val="00C65DE1"/>
    <w:rsid w:val="00C6629B"/>
    <w:rsid w:val="00C66AE9"/>
    <w:rsid w:val="00C70B0E"/>
    <w:rsid w:val="00C70C54"/>
    <w:rsid w:val="00C71C1F"/>
    <w:rsid w:val="00C71E6F"/>
    <w:rsid w:val="00C722AB"/>
    <w:rsid w:val="00C72C3E"/>
    <w:rsid w:val="00C733F2"/>
    <w:rsid w:val="00C74ED7"/>
    <w:rsid w:val="00C75233"/>
    <w:rsid w:val="00C758CD"/>
    <w:rsid w:val="00C75EF2"/>
    <w:rsid w:val="00C76160"/>
    <w:rsid w:val="00C76A5A"/>
    <w:rsid w:val="00C774EA"/>
    <w:rsid w:val="00C8003E"/>
    <w:rsid w:val="00C8017B"/>
    <w:rsid w:val="00C80BD1"/>
    <w:rsid w:val="00C81462"/>
    <w:rsid w:val="00C82088"/>
    <w:rsid w:val="00C8217C"/>
    <w:rsid w:val="00C8254F"/>
    <w:rsid w:val="00C82E4F"/>
    <w:rsid w:val="00C8374A"/>
    <w:rsid w:val="00C848A7"/>
    <w:rsid w:val="00C84B4B"/>
    <w:rsid w:val="00C8664F"/>
    <w:rsid w:val="00C87098"/>
    <w:rsid w:val="00C8783B"/>
    <w:rsid w:val="00C87EC6"/>
    <w:rsid w:val="00C903D7"/>
    <w:rsid w:val="00C905B6"/>
    <w:rsid w:val="00C906B6"/>
    <w:rsid w:val="00C9165C"/>
    <w:rsid w:val="00C9168B"/>
    <w:rsid w:val="00C91C0F"/>
    <w:rsid w:val="00C933FA"/>
    <w:rsid w:val="00C93A17"/>
    <w:rsid w:val="00C93CCB"/>
    <w:rsid w:val="00C94319"/>
    <w:rsid w:val="00C946A0"/>
    <w:rsid w:val="00C952E2"/>
    <w:rsid w:val="00C95866"/>
    <w:rsid w:val="00C95E9F"/>
    <w:rsid w:val="00C96CA5"/>
    <w:rsid w:val="00CA0F8A"/>
    <w:rsid w:val="00CA1947"/>
    <w:rsid w:val="00CA24A5"/>
    <w:rsid w:val="00CA3BC2"/>
    <w:rsid w:val="00CA4476"/>
    <w:rsid w:val="00CA56B8"/>
    <w:rsid w:val="00CA5D26"/>
    <w:rsid w:val="00CA6020"/>
    <w:rsid w:val="00CA6FD0"/>
    <w:rsid w:val="00CA79AE"/>
    <w:rsid w:val="00CA7BA5"/>
    <w:rsid w:val="00CB0BA0"/>
    <w:rsid w:val="00CB2A99"/>
    <w:rsid w:val="00CB2CD1"/>
    <w:rsid w:val="00CB56BB"/>
    <w:rsid w:val="00CB5C3E"/>
    <w:rsid w:val="00CB68B1"/>
    <w:rsid w:val="00CB6B2F"/>
    <w:rsid w:val="00CB6E44"/>
    <w:rsid w:val="00CB707F"/>
    <w:rsid w:val="00CB739B"/>
    <w:rsid w:val="00CC0196"/>
    <w:rsid w:val="00CC20DB"/>
    <w:rsid w:val="00CC4DD3"/>
    <w:rsid w:val="00CC4F6E"/>
    <w:rsid w:val="00CC5139"/>
    <w:rsid w:val="00CC5514"/>
    <w:rsid w:val="00CC6D60"/>
    <w:rsid w:val="00CC77AB"/>
    <w:rsid w:val="00CD059A"/>
    <w:rsid w:val="00CD05CF"/>
    <w:rsid w:val="00CD0EB0"/>
    <w:rsid w:val="00CD0FD8"/>
    <w:rsid w:val="00CD0FF1"/>
    <w:rsid w:val="00CD194C"/>
    <w:rsid w:val="00CD2706"/>
    <w:rsid w:val="00CD2DEA"/>
    <w:rsid w:val="00CD5059"/>
    <w:rsid w:val="00CD50A9"/>
    <w:rsid w:val="00CD51FD"/>
    <w:rsid w:val="00CD6166"/>
    <w:rsid w:val="00CD77D6"/>
    <w:rsid w:val="00CD7EE3"/>
    <w:rsid w:val="00CE0C82"/>
    <w:rsid w:val="00CE17C6"/>
    <w:rsid w:val="00CE272B"/>
    <w:rsid w:val="00CE282C"/>
    <w:rsid w:val="00CE35D7"/>
    <w:rsid w:val="00CE36F5"/>
    <w:rsid w:val="00CE406B"/>
    <w:rsid w:val="00CE4882"/>
    <w:rsid w:val="00CE51D1"/>
    <w:rsid w:val="00CE53C4"/>
    <w:rsid w:val="00CE5C7B"/>
    <w:rsid w:val="00CE6426"/>
    <w:rsid w:val="00CE6632"/>
    <w:rsid w:val="00CE6752"/>
    <w:rsid w:val="00CE6870"/>
    <w:rsid w:val="00CE6D6D"/>
    <w:rsid w:val="00CE6F7D"/>
    <w:rsid w:val="00CE7382"/>
    <w:rsid w:val="00CE7BD7"/>
    <w:rsid w:val="00CE7C0C"/>
    <w:rsid w:val="00CF0568"/>
    <w:rsid w:val="00CF1FF9"/>
    <w:rsid w:val="00CF2318"/>
    <w:rsid w:val="00CF31E2"/>
    <w:rsid w:val="00CF342D"/>
    <w:rsid w:val="00CF49D5"/>
    <w:rsid w:val="00CF4ECD"/>
    <w:rsid w:val="00CF50D5"/>
    <w:rsid w:val="00CF63B3"/>
    <w:rsid w:val="00CF6566"/>
    <w:rsid w:val="00CF6E71"/>
    <w:rsid w:val="00CF7BD9"/>
    <w:rsid w:val="00D00154"/>
    <w:rsid w:val="00D01006"/>
    <w:rsid w:val="00D01EA1"/>
    <w:rsid w:val="00D020C2"/>
    <w:rsid w:val="00D0237E"/>
    <w:rsid w:val="00D03071"/>
    <w:rsid w:val="00D03755"/>
    <w:rsid w:val="00D03B83"/>
    <w:rsid w:val="00D043AA"/>
    <w:rsid w:val="00D05703"/>
    <w:rsid w:val="00D05825"/>
    <w:rsid w:val="00D06269"/>
    <w:rsid w:val="00D068A5"/>
    <w:rsid w:val="00D06C14"/>
    <w:rsid w:val="00D07761"/>
    <w:rsid w:val="00D10CC7"/>
    <w:rsid w:val="00D11404"/>
    <w:rsid w:val="00D1183C"/>
    <w:rsid w:val="00D11DB4"/>
    <w:rsid w:val="00D1431F"/>
    <w:rsid w:val="00D14FE8"/>
    <w:rsid w:val="00D159E3"/>
    <w:rsid w:val="00D15F44"/>
    <w:rsid w:val="00D16012"/>
    <w:rsid w:val="00D16BB2"/>
    <w:rsid w:val="00D1706A"/>
    <w:rsid w:val="00D2078F"/>
    <w:rsid w:val="00D20AC9"/>
    <w:rsid w:val="00D21790"/>
    <w:rsid w:val="00D23228"/>
    <w:rsid w:val="00D23A6F"/>
    <w:rsid w:val="00D246FB"/>
    <w:rsid w:val="00D24D56"/>
    <w:rsid w:val="00D25C0C"/>
    <w:rsid w:val="00D263B9"/>
    <w:rsid w:val="00D263FB"/>
    <w:rsid w:val="00D26933"/>
    <w:rsid w:val="00D26F7D"/>
    <w:rsid w:val="00D27091"/>
    <w:rsid w:val="00D3179D"/>
    <w:rsid w:val="00D31C35"/>
    <w:rsid w:val="00D321D7"/>
    <w:rsid w:val="00D33516"/>
    <w:rsid w:val="00D33F91"/>
    <w:rsid w:val="00D3496D"/>
    <w:rsid w:val="00D35845"/>
    <w:rsid w:val="00D35BDF"/>
    <w:rsid w:val="00D361EF"/>
    <w:rsid w:val="00D364F2"/>
    <w:rsid w:val="00D369B9"/>
    <w:rsid w:val="00D41285"/>
    <w:rsid w:val="00D41A35"/>
    <w:rsid w:val="00D42259"/>
    <w:rsid w:val="00D425E3"/>
    <w:rsid w:val="00D4406D"/>
    <w:rsid w:val="00D4424C"/>
    <w:rsid w:val="00D4427D"/>
    <w:rsid w:val="00D44869"/>
    <w:rsid w:val="00D4505D"/>
    <w:rsid w:val="00D4520D"/>
    <w:rsid w:val="00D4589A"/>
    <w:rsid w:val="00D45D98"/>
    <w:rsid w:val="00D46633"/>
    <w:rsid w:val="00D47058"/>
    <w:rsid w:val="00D47879"/>
    <w:rsid w:val="00D501C7"/>
    <w:rsid w:val="00D5057A"/>
    <w:rsid w:val="00D50643"/>
    <w:rsid w:val="00D50B82"/>
    <w:rsid w:val="00D55042"/>
    <w:rsid w:val="00D55479"/>
    <w:rsid w:val="00D555D6"/>
    <w:rsid w:val="00D556D5"/>
    <w:rsid w:val="00D5664F"/>
    <w:rsid w:val="00D57286"/>
    <w:rsid w:val="00D574E9"/>
    <w:rsid w:val="00D57AFD"/>
    <w:rsid w:val="00D60763"/>
    <w:rsid w:val="00D6137B"/>
    <w:rsid w:val="00D614D1"/>
    <w:rsid w:val="00D616B3"/>
    <w:rsid w:val="00D61B6C"/>
    <w:rsid w:val="00D61BB1"/>
    <w:rsid w:val="00D622DF"/>
    <w:rsid w:val="00D62A24"/>
    <w:rsid w:val="00D63526"/>
    <w:rsid w:val="00D637AA"/>
    <w:rsid w:val="00D63876"/>
    <w:rsid w:val="00D6420B"/>
    <w:rsid w:val="00D6526F"/>
    <w:rsid w:val="00D6584F"/>
    <w:rsid w:val="00D65D07"/>
    <w:rsid w:val="00D6690A"/>
    <w:rsid w:val="00D66A0A"/>
    <w:rsid w:val="00D67805"/>
    <w:rsid w:val="00D67E41"/>
    <w:rsid w:val="00D70377"/>
    <w:rsid w:val="00D703D4"/>
    <w:rsid w:val="00D704C3"/>
    <w:rsid w:val="00D706EF"/>
    <w:rsid w:val="00D70B92"/>
    <w:rsid w:val="00D71190"/>
    <w:rsid w:val="00D7198A"/>
    <w:rsid w:val="00D71B25"/>
    <w:rsid w:val="00D7208B"/>
    <w:rsid w:val="00D73CF3"/>
    <w:rsid w:val="00D73ED2"/>
    <w:rsid w:val="00D744FD"/>
    <w:rsid w:val="00D745FC"/>
    <w:rsid w:val="00D74E7B"/>
    <w:rsid w:val="00D7547F"/>
    <w:rsid w:val="00D755E3"/>
    <w:rsid w:val="00D7646E"/>
    <w:rsid w:val="00D76A74"/>
    <w:rsid w:val="00D76C31"/>
    <w:rsid w:val="00D770F5"/>
    <w:rsid w:val="00D779D8"/>
    <w:rsid w:val="00D8016C"/>
    <w:rsid w:val="00D8078E"/>
    <w:rsid w:val="00D80F98"/>
    <w:rsid w:val="00D81371"/>
    <w:rsid w:val="00D82A0F"/>
    <w:rsid w:val="00D840A8"/>
    <w:rsid w:val="00D8427F"/>
    <w:rsid w:val="00D84B8C"/>
    <w:rsid w:val="00D851D0"/>
    <w:rsid w:val="00D853DC"/>
    <w:rsid w:val="00D854A0"/>
    <w:rsid w:val="00D85CD9"/>
    <w:rsid w:val="00D86023"/>
    <w:rsid w:val="00D878C8"/>
    <w:rsid w:val="00D87A64"/>
    <w:rsid w:val="00D90502"/>
    <w:rsid w:val="00D906A7"/>
    <w:rsid w:val="00D90CCB"/>
    <w:rsid w:val="00D9129E"/>
    <w:rsid w:val="00D921B5"/>
    <w:rsid w:val="00D9243E"/>
    <w:rsid w:val="00D92546"/>
    <w:rsid w:val="00D94EFB"/>
    <w:rsid w:val="00D95E92"/>
    <w:rsid w:val="00D96207"/>
    <w:rsid w:val="00D96B78"/>
    <w:rsid w:val="00D96F5D"/>
    <w:rsid w:val="00D96F72"/>
    <w:rsid w:val="00D97205"/>
    <w:rsid w:val="00D97206"/>
    <w:rsid w:val="00D97788"/>
    <w:rsid w:val="00DA0AB2"/>
    <w:rsid w:val="00DA1195"/>
    <w:rsid w:val="00DA19DA"/>
    <w:rsid w:val="00DA1B67"/>
    <w:rsid w:val="00DA226E"/>
    <w:rsid w:val="00DA6382"/>
    <w:rsid w:val="00DA773A"/>
    <w:rsid w:val="00DB23B1"/>
    <w:rsid w:val="00DB305D"/>
    <w:rsid w:val="00DB4056"/>
    <w:rsid w:val="00DB5EF8"/>
    <w:rsid w:val="00DB6ABD"/>
    <w:rsid w:val="00DB6DBA"/>
    <w:rsid w:val="00DB7090"/>
    <w:rsid w:val="00DB73AD"/>
    <w:rsid w:val="00DB7793"/>
    <w:rsid w:val="00DB7983"/>
    <w:rsid w:val="00DB7DFF"/>
    <w:rsid w:val="00DC136A"/>
    <w:rsid w:val="00DC1FDC"/>
    <w:rsid w:val="00DC2362"/>
    <w:rsid w:val="00DC2469"/>
    <w:rsid w:val="00DC29F4"/>
    <w:rsid w:val="00DC2E3E"/>
    <w:rsid w:val="00DC405C"/>
    <w:rsid w:val="00DC6AF7"/>
    <w:rsid w:val="00DC7396"/>
    <w:rsid w:val="00DC7CCD"/>
    <w:rsid w:val="00DD09C6"/>
    <w:rsid w:val="00DD0D66"/>
    <w:rsid w:val="00DD0EE2"/>
    <w:rsid w:val="00DD0F8E"/>
    <w:rsid w:val="00DD1872"/>
    <w:rsid w:val="00DD194C"/>
    <w:rsid w:val="00DD1F27"/>
    <w:rsid w:val="00DD2141"/>
    <w:rsid w:val="00DD2183"/>
    <w:rsid w:val="00DD3720"/>
    <w:rsid w:val="00DD3F54"/>
    <w:rsid w:val="00DD4260"/>
    <w:rsid w:val="00DD4600"/>
    <w:rsid w:val="00DD4F41"/>
    <w:rsid w:val="00DD59D4"/>
    <w:rsid w:val="00DD5ACF"/>
    <w:rsid w:val="00DD6A91"/>
    <w:rsid w:val="00DD6BE8"/>
    <w:rsid w:val="00DD72FF"/>
    <w:rsid w:val="00DD7811"/>
    <w:rsid w:val="00DD7CF2"/>
    <w:rsid w:val="00DD7D5B"/>
    <w:rsid w:val="00DD7D6B"/>
    <w:rsid w:val="00DE0A1A"/>
    <w:rsid w:val="00DE1605"/>
    <w:rsid w:val="00DE30CB"/>
    <w:rsid w:val="00DE35AB"/>
    <w:rsid w:val="00DE3F27"/>
    <w:rsid w:val="00DE471E"/>
    <w:rsid w:val="00DE5241"/>
    <w:rsid w:val="00DE5528"/>
    <w:rsid w:val="00DE5C93"/>
    <w:rsid w:val="00DE641D"/>
    <w:rsid w:val="00DE67B2"/>
    <w:rsid w:val="00DE72FB"/>
    <w:rsid w:val="00DE7DD0"/>
    <w:rsid w:val="00DF127D"/>
    <w:rsid w:val="00DF1285"/>
    <w:rsid w:val="00DF134A"/>
    <w:rsid w:val="00DF15E6"/>
    <w:rsid w:val="00DF1D61"/>
    <w:rsid w:val="00DF20E2"/>
    <w:rsid w:val="00DF28F3"/>
    <w:rsid w:val="00DF3EA4"/>
    <w:rsid w:val="00DF492E"/>
    <w:rsid w:val="00DF4BF8"/>
    <w:rsid w:val="00DF5DB1"/>
    <w:rsid w:val="00DF6802"/>
    <w:rsid w:val="00E000D6"/>
    <w:rsid w:val="00E00701"/>
    <w:rsid w:val="00E01397"/>
    <w:rsid w:val="00E02040"/>
    <w:rsid w:val="00E02087"/>
    <w:rsid w:val="00E02F06"/>
    <w:rsid w:val="00E03154"/>
    <w:rsid w:val="00E03C90"/>
    <w:rsid w:val="00E04726"/>
    <w:rsid w:val="00E0513E"/>
    <w:rsid w:val="00E05B33"/>
    <w:rsid w:val="00E05CE4"/>
    <w:rsid w:val="00E06BB0"/>
    <w:rsid w:val="00E079F9"/>
    <w:rsid w:val="00E07CE9"/>
    <w:rsid w:val="00E07EA4"/>
    <w:rsid w:val="00E100AE"/>
    <w:rsid w:val="00E1149E"/>
    <w:rsid w:val="00E12DD5"/>
    <w:rsid w:val="00E13819"/>
    <w:rsid w:val="00E13C47"/>
    <w:rsid w:val="00E14610"/>
    <w:rsid w:val="00E14C03"/>
    <w:rsid w:val="00E16AEB"/>
    <w:rsid w:val="00E20475"/>
    <w:rsid w:val="00E21A07"/>
    <w:rsid w:val="00E21FC9"/>
    <w:rsid w:val="00E22621"/>
    <w:rsid w:val="00E2404B"/>
    <w:rsid w:val="00E25A13"/>
    <w:rsid w:val="00E25CDF"/>
    <w:rsid w:val="00E270F6"/>
    <w:rsid w:val="00E27B58"/>
    <w:rsid w:val="00E30122"/>
    <w:rsid w:val="00E32B5E"/>
    <w:rsid w:val="00E32B7A"/>
    <w:rsid w:val="00E32C18"/>
    <w:rsid w:val="00E33210"/>
    <w:rsid w:val="00E337A4"/>
    <w:rsid w:val="00E3434D"/>
    <w:rsid w:val="00E34559"/>
    <w:rsid w:val="00E4000D"/>
    <w:rsid w:val="00E40B94"/>
    <w:rsid w:val="00E416D6"/>
    <w:rsid w:val="00E417B7"/>
    <w:rsid w:val="00E43069"/>
    <w:rsid w:val="00E43169"/>
    <w:rsid w:val="00E45739"/>
    <w:rsid w:val="00E47FB6"/>
    <w:rsid w:val="00E52D16"/>
    <w:rsid w:val="00E53E57"/>
    <w:rsid w:val="00E54FEF"/>
    <w:rsid w:val="00E55A48"/>
    <w:rsid w:val="00E560F8"/>
    <w:rsid w:val="00E5643B"/>
    <w:rsid w:val="00E566A2"/>
    <w:rsid w:val="00E570B1"/>
    <w:rsid w:val="00E57DD0"/>
    <w:rsid w:val="00E60680"/>
    <w:rsid w:val="00E6113E"/>
    <w:rsid w:val="00E620C2"/>
    <w:rsid w:val="00E62391"/>
    <w:rsid w:val="00E62C37"/>
    <w:rsid w:val="00E62C5B"/>
    <w:rsid w:val="00E63A6E"/>
    <w:rsid w:val="00E63E7D"/>
    <w:rsid w:val="00E64B74"/>
    <w:rsid w:val="00E64F2A"/>
    <w:rsid w:val="00E66F91"/>
    <w:rsid w:val="00E66FD4"/>
    <w:rsid w:val="00E70014"/>
    <w:rsid w:val="00E70F0F"/>
    <w:rsid w:val="00E7117B"/>
    <w:rsid w:val="00E7172C"/>
    <w:rsid w:val="00E719C3"/>
    <w:rsid w:val="00E72B6A"/>
    <w:rsid w:val="00E740B8"/>
    <w:rsid w:val="00E746AC"/>
    <w:rsid w:val="00E755A9"/>
    <w:rsid w:val="00E75BA7"/>
    <w:rsid w:val="00E75E9B"/>
    <w:rsid w:val="00E7602E"/>
    <w:rsid w:val="00E771D2"/>
    <w:rsid w:val="00E7735A"/>
    <w:rsid w:val="00E77BAE"/>
    <w:rsid w:val="00E77EEC"/>
    <w:rsid w:val="00E80899"/>
    <w:rsid w:val="00E80A39"/>
    <w:rsid w:val="00E813BE"/>
    <w:rsid w:val="00E81DF3"/>
    <w:rsid w:val="00E81E23"/>
    <w:rsid w:val="00E826EC"/>
    <w:rsid w:val="00E82773"/>
    <w:rsid w:val="00E8376C"/>
    <w:rsid w:val="00E84172"/>
    <w:rsid w:val="00E84C5D"/>
    <w:rsid w:val="00E8570B"/>
    <w:rsid w:val="00E85893"/>
    <w:rsid w:val="00E85A9D"/>
    <w:rsid w:val="00E85C27"/>
    <w:rsid w:val="00E865F9"/>
    <w:rsid w:val="00E86907"/>
    <w:rsid w:val="00E86CF5"/>
    <w:rsid w:val="00E86DF7"/>
    <w:rsid w:val="00E87913"/>
    <w:rsid w:val="00E91838"/>
    <w:rsid w:val="00E91B47"/>
    <w:rsid w:val="00E92204"/>
    <w:rsid w:val="00E9264A"/>
    <w:rsid w:val="00E92F30"/>
    <w:rsid w:val="00E9305F"/>
    <w:rsid w:val="00E9328D"/>
    <w:rsid w:val="00E93557"/>
    <w:rsid w:val="00E93D63"/>
    <w:rsid w:val="00E9453A"/>
    <w:rsid w:val="00E954DA"/>
    <w:rsid w:val="00E961D8"/>
    <w:rsid w:val="00E96E57"/>
    <w:rsid w:val="00E972E8"/>
    <w:rsid w:val="00E97987"/>
    <w:rsid w:val="00E97A48"/>
    <w:rsid w:val="00E97C2A"/>
    <w:rsid w:val="00EA020C"/>
    <w:rsid w:val="00EA0275"/>
    <w:rsid w:val="00EA0B4D"/>
    <w:rsid w:val="00EA0C0A"/>
    <w:rsid w:val="00EA0C92"/>
    <w:rsid w:val="00EA0D50"/>
    <w:rsid w:val="00EA1F71"/>
    <w:rsid w:val="00EA2EA2"/>
    <w:rsid w:val="00EA529A"/>
    <w:rsid w:val="00EA63E1"/>
    <w:rsid w:val="00EA6806"/>
    <w:rsid w:val="00EA7110"/>
    <w:rsid w:val="00EA7330"/>
    <w:rsid w:val="00EA7E8E"/>
    <w:rsid w:val="00EB069C"/>
    <w:rsid w:val="00EB0F11"/>
    <w:rsid w:val="00EB123C"/>
    <w:rsid w:val="00EB1689"/>
    <w:rsid w:val="00EB2538"/>
    <w:rsid w:val="00EB274C"/>
    <w:rsid w:val="00EB27D7"/>
    <w:rsid w:val="00EB287E"/>
    <w:rsid w:val="00EB296F"/>
    <w:rsid w:val="00EB2F01"/>
    <w:rsid w:val="00EB3A53"/>
    <w:rsid w:val="00EB424F"/>
    <w:rsid w:val="00EC01DA"/>
    <w:rsid w:val="00EC04EF"/>
    <w:rsid w:val="00EC07FC"/>
    <w:rsid w:val="00EC0AA9"/>
    <w:rsid w:val="00EC2326"/>
    <w:rsid w:val="00EC3776"/>
    <w:rsid w:val="00EC436F"/>
    <w:rsid w:val="00EC55AF"/>
    <w:rsid w:val="00EC5C3F"/>
    <w:rsid w:val="00EC6146"/>
    <w:rsid w:val="00EC6D40"/>
    <w:rsid w:val="00EC7890"/>
    <w:rsid w:val="00ED131D"/>
    <w:rsid w:val="00ED1A19"/>
    <w:rsid w:val="00ED2F2A"/>
    <w:rsid w:val="00ED3A3B"/>
    <w:rsid w:val="00ED3C47"/>
    <w:rsid w:val="00ED3CDB"/>
    <w:rsid w:val="00ED4131"/>
    <w:rsid w:val="00ED4EFE"/>
    <w:rsid w:val="00ED5222"/>
    <w:rsid w:val="00ED747E"/>
    <w:rsid w:val="00ED7CF1"/>
    <w:rsid w:val="00ED7E90"/>
    <w:rsid w:val="00EE03E4"/>
    <w:rsid w:val="00EE0B4C"/>
    <w:rsid w:val="00EE162E"/>
    <w:rsid w:val="00EE1993"/>
    <w:rsid w:val="00EE1A25"/>
    <w:rsid w:val="00EE2D0B"/>
    <w:rsid w:val="00EE2F90"/>
    <w:rsid w:val="00EE3EFE"/>
    <w:rsid w:val="00EE444D"/>
    <w:rsid w:val="00EE4BA2"/>
    <w:rsid w:val="00EE5BC6"/>
    <w:rsid w:val="00EE6120"/>
    <w:rsid w:val="00EE6191"/>
    <w:rsid w:val="00EE703D"/>
    <w:rsid w:val="00EF08A7"/>
    <w:rsid w:val="00EF1416"/>
    <w:rsid w:val="00EF16B0"/>
    <w:rsid w:val="00EF1E8F"/>
    <w:rsid w:val="00EF226B"/>
    <w:rsid w:val="00EF25AB"/>
    <w:rsid w:val="00EF2A7C"/>
    <w:rsid w:val="00EF2B07"/>
    <w:rsid w:val="00EF3760"/>
    <w:rsid w:val="00EF4B80"/>
    <w:rsid w:val="00EF4C3E"/>
    <w:rsid w:val="00EF5B50"/>
    <w:rsid w:val="00EF5E1F"/>
    <w:rsid w:val="00EF74F9"/>
    <w:rsid w:val="00EF7FAF"/>
    <w:rsid w:val="00F0012B"/>
    <w:rsid w:val="00F00823"/>
    <w:rsid w:val="00F00AFF"/>
    <w:rsid w:val="00F01019"/>
    <w:rsid w:val="00F0118A"/>
    <w:rsid w:val="00F015C8"/>
    <w:rsid w:val="00F02747"/>
    <w:rsid w:val="00F02AD0"/>
    <w:rsid w:val="00F032DB"/>
    <w:rsid w:val="00F0333B"/>
    <w:rsid w:val="00F04B62"/>
    <w:rsid w:val="00F051F0"/>
    <w:rsid w:val="00F06B8C"/>
    <w:rsid w:val="00F07093"/>
    <w:rsid w:val="00F072C9"/>
    <w:rsid w:val="00F07DA5"/>
    <w:rsid w:val="00F1043E"/>
    <w:rsid w:val="00F10648"/>
    <w:rsid w:val="00F109F1"/>
    <w:rsid w:val="00F10DB4"/>
    <w:rsid w:val="00F10F15"/>
    <w:rsid w:val="00F11243"/>
    <w:rsid w:val="00F1145A"/>
    <w:rsid w:val="00F12464"/>
    <w:rsid w:val="00F12CAE"/>
    <w:rsid w:val="00F1389D"/>
    <w:rsid w:val="00F14B71"/>
    <w:rsid w:val="00F15889"/>
    <w:rsid w:val="00F15C1B"/>
    <w:rsid w:val="00F16D1E"/>
    <w:rsid w:val="00F16ECC"/>
    <w:rsid w:val="00F17E5B"/>
    <w:rsid w:val="00F231EC"/>
    <w:rsid w:val="00F2358F"/>
    <w:rsid w:val="00F23AC7"/>
    <w:rsid w:val="00F2496C"/>
    <w:rsid w:val="00F249B4"/>
    <w:rsid w:val="00F2508A"/>
    <w:rsid w:val="00F2607C"/>
    <w:rsid w:val="00F27450"/>
    <w:rsid w:val="00F27D70"/>
    <w:rsid w:val="00F30315"/>
    <w:rsid w:val="00F30776"/>
    <w:rsid w:val="00F30DFA"/>
    <w:rsid w:val="00F3106C"/>
    <w:rsid w:val="00F3132C"/>
    <w:rsid w:val="00F31C1A"/>
    <w:rsid w:val="00F325FB"/>
    <w:rsid w:val="00F339B2"/>
    <w:rsid w:val="00F33C2D"/>
    <w:rsid w:val="00F34531"/>
    <w:rsid w:val="00F34C41"/>
    <w:rsid w:val="00F35AA8"/>
    <w:rsid w:val="00F35C91"/>
    <w:rsid w:val="00F35D5B"/>
    <w:rsid w:val="00F3704E"/>
    <w:rsid w:val="00F3761F"/>
    <w:rsid w:val="00F377DC"/>
    <w:rsid w:val="00F37A7F"/>
    <w:rsid w:val="00F40491"/>
    <w:rsid w:val="00F406DD"/>
    <w:rsid w:val="00F41154"/>
    <w:rsid w:val="00F416C1"/>
    <w:rsid w:val="00F4341F"/>
    <w:rsid w:val="00F43CB0"/>
    <w:rsid w:val="00F44B0F"/>
    <w:rsid w:val="00F45263"/>
    <w:rsid w:val="00F45562"/>
    <w:rsid w:val="00F45703"/>
    <w:rsid w:val="00F45711"/>
    <w:rsid w:val="00F45957"/>
    <w:rsid w:val="00F45981"/>
    <w:rsid w:val="00F469F5"/>
    <w:rsid w:val="00F47606"/>
    <w:rsid w:val="00F47841"/>
    <w:rsid w:val="00F50387"/>
    <w:rsid w:val="00F50B7B"/>
    <w:rsid w:val="00F51344"/>
    <w:rsid w:val="00F519E8"/>
    <w:rsid w:val="00F53DE2"/>
    <w:rsid w:val="00F5473A"/>
    <w:rsid w:val="00F54B07"/>
    <w:rsid w:val="00F5545B"/>
    <w:rsid w:val="00F557D3"/>
    <w:rsid w:val="00F55FA1"/>
    <w:rsid w:val="00F569BC"/>
    <w:rsid w:val="00F57360"/>
    <w:rsid w:val="00F57570"/>
    <w:rsid w:val="00F60065"/>
    <w:rsid w:val="00F603AE"/>
    <w:rsid w:val="00F62A32"/>
    <w:rsid w:val="00F62C15"/>
    <w:rsid w:val="00F64729"/>
    <w:rsid w:val="00F647DB"/>
    <w:rsid w:val="00F65578"/>
    <w:rsid w:val="00F67D31"/>
    <w:rsid w:val="00F70180"/>
    <w:rsid w:val="00F70270"/>
    <w:rsid w:val="00F70665"/>
    <w:rsid w:val="00F716CA"/>
    <w:rsid w:val="00F71CBF"/>
    <w:rsid w:val="00F72C77"/>
    <w:rsid w:val="00F72D6B"/>
    <w:rsid w:val="00F72F35"/>
    <w:rsid w:val="00F7386F"/>
    <w:rsid w:val="00F73996"/>
    <w:rsid w:val="00F73F67"/>
    <w:rsid w:val="00F747DE"/>
    <w:rsid w:val="00F74EE8"/>
    <w:rsid w:val="00F7591A"/>
    <w:rsid w:val="00F759AA"/>
    <w:rsid w:val="00F75AA8"/>
    <w:rsid w:val="00F779CA"/>
    <w:rsid w:val="00F8045E"/>
    <w:rsid w:val="00F80F5A"/>
    <w:rsid w:val="00F82861"/>
    <w:rsid w:val="00F829C3"/>
    <w:rsid w:val="00F82CBB"/>
    <w:rsid w:val="00F8308E"/>
    <w:rsid w:val="00F833C8"/>
    <w:rsid w:val="00F835A6"/>
    <w:rsid w:val="00F83AFA"/>
    <w:rsid w:val="00F83E85"/>
    <w:rsid w:val="00F84117"/>
    <w:rsid w:val="00F851D2"/>
    <w:rsid w:val="00F85DAB"/>
    <w:rsid w:val="00F871F8"/>
    <w:rsid w:val="00F87E3A"/>
    <w:rsid w:val="00F90C28"/>
    <w:rsid w:val="00F91044"/>
    <w:rsid w:val="00F919B6"/>
    <w:rsid w:val="00F9214A"/>
    <w:rsid w:val="00F922D0"/>
    <w:rsid w:val="00F92983"/>
    <w:rsid w:val="00F92C11"/>
    <w:rsid w:val="00F93B3C"/>
    <w:rsid w:val="00F94AB4"/>
    <w:rsid w:val="00F94B61"/>
    <w:rsid w:val="00F95B1E"/>
    <w:rsid w:val="00F95C48"/>
    <w:rsid w:val="00F96BD0"/>
    <w:rsid w:val="00F96F60"/>
    <w:rsid w:val="00F97106"/>
    <w:rsid w:val="00FA0228"/>
    <w:rsid w:val="00FA30E4"/>
    <w:rsid w:val="00FA3455"/>
    <w:rsid w:val="00FA3C91"/>
    <w:rsid w:val="00FA42C8"/>
    <w:rsid w:val="00FA42F2"/>
    <w:rsid w:val="00FA4AD9"/>
    <w:rsid w:val="00FA52C6"/>
    <w:rsid w:val="00FA62CF"/>
    <w:rsid w:val="00FA64D6"/>
    <w:rsid w:val="00FA7FDD"/>
    <w:rsid w:val="00FB0D04"/>
    <w:rsid w:val="00FB10B0"/>
    <w:rsid w:val="00FB1E94"/>
    <w:rsid w:val="00FB248A"/>
    <w:rsid w:val="00FB37D8"/>
    <w:rsid w:val="00FB3E42"/>
    <w:rsid w:val="00FB4338"/>
    <w:rsid w:val="00FB5D72"/>
    <w:rsid w:val="00FB769F"/>
    <w:rsid w:val="00FC0E17"/>
    <w:rsid w:val="00FC145A"/>
    <w:rsid w:val="00FC19EA"/>
    <w:rsid w:val="00FC26AD"/>
    <w:rsid w:val="00FC3289"/>
    <w:rsid w:val="00FC3B3D"/>
    <w:rsid w:val="00FC42AA"/>
    <w:rsid w:val="00FC43B4"/>
    <w:rsid w:val="00FC4932"/>
    <w:rsid w:val="00FC58B0"/>
    <w:rsid w:val="00FC72E6"/>
    <w:rsid w:val="00FC74D6"/>
    <w:rsid w:val="00FC7D9C"/>
    <w:rsid w:val="00FD038F"/>
    <w:rsid w:val="00FD06FD"/>
    <w:rsid w:val="00FD074D"/>
    <w:rsid w:val="00FD13A8"/>
    <w:rsid w:val="00FD19A7"/>
    <w:rsid w:val="00FD1AFF"/>
    <w:rsid w:val="00FD2186"/>
    <w:rsid w:val="00FD28BD"/>
    <w:rsid w:val="00FD2A4E"/>
    <w:rsid w:val="00FD2C9B"/>
    <w:rsid w:val="00FD3C07"/>
    <w:rsid w:val="00FD3CF0"/>
    <w:rsid w:val="00FD3D1C"/>
    <w:rsid w:val="00FD41C2"/>
    <w:rsid w:val="00FD4F6E"/>
    <w:rsid w:val="00FD5B5A"/>
    <w:rsid w:val="00FD7CCA"/>
    <w:rsid w:val="00FE03B8"/>
    <w:rsid w:val="00FE0776"/>
    <w:rsid w:val="00FE0C1B"/>
    <w:rsid w:val="00FE19BC"/>
    <w:rsid w:val="00FE26E8"/>
    <w:rsid w:val="00FE27D9"/>
    <w:rsid w:val="00FE27E8"/>
    <w:rsid w:val="00FE359C"/>
    <w:rsid w:val="00FE35FD"/>
    <w:rsid w:val="00FE3C0A"/>
    <w:rsid w:val="00FE4054"/>
    <w:rsid w:val="00FE4935"/>
    <w:rsid w:val="00FE4B8C"/>
    <w:rsid w:val="00FE5069"/>
    <w:rsid w:val="00FE60C0"/>
    <w:rsid w:val="00FE663B"/>
    <w:rsid w:val="00FE6752"/>
    <w:rsid w:val="00FE6E35"/>
    <w:rsid w:val="00FE753B"/>
    <w:rsid w:val="00FE774B"/>
    <w:rsid w:val="00FE7AF5"/>
    <w:rsid w:val="00FF0AD1"/>
    <w:rsid w:val="00FF1095"/>
    <w:rsid w:val="00FF1318"/>
    <w:rsid w:val="00FF28F7"/>
    <w:rsid w:val="00FF2E65"/>
    <w:rsid w:val="00FF36C9"/>
    <w:rsid w:val="00FF3F65"/>
    <w:rsid w:val="00FF4836"/>
    <w:rsid w:val="00FF5509"/>
    <w:rsid w:val="00FF55A6"/>
    <w:rsid w:val="00FF7023"/>
    <w:rsid w:val="00FF77F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fillcolor="none [3201]" strokecolor="none [1940]">
      <v:fill color="none [3201]" color2="none [1300]" focusposition="1" focussize="" focus="100%" type="gradient"/>
      <v:stroke color="none [1940]" weight="1pt"/>
      <v:shadow on="t" type="perspective" color="none [1604]" opacity=".5" offset="1pt" offset2="-3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FDB"/>
  </w:style>
  <w:style w:type="paragraph" w:styleId="Heading1">
    <w:name w:val="heading 1"/>
    <w:basedOn w:val="Normal"/>
    <w:next w:val="Normal"/>
    <w:link w:val="Heading1Char"/>
    <w:uiPriority w:val="9"/>
    <w:qFormat/>
    <w:rsid w:val="001B7226"/>
    <w:pPr>
      <w:keepNext/>
      <w:keepLines/>
      <w:spacing w:before="480" w:after="0"/>
      <w:outlineLvl w:val="0"/>
    </w:pPr>
    <w:rPr>
      <w:rFonts w:asciiTheme="majorHAnsi" w:eastAsiaTheme="majorEastAsia" w:hAnsiTheme="majorHAnsi" w:cstheme="majorBidi"/>
      <w:b/>
      <w:bCs/>
      <w:color w:val="21798E" w:themeColor="accent1" w:themeShade="BF"/>
      <w:sz w:val="28"/>
      <w:szCs w:val="28"/>
    </w:rPr>
  </w:style>
  <w:style w:type="paragraph" w:styleId="Heading2">
    <w:name w:val="heading 2"/>
    <w:basedOn w:val="Normal"/>
    <w:next w:val="Normal"/>
    <w:link w:val="Heading2Char"/>
    <w:uiPriority w:val="9"/>
    <w:unhideWhenUsed/>
    <w:qFormat/>
    <w:rsid w:val="00953199"/>
    <w:pPr>
      <w:keepNext/>
      <w:keepLines/>
      <w:spacing w:before="200" w:after="0"/>
      <w:outlineLvl w:val="1"/>
    </w:pPr>
    <w:rPr>
      <w:rFonts w:asciiTheme="majorHAnsi" w:eastAsiaTheme="majorEastAsia" w:hAnsiTheme="majorHAnsi" w:cstheme="majorBidi"/>
      <w:b/>
      <w:bCs/>
      <w:color w:val="2DA2BF" w:themeColor="accent1"/>
      <w:sz w:val="26"/>
      <w:szCs w:val="26"/>
    </w:rPr>
  </w:style>
  <w:style w:type="paragraph" w:styleId="Heading3">
    <w:name w:val="heading 3"/>
    <w:aliases w:val="IPR Heading 2"/>
    <w:basedOn w:val="Normal"/>
    <w:next w:val="Normal"/>
    <w:link w:val="Heading3Char"/>
    <w:uiPriority w:val="9"/>
    <w:unhideWhenUsed/>
    <w:qFormat/>
    <w:rsid w:val="00953199"/>
    <w:pPr>
      <w:keepNext/>
      <w:keepLines/>
      <w:spacing w:before="200" w:after="0"/>
      <w:outlineLvl w:val="2"/>
    </w:pPr>
    <w:rPr>
      <w:rFonts w:asciiTheme="majorHAnsi" w:eastAsiaTheme="majorEastAsia" w:hAnsiTheme="majorHAnsi" w:cstheme="majorBidi"/>
      <w:b/>
      <w:bCs/>
      <w:color w:val="2DA2BF" w:themeColor="accent1"/>
    </w:rPr>
  </w:style>
  <w:style w:type="paragraph" w:styleId="Heading4">
    <w:name w:val="heading 4"/>
    <w:aliases w:val="IPR Heading 3"/>
    <w:basedOn w:val="Normal"/>
    <w:next w:val="Normal"/>
    <w:link w:val="Heading4Char"/>
    <w:uiPriority w:val="9"/>
    <w:unhideWhenUsed/>
    <w:qFormat/>
    <w:rsid w:val="0046763E"/>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2DA2BF" w:themeColor="accent1"/>
      <w:sz w:val="24"/>
      <w:szCs w:val="24"/>
    </w:rPr>
  </w:style>
  <w:style w:type="paragraph" w:styleId="Heading5">
    <w:name w:val="heading 5"/>
    <w:basedOn w:val="Normal"/>
    <w:next w:val="Normal"/>
    <w:link w:val="Heading5Char"/>
    <w:uiPriority w:val="9"/>
    <w:unhideWhenUsed/>
    <w:qFormat/>
    <w:rsid w:val="00E16AEB"/>
    <w:pPr>
      <w:keepNext/>
      <w:keepLines/>
      <w:spacing w:before="200" w:after="0"/>
      <w:outlineLvl w:val="4"/>
    </w:pPr>
    <w:rPr>
      <w:rFonts w:asciiTheme="majorHAnsi" w:eastAsiaTheme="majorEastAsia" w:hAnsiTheme="majorHAnsi" w:cstheme="majorBidi"/>
      <w:color w:val="16505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28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8F3"/>
    <w:rPr>
      <w:rFonts w:ascii="Tahoma" w:hAnsi="Tahoma" w:cs="Tahoma"/>
      <w:sz w:val="16"/>
      <w:szCs w:val="16"/>
    </w:rPr>
  </w:style>
  <w:style w:type="character" w:customStyle="1" w:styleId="Heading1Char">
    <w:name w:val="Heading 1 Char"/>
    <w:basedOn w:val="DefaultParagraphFont"/>
    <w:link w:val="Heading1"/>
    <w:uiPriority w:val="9"/>
    <w:rsid w:val="001B7226"/>
    <w:rPr>
      <w:rFonts w:asciiTheme="majorHAnsi" w:eastAsiaTheme="majorEastAsia" w:hAnsiTheme="majorHAnsi" w:cstheme="majorBidi"/>
      <w:b/>
      <w:bCs/>
      <w:color w:val="21798E" w:themeColor="accent1" w:themeShade="BF"/>
      <w:sz w:val="28"/>
      <w:szCs w:val="28"/>
    </w:rPr>
  </w:style>
  <w:style w:type="paragraph" w:styleId="TOC1">
    <w:name w:val="toc 1"/>
    <w:basedOn w:val="Normal"/>
    <w:next w:val="Normal"/>
    <w:autoRedefine/>
    <w:uiPriority w:val="39"/>
    <w:unhideWhenUsed/>
    <w:qFormat/>
    <w:rsid w:val="001B7226"/>
    <w:pPr>
      <w:spacing w:after="100"/>
    </w:pPr>
  </w:style>
  <w:style w:type="character" w:styleId="Hyperlink">
    <w:name w:val="Hyperlink"/>
    <w:basedOn w:val="DefaultParagraphFont"/>
    <w:uiPriority w:val="99"/>
    <w:unhideWhenUsed/>
    <w:rsid w:val="001B7226"/>
    <w:rPr>
      <w:color w:val="FF8119" w:themeColor="hyperlink"/>
      <w:u w:val="single"/>
    </w:rPr>
  </w:style>
  <w:style w:type="paragraph" w:styleId="TOCHeading">
    <w:name w:val="TOC Heading"/>
    <w:basedOn w:val="Heading1"/>
    <w:next w:val="Normal"/>
    <w:uiPriority w:val="39"/>
    <w:unhideWhenUsed/>
    <w:qFormat/>
    <w:rsid w:val="001B7226"/>
    <w:pPr>
      <w:outlineLvl w:val="9"/>
    </w:pPr>
    <w:rPr>
      <w:lang w:val="en-US"/>
    </w:rPr>
  </w:style>
  <w:style w:type="paragraph" w:styleId="ListParagraph">
    <w:name w:val="List Paragraph"/>
    <w:basedOn w:val="Normal"/>
    <w:uiPriority w:val="34"/>
    <w:qFormat/>
    <w:rsid w:val="00A77EA2"/>
    <w:pPr>
      <w:ind w:left="720"/>
      <w:contextualSpacing/>
    </w:pPr>
  </w:style>
  <w:style w:type="paragraph" w:styleId="Header">
    <w:name w:val="header"/>
    <w:basedOn w:val="Normal"/>
    <w:link w:val="HeaderChar"/>
    <w:uiPriority w:val="99"/>
    <w:semiHidden/>
    <w:unhideWhenUsed/>
    <w:rsid w:val="00A77EA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77EA2"/>
  </w:style>
  <w:style w:type="paragraph" w:styleId="Footer">
    <w:name w:val="footer"/>
    <w:basedOn w:val="Normal"/>
    <w:link w:val="FooterChar"/>
    <w:uiPriority w:val="99"/>
    <w:unhideWhenUsed/>
    <w:rsid w:val="00A77E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7EA2"/>
  </w:style>
  <w:style w:type="character" w:customStyle="1" w:styleId="Heading2Char">
    <w:name w:val="Heading 2 Char"/>
    <w:basedOn w:val="DefaultParagraphFont"/>
    <w:link w:val="Heading2"/>
    <w:uiPriority w:val="9"/>
    <w:rsid w:val="00953199"/>
    <w:rPr>
      <w:rFonts w:asciiTheme="majorHAnsi" w:eastAsiaTheme="majorEastAsia" w:hAnsiTheme="majorHAnsi" w:cstheme="majorBidi"/>
      <w:b/>
      <w:bCs/>
      <w:color w:val="2DA2BF" w:themeColor="accent1"/>
      <w:sz w:val="26"/>
      <w:szCs w:val="26"/>
    </w:rPr>
  </w:style>
  <w:style w:type="character" w:customStyle="1" w:styleId="Heading3Char">
    <w:name w:val="Heading 3 Char"/>
    <w:aliases w:val="IPR Heading 2 Char"/>
    <w:basedOn w:val="DefaultParagraphFont"/>
    <w:link w:val="Heading3"/>
    <w:uiPriority w:val="9"/>
    <w:rsid w:val="00953199"/>
    <w:rPr>
      <w:rFonts w:asciiTheme="majorHAnsi" w:eastAsiaTheme="majorEastAsia" w:hAnsiTheme="majorHAnsi" w:cstheme="majorBidi"/>
      <w:b/>
      <w:bCs/>
      <w:color w:val="2DA2BF" w:themeColor="accent1"/>
    </w:rPr>
  </w:style>
  <w:style w:type="paragraph" w:styleId="TOC2">
    <w:name w:val="toc 2"/>
    <w:basedOn w:val="Normal"/>
    <w:next w:val="Normal"/>
    <w:autoRedefine/>
    <w:uiPriority w:val="39"/>
    <w:unhideWhenUsed/>
    <w:qFormat/>
    <w:rsid w:val="00C12E24"/>
    <w:pPr>
      <w:spacing w:after="100"/>
      <w:ind w:left="220"/>
    </w:pPr>
  </w:style>
  <w:style w:type="paragraph" w:styleId="TOC3">
    <w:name w:val="toc 3"/>
    <w:basedOn w:val="Normal"/>
    <w:next w:val="Normal"/>
    <w:autoRedefine/>
    <w:uiPriority w:val="39"/>
    <w:unhideWhenUsed/>
    <w:qFormat/>
    <w:rsid w:val="00C12E24"/>
    <w:pPr>
      <w:spacing w:after="100"/>
      <w:ind w:left="440"/>
    </w:pPr>
  </w:style>
  <w:style w:type="paragraph" w:customStyle="1" w:styleId="Default">
    <w:name w:val="Default"/>
    <w:uiPriority w:val="99"/>
    <w:rsid w:val="00D61BB1"/>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MediumShading1-Accent11">
    <w:name w:val="Medium Shading 1 - Accent 11"/>
    <w:basedOn w:val="TableNormal"/>
    <w:uiPriority w:val="63"/>
    <w:rsid w:val="00D61BB1"/>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single" w:sz="8" w:space="0" w:color="58BED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shd w:val="clear" w:color="auto" w:fill="2DA2BF" w:themeFill="accent1"/>
      </w:tcPr>
    </w:tblStylePr>
    <w:tblStylePr w:type="lastRow">
      <w:pPr>
        <w:spacing w:before="0" w:after="0" w:line="240" w:lineRule="auto"/>
      </w:pPr>
      <w:rPr>
        <w:b/>
        <w:bCs/>
      </w:rPr>
      <w:tblPr/>
      <w:tcPr>
        <w:tcBorders>
          <w:top w:val="double" w:sz="6"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E9F2" w:themeFill="accent1" w:themeFillTint="3F"/>
      </w:tcPr>
    </w:tblStylePr>
    <w:tblStylePr w:type="band1Horz">
      <w:tblPr/>
      <w:tcPr>
        <w:tcBorders>
          <w:insideH w:val="nil"/>
          <w:insideV w:val="nil"/>
        </w:tcBorders>
        <w:shd w:val="clear" w:color="auto" w:fill="C7E9F2" w:themeFill="accent1" w:themeFillTint="3F"/>
      </w:tcPr>
    </w:tblStylePr>
    <w:tblStylePr w:type="band2Horz">
      <w:tblPr/>
      <w:tcPr>
        <w:tcBorders>
          <w:insideH w:val="nil"/>
          <w:insideV w:val="nil"/>
        </w:tcBorders>
      </w:tcPr>
    </w:tblStylePr>
  </w:style>
  <w:style w:type="table" w:styleId="TableGrid">
    <w:name w:val="Table Grid"/>
    <w:basedOn w:val="TableNormal"/>
    <w:uiPriority w:val="59"/>
    <w:rsid w:val="001C38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1C386B"/>
    <w:pPr>
      <w:spacing w:after="0" w:line="240" w:lineRule="auto"/>
    </w:pPr>
    <w:rPr>
      <w:rFonts w:ascii="Century Gothic" w:hAnsi="Century Gothic"/>
      <w:color w:val="0319BD"/>
      <w:sz w:val="24"/>
      <w:szCs w:val="21"/>
    </w:rPr>
  </w:style>
  <w:style w:type="character" w:customStyle="1" w:styleId="PlainTextChar">
    <w:name w:val="Plain Text Char"/>
    <w:basedOn w:val="DefaultParagraphFont"/>
    <w:link w:val="PlainText"/>
    <w:uiPriority w:val="99"/>
    <w:rsid w:val="001C386B"/>
    <w:rPr>
      <w:rFonts w:ascii="Century Gothic" w:hAnsi="Century Gothic"/>
      <w:color w:val="0319BD"/>
      <w:sz w:val="24"/>
      <w:szCs w:val="21"/>
    </w:rPr>
  </w:style>
  <w:style w:type="paragraph" w:customStyle="1" w:styleId="intro">
    <w:name w:val="intro"/>
    <w:basedOn w:val="Normal"/>
    <w:rsid w:val="00A30D4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4C57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aliases w:val="IPR Heading 3 Char"/>
    <w:basedOn w:val="DefaultParagraphFont"/>
    <w:link w:val="Heading4"/>
    <w:uiPriority w:val="9"/>
    <w:rsid w:val="0046763E"/>
    <w:rPr>
      <w:rFonts w:asciiTheme="majorHAnsi" w:eastAsiaTheme="majorEastAsia" w:hAnsiTheme="majorHAnsi" w:cstheme="majorBidi"/>
      <w:b/>
      <w:bCs/>
      <w:i/>
      <w:iCs/>
      <w:color w:val="2DA2BF" w:themeColor="accent1"/>
      <w:sz w:val="24"/>
      <w:szCs w:val="24"/>
      <w:lang w:eastAsia="en-GB"/>
    </w:rPr>
  </w:style>
  <w:style w:type="table" w:customStyle="1" w:styleId="LightGrid-Accent11">
    <w:name w:val="Light Grid - Accent 11"/>
    <w:basedOn w:val="TableNormal"/>
    <w:uiPriority w:val="62"/>
    <w:rsid w:val="002B437E"/>
    <w:pPr>
      <w:spacing w:after="0" w:line="240" w:lineRule="auto"/>
    </w:pPr>
    <w:tblPr>
      <w:tblStyleRowBandSize w:val="1"/>
      <w:tblStyleColBandSize w:val="1"/>
      <w:tblInd w:w="0" w:type="dxa"/>
      <w:tblBorders>
        <w:top w:val="single" w:sz="8" w:space="0" w:color="2DA2BF" w:themeColor="accent1"/>
        <w:left w:val="single" w:sz="8" w:space="0" w:color="2DA2BF" w:themeColor="accent1"/>
        <w:bottom w:val="single" w:sz="8" w:space="0" w:color="2DA2BF" w:themeColor="accent1"/>
        <w:right w:val="single" w:sz="8" w:space="0" w:color="2DA2BF" w:themeColor="accent1"/>
        <w:insideH w:val="single" w:sz="8" w:space="0" w:color="2DA2BF" w:themeColor="accent1"/>
        <w:insideV w:val="single" w:sz="8" w:space="0" w:color="2DA2B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18" w:space="0" w:color="2DA2BF" w:themeColor="accent1"/>
          <w:right w:val="single" w:sz="8" w:space="0" w:color="2DA2BF" w:themeColor="accent1"/>
          <w:insideH w:val="nil"/>
          <w:insideV w:val="single" w:sz="8" w:space="0" w:color="2DA2B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insideH w:val="nil"/>
          <w:insideV w:val="single" w:sz="8" w:space="0" w:color="2DA2B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shd w:val="clear" w:color="auto" w:fill="C7E9F2" w:themeFill="accent1" w:themeFillTint="3F"/>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shd w:val="clear" w:color="auto" w:fill="C7E9F2" w:themeFill="accent1" w:themeFillTint="3F"/>
      </w:tcPr>
    </w:tblStylePr>
    <w:tblStylePr w:type="band2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tcPr>
    </w:tblStylePr>
  </w:style>
  <w:style w:type="paragraph" w:styleId="NoSpacing">
    <w:name w:val="No Spacing"/>
    <w:basedOn w:val="Default"/>
    <w:link w:val="NoSpacingChar"/>
    <w:uiPriority w:val="1"/>
    <w:qFormat/>
    <w:rsid w:val="00C108F0"/>
    <w:pPr>
      <w:spacing w:line="276" w:lineRule="auto"/>
    </w:pPr>
    <w:rPr>
      <w:rFonts w:asciiTheme="minorHAnsi" w:hAnsiTheme="minorHAnsi"/>
    </w:rPr>
  </w:style>
  <w:style w:type="character" w:customStyle="1" w:styleId="NoSpacingChar">
    <w:name w:val="No Spacing Char"/>
    <w:basedOn w:val="DefaultParagraphFont"/>
    <w:link w:val="NoSpacing"/>
    <w:uiPriority w:val="1"/>
    <w:rsid w:val="00C108F0"/>
    <w:rPr>
      <w:rFonts w:eastAsia="Times New Roman" w:cs="Times New Roman"/>
      <w:color w:val="000000"/>
      <w:sz w:val="24"/>
      <w:szCs w:val="24"/>
      <w:lang w:eastAsia="en-GB"/>
    </w:rPr>
  </w:style>
  <w:style w:type="character" w:styleId="CommentReference">
    <w:name w:val="annotation reference"/>
    <w:basedOn w:val="DefaultParagraphFont"/>
    <w:uiPriority w:val="99"/>
    <w:semiHidden/>
    <w:unhideWhenUsed/>
    <w:rsid w:val="00DB7793"/>
    <w:rPr>
      <w:sz w:val="16"/>
      <w:szCs w:val="16"/>
    </w:rPr>
  </w:style>
  <w:style w:type="paragraph" w:styleId="CommentText">
    <w:name w:val="annotation text"/>
    <w:basedOn w:val="Normal"/>
    <w:link w:val="CommentTextChar"/>
    <w:uiPriority w:val="99"/>
    <w:unhideWhenUsed/>
    <w:rsid w:val="00DB7793"/>
    <w:pPr>
      <w:spacing w:line="240" w:lineRule="auto"/>
    </w:pPr>
    <w:rPr>
      <w:sz w:val="20"/>
      <w:szCs w:val="20"/>
    </w:rPr>
  </w:style>
  <w:style w:type="character" w:customStyle="1" w:styleId="CommentTextChar">
    <w:name w:val="Comment Text Char"/>
    <w:basedOn w:val="DefaultParagraphFont"/>
    <w:link w:val="CommentText"/>
    <w:uiPriority w:val="99"/>
    <w:rsid w:val="00DB7793"/>
    <w:rPr>
      <w:sz w:val="20"/>
      <w:szCs w:val="20"/>
    </w:rPr>
  </w:style>
  <w:style w:type="paragraph" w:styleId="CommentSubject">
    <w:name w:val="annotation subject"/>
    <w:basedOn w:val="CommentText"/>
    <w:next w:val="CommentText"/>
    <w:link w:val="CommentSubjectChar"/>
    <w:uiPriority w:val="99"/>
    <w:semiHidden/>
    <w:unhideWhenUsed/>
    <w:rsid w:val="00DB7793"/>
    <w:rPr>
      <w:b/>
      <w:bCs/>
    </w:rPr>
  </w:style>
  <w:style w:type="character" w:customStyle="1" w:styleId="CommentSubjectChar">
    <w:name w:val="Comment Subject Char"/>
    <w:basedOn w:val="CommentTextChar"/>
    <w:link w:val="CommentSubject"/>
    <w:uiPriority w:val="99"/>
    <w:semiHidden/>
    <w:rsid w:val="00DB7793"/>
    <w:rPr>
      <w:b/>
      <w:bCs/>
      <w:sz w:val="20"/>
      <w:szCs w:val="20"/>
    </w:rPr>
  </w:style>
  <w:style w:type="table" w:styleId="MediumGrid3-Accent1">
    <w:name w:val="Medium Grid 3 Accent 1"/>
    <w:basedOn w:val="TableNormal"/>
    <w:uiPriority w:val="69"/>
    <w:rsid w:val="00DD1F2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7E9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DA2B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DA2B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DA2B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DA2B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0D4E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0D4E5" w:themeFill="accent1" w:themeFillTint="7F"/>
      </w:tcPr>
    </w:tblStylePr>
  </w:style>
  <w:style w:type="paragraph" w:styleId="BodyTextIndent">
    <w:name w:val="Body Text Indent"/>
    <w:basedOn w:val="Default"/>
    <w:next w:val="Default"/>
    <w:link w:val="BodyTextIndentChar"/>
    <w:uiPriority w:val="99"/>
    <w:rsid w:val="00C91C0F"/>
    <w:rPr>
      <w:color w:val="auto"/>
    </w:rPr>
  </w:style>
  <w:style w:type="character" w:customStyle="1" w:styleId="BodyTextIndentChar">
    <w:name w:val="Body Text Indent Char"/>
    <w:basedOn w:val="DefaultParagraphFont"/>
    <w:link w:val="BodyTextIndent"/>
    <w:uiPriority w:val="99"/>
    <w:rsid w:val="00C91C0F"/>
    <w:rPr>
      <w:rFonts w:ascii="Times New Roman" w:eastAsia="Times New Roman" w:hAnsi="Times New Roman" w:cs="Times New Roman"/>
      <w:sz w:val="24"/>
      <w:szCs w:val="24"/>
      <w:lang w:eastAsia="en-GB"/>
    </w:rPr>
  </w:style>
  <w:style w:type="character" w:styleId="IntenseEmphasis">
    <w:name w:val="Intense Emphasis"/>
    <w:basedOn w:val="DefaultParagraphFont"/>
    <w:uiPriority w:val="21"/>
    <w:qFormat/>
    <w:rsid w:val="00142518"/>
    <w:rPr>
      <w:b/>
      <w:bCs/>
      <w:i/>
      <w:iCs/>
      <w:color w:val="2DA2BF" w:themeColor="accent1"/>
    </w:rPr>
  </w:style>
  <w:style w:type="paragraph" w:customStyle="1" w:styleId="Style8Bullet2After18pt">
    <w:name w:val="Style 8 Bullet 2 + After:  18 pt"/>
    <w:basedOn w:val="Normal"/>
    <w:uiPriority w:val="99"/>
    <w:rsid w:val="00A7692F"/>
    <w:pPr>
      <w:numPr>
        <w:ilvl w:val="1"/>
        <w:numId w:val="4"/>
      </w:numPr>
      <w:spacing w:after="0" w:line="240" w:lineRule="auto"/>
    </w:pPr>
    <w:rPr>
      <w:rFonts w:ascii="Arial" w:eastAsia="Times New Roman" w:hAnsi="Arial" w:cs="Times New Roman"/>
      <w:sz w:val="24"/>
      <w:szCs w:val="20"/>
    </w:rPr>
  </w:style>
  <w:style w:type="paragraph" w:styleId="TOC4">
    <w:name w:val="toc 4"/>
    <w:basedOn w:val="Normal"/>
    <w:next w:val="Normal"/>
    <w:autoRedefine/>
    <w:uiPriority w:val="39"/>
    <w:unhideWhenUsed/>
    <w:rsid w:val="00646FCB"/>
    <w:pPr>
      <w:spacing w:after="100"/>
      <w:ind w:left="660"/>
    </w:pPr>
  </w:style>
  <w:style w:type="paragraph" w:styleId="TOC5">
    <w:name w:val="toc 5"/>
    <w:basedOn w:val="Normal"/>
    <w:next w:val="Normal"/>
    <w:autoRedefine/>
    <w:uiPriority w:val="39"/>
    <w:unhideWhenUsed/>
    <w:rsid w:val="00646FCB"/>
    <w:pPr>
      <w:spacing w:after="100"/>
      <w:ind w:left="880"/>
    </w:pPr>
  </w:style>
  <w:style w:type="paragraph" w:styleId="TOC6">
    <w:name w:val="toc 6"/>
    <w:basedOn w:val="Normal"/>
    <w:next w:val="Normal"/>
    <w:autoRedefine/>
    <w:uiPriority w:val="39"/>
    <w:unhideWhenUsed/>
    <w:rsid w:val="00646FCB"/>
    <w:pPr>
      <w:spacing w:after="100"/>
      <w:ind w:left="1100"/>
    </w:pPr>
  </w:style>
  <w:style w:type="paragraph" w:styleId="TOC7">
    <w:name w:val="toc 7"/>
    <w:basedOn w:val="Normal"/>
    <w:next w:val="Normal"/>
    <w:autoRedefine/>
    <w:uiPriority w:val="39"/>
    <w:unhideWhenUsed/>
    <w:rsid w:val="00646FCB"/>
    <w:pPr>
      <w:spacing w:after="100"/>
      <w:ind w:left="1320"/>
    </w:pPr>
  </w:style>
  <w:style w:type="paragraph" w:styleId="TOC8">
    <w:name w:val="toc 8"/>
    <w:basedOn w:val="Normal"/>
    <w:next w:val="Normal"/>
    <w:autoRedefine/>
    <w:uiPriority w:val="39"/>
    <w:unhideWhenUsed/>
    <w:rsid w:val="00646FCB"/>
    <w:pPr>
      <w:spacing w:after="100"/>
      <w:ind w:left="1540"/>
    </w:pPr>
  </w:style>
  <w:style w:type="paragraph" w:styleId="TOC9">
    <w:name w:val="toc 9"/>
    <w:basedOn w:val="Normal"/>
    <w:next w:val="Normal"/>
    <w:autoRedefine/>
    <w:uiPriority w:val="39"/>
    <w:unhideWhenUsed/>
    <w:rsid w:val="00646FCB"/>
    <w:pPr>
      <w:spacing w:after="100"/>
      <w:ind w:left="1760"/>
    </w:pPr>
  </w:style>
  <w:style w:type="character" w:customStyle="1" w:styleId="Heading5Char">
    <w:name w:val="Heading 5 Char"/>
    <w:basedOn w:val="DefaultParagraphFont"/>
    <w:link w:val="Heading5"/>
    <w:uiPriority w:val="9"/>
    <w:rsid w:val="00E16AEB"/>
    <w:rPr>
      <w:rFonts w:asciiTheme="majorHAnsi" w:eastAsiaTheme="majorEastAsia" w:hAnsiTheme="majorHAnsi" w:cstheme="majorBidi"/>
      <w:color w:val="16505E" w:themeColor="accent1" w:themeShade="7F"/>
    </w:rPr>
  </w:style>
  <w:style w:type="character" w:styleId="Strong">
    <w:name w:val="Strong"/>
    <w:basedOn w:val="DefaultParagraphFont"/>
    <w:uiPriority w:val="22"/>
    <w:qFormat/>
    <w:rsid w:val="00D906A7"/>
    <w:rPr>
      <w:b/>
      <w:bCs/>
    </w:rPr>
  </w:style>
  <w:style w:type="table" w:styleId="MediumGrid2-Accent1">
    <w:name w:val="Medium Grid 2 Accent 1"/>
    <w:basedOn w:val="TableNormal"/>
    <w:uiPriority w:val="68"/>
    <w:rsid w:val="0053767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DA2BF" w:themeColor="accent1"/>
        <w:left w:val="single" w:sz="8" w:space="0" w:color="2DA2BF" w:themeColor="accent1"/>
        <w:bottom w:val="single" w:sz="8" w:space="0" w:color="2DA2BF" w:themeColor="accent1"/>
        <w:right w:val="single" w:sz="8" w:space="0" w:color="2DA2BF" w:themeColor="accent1"/>
        <w:insideH w:val="single" w:sz="8" w:space="0" w:color="2DA2BF" w:themeColor="accent1"/>
        <w:insideV w:val="single" w:sz="8" w:space="0" w:color="2DA2BF" w:themeColor="accent1"/>
      </w:tblBorders>
      <w:tblCellMar>
        <w:top w:w="0" w:type="dxa"/>
        <w:left w:w="108" w:type="dxa"/>
        <w:bottom w:w="0" w:type="dxa"/>
        <w:right w:w="108" w:type="dxa"/>
      </w:tblCellMar>
    </w:tblPr>
    <w:tcPr>
      <w:shd w:val="clear" w:color="auto" w:fill="C7E9F2" w:themeFill="accent1" w:themeFillTint="3F"/>
    </w:tcPr>
    <w:tblStylePr w:type="firstRow">
      <w:rPr>
        <w:b/>
        <w:bCs/>
        <w:color w:val="000000" w:themeColor="text1"/>
      </w:rPr>
      <w:tblPr/>
      <w:tcPr>
        <w:shd w:val="clear" w:color="auto" w:fill="E9F6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EDF4" w:themeFill="accent1" w:themeFillTint="33"/>
      </w:tcPr>
    </w:tblStylePr>
    <w:tblStylePr w:type="band1Vert">
      <w:tblPr/>
      <w:tcPr>
        <w:shd w:val="clear" w:color="auto" w:fill="90D4E5" w:themeFill="accent1" w:themeFillTint="7F"/>
      </w:tcPr>
    </w:tblStylePr>
    <w:tblStylePr w:type="band1Horz">
      <w:tblPr/>
      <w:tcPr>
        <w:tcBorders>
          <w:insideH w:val="single" w:sz="6" w:space="0" w:color="2DA2BF" w:themeColor="accent1"/>
          <w:insideV w:val="single" w:sz="6" w:space="0" w:color="2DA2BF" w:themeColor="accent1"/>
        </w:tcBorders>
        <w:shd w:val="clear" w:color="auto" w:fill="90D4E5" w:themeFill="accent1" w:themeFillTint="7F"/>
      </w:tcPr>
    </w:tblStylePr>
    <w:tblStylePr w:type="nwCell">
      <w:tblPr/>
      <w:tcPr>
        <w:shd w:val="clear" w:color="auto" w:fill="FFFFFF" w:themeFill="background1"/>
      </w:tcPr>
    </w:tblStylePr>
  </w:style>
  <w:style w:type="table" w:customStyle="1" w:styleId="LightGrid-Accent12">
    <w:name w:val="Light Grid - Accent 12"/>
    <w:basedOn w:val="TableNormal"/>
    <w:uiPriority w:val="62"/>
    <w:rsid w:val="00F8308E"/>
    <w:pPr>
      <w:spacing w:after="0" w:line="240" w:lineRule="auto"/>
    </w:pPr>
    <w:tblPr>
      <w:tblStyleRowBandSize w:val="1"/>
      <w:tblStyleColBandSize w:val="1"/>
      <w:tblInd w:w="0" w:type="dxa"/>
      <w:tblBorders>
        <w:top w:val="single" w:sz="8" w:space="0" w:color="2DA2BF" w:themeColor="accent1"/>
        <w:left w:val="single" w:sz="8" w:space="0" w:color="2DA2BF" w:themeColor="accent1"/>
        <w:bottom w:val="single" w:sz="8" w:space="0" w:color="2DA2BF" w:themeColor="accent1"/>
        <w:right w:val="single" w:sz="8" w:space="0" w:color="2DA2BF" w:themeColor="accent1"/>
        <w:insideH w:val="single" w:sz="8" w:space="0" w:color="2DA2BF" w:themeColor="accent1"/>
        <w:insideV w:val="single" w:sz="8" w:space="0" w:color="2DA2B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18" w:space="0" w:color="2DA2BF" w:themeColor="accent1"/>
          <w:right w:val="single" w:sz="8" w:space="0" w:color="2DA2BF" w:themeColor="accent1"/>
          <w:insideH w:val="nil"/>
          <w:insideV w:val="single" w:sz="8" w:space="0" w:color="2DA2B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insideH w:val="nil"/>
          <w:insideV w:val="single" w:sz="8" w:space="0" w:color="2DA2B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shd w:val="clear" w:color="auto" w:fill="C7E9F2" w:themeFill="accent1" w:themeFillTint="3F"/>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shd w:val="clear" w:color="auto" w:fill="C7E9F2" w:themeFill="accent1" w:themeFillTint="3F"/>
      </w:tcPr>
    </w:tblStylePr>
    <w:tblStylePr w:type="band2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tcPr>
    </w:tblStylePr>
  </w:style>
  <w:style w:type="table" w:customStyle="1" w:styleId="MediumShading1-Accent12">
    <w:name w:val="Medium Shading 1 - Accent 12"/>
    <w:basedOn w:val="TableNormal"/>
    <w:uiPriority w:val="63"/>
    <w:rsid w:val="00003930"/>
    <w:pPr>
      <w:spacing w:after="0" w:line="240" w:lineRule="auto"/>
    </w:pPr>
    <w:tblPr>
      <w:tblStyleRowBandSize w:val="1"/>
      <w:tblStyleColBandSize w:val="1"/>
      <w:tblInd w:w="0" w:type="dxa"/>
      <w:tbl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single" w:sz="8" w:space="0" w:color="58BED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shd w:val="clear" w:color="auto" w:fill="2DA2BF" w:themeFill="accent1"/>
      </w:tcPr>
    </w:tblStylePr>
    <w:tblStylePr w:type="lastRow">
      <w:pPr>
        <w:spacing w:before="0" w:after="0" w:line="240" w:lineRule="auto"/>
      </w:pPr>
      <w:rPr>
        <w:b/>
        <w:bCs/>
      </w:rPr>
      <w:tblPr/>
      <w:tcPr>
        <w:tcBorders>
          <w:top w:val="double" w:sz="6"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E9F2" w:themeFill="accent1" w:themeFillTint="3F"/>
      </w:tcPr>
    </w:tblStylePr>
    <w:tblStylePr w:type="band1Horz">
      <w:tblPr/>
      <w:tcPr>
        <w:tcBorders>
          <w:insideH w:val="nil"/>
          <w:insideV w:val="nil"/>
        </w:tcBorders>
        <w:shd w:val="clear" w:color="auto" w:fill="C7E9F2" w:themeFill="accent1" w:themeFillTint="3F"/>
      </w:tcPr>
    </w:tblStylePr>
    <w:tblStylePr w:type="band2Horz">
      <w:tblPr/>
      <w:tcPr>
        <w:tcBorders>
          <w:insideH w:val="nil"/>
          <w:insideV w:val="nil"/>
        </w:tcBorders>
      </w:tcPr>
    </w:tblStylePr>
  </w:style>
  <w:style w:type="character" w:styleId="Emphasis">
    <w:name w:val="Emphasis"/>
    <w:basedOn w:val="DefaultParagraphFont"/>
    <w:uiPriority w:val="20"/>
    <w:qFormat/>
    <w:rsid w:val="00287913"/>
    <w:rPr>
      <w:i/>
      <w:iCs/>
    </w:rPr>
  </w:style>
  <w:style w:type="table" w:styleId="MediumGrid1-Accent5">
    <w:name w:val="Medium Grid 1 Accent 5"/>
    <w:basedOn w:val="TableNormal"/>
    <w:uiPriority w:val="67"/>
    <w:rsid w:val="005B5279"/>
    <w:pPr>
      <w:spacing w:after="0" w:line="240" w:lineRule="auto"/>
    </w:pPr>
    <w:tblPr>
      <w:tblStyleRowBandSize w:val="1"/>
      <w:tblStyleColBandSize w:val="1"/>
      <w:tblInd w:w="0" w:type="dxa"/>
      <w:tblBorders>
        <w:top w:val="single" w:sz="8" w:space="0" w:color="686DA6" w:themeColor="accent5" w:themeTint="BF"/>
        <w:left w:val="single" w:sz="8" w:space="0" w:color="686DA6" w:themeColor="accent5" w:themeTint="BF"/>
        <w:bottom w:val="single" w:sz="8" w:space="0" w:color="686DA6" w:themeColor="accent5" w:themeTint="BF"/>
        <w:right w:val="single" w:sz="8" w:space="0" w:color="686DA6" w:themeColor="accent5" w:themeTint="BF"/>
        <w:insideH w:val="single" w:sz="8" w:space="0" w:color="686DA6" w:themeColor="accent5" w:themeTint="BF"/>
        <w:insideV w:val="single" w:sz="8" w:space="0" w:color="686DA6" w:themeColor="accent5" w:themeTint="BF"/>
      </w:tblBorders>
      <w:tblCellMar>
        <w:top w:w="0" w:type="dxa"/>
        <w:left w:w="108" w:type="dxa"/>
        <w:bottom w:w="0" w:type="dxa"/>
        <w:right w:w="108" w:type="dxa"/>
      </w:tblCellMar>
    </w:tblPr>
    <w:tcPr>
      <w:shd w:val="clear" w:color="auto" w:fill="CDCEE1" w:themeFill="accent5" w:themeFillTint="3F"/>
    </w:tcPr>
    <w:tblStylePr w:type="firstRow">
      <w:rPr>
        <w:b/>
        <w:bCs/>
      </w:rPr>
    </w:tblStylePr>
    <w:tblStylePr w:type="lastRow">
      <w:rPr>
        <w:b/>
        <w:bCs/>
      </w:rPr>
      <w:tblPr/>
      <w:tcPr>
        <w:tcBorders>
          <w:top w:val="single" w:sz="18" w:space="0" w:color="686DA6" w:themeColor="accent5" w:themeTint="BF"/>
        </w:tcBorders>
      </w:tcPr>
    </w:tblStylePr>
    <w:tblStylePr w:type="firstCol">
      <w:rPr>
        <w:b/>
        <w:bCs/>
      </w:rPr>
    </w:tblStylePr>
    <w:tblStylePr w:type="lastCol">
      <w:rPr>
        <w:b/>
        <w:bCs/>
      </w:rPr>
    </w:tblStylePr>
    <w:tblStylePr w:type="band1Vert">
      <w:tblPr/>
      <w:tcPr>
        <w:shd w:val="clear" w:color="auto" w:fill="9B9EC4" w:themeFill="accent5" w:themeFillTint="7F"/>
      </w:tcPr>
    </w:tblStylePr>
    <w:tblStylePr w:type="band1Horz">
      <w:tblPr/>
      <w:tcPr>
        <w:shd w:val="clear" w:color="auto" w:fill="9B9EC4" w:themeFill="accent5" w:themeFillTint="7F"/>
      </w:tcPr>
    </w:tblStylePr>
  </w:style>
  <w:style w:type="table" w:styleId="LightGrid-Accent5">
    <w:name w:val="Light Grid Accent 5"/>
    <w:basedOn w:val="TableNormal"/>
    <w:uiPriority w:val="62"/>
    <w:rsid w:val="0089059B"/>
    <w:pPr>
      <w:spacing w:after="0" w:line="240" w:lineRule="auto"/>
    </w:pPr>
    <w:tblPr>
      <w:tblStyleRowBandSize w:val="1"/>
      <w:tblStyleColBandSize w:val="1"/>
      <w:tblInd w:w="0" w:type="dxa"/>
      <w:tblBorders>
        <w:top w:val="single" w:sz="8" w:space="0" w:color="474B78" w:themeColor="accent5"/>
        <w:left w:val="single" w:sz="8" w:space="0" w:color="474B78" w:themeColor="accent5"/>
        <w:bottom w:val="single" w:sz="8" w:space="0" w:color="474B78" w:themeColor="accent5"/>
        <w:right w:val="single" w:sz="8" w:space="0" w:color="474B78" w:themeColor="accent5"/>
        <w:insideH w:val="single" w:sz="8" w:space="0" w:color="474B78" w:themeColor="accent5"/>
        <w:insideV w:val="single" w:sz="8" w:space="0" w:color="474B78"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74B78" w:themeColor="accent5"/>
          <w:left w:val="single" w:sz="8" w:space="0" w:color="474B78" w:themeColor="accent5"/>
          <w:bottom w:val="single" w:sz="18" w:space="0" w:color="474B78" w:themeColor="accent5"/>
          <w:right w:val="single" w:sz="8" w:space="0" w:color="474B78" w:themeColor="accent5"/>
          <w:insideH w:val="nil"/>
          <w:insideV w:val="single" w:sz="8" w:space="0" w:color="474B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4B78" w:themeColor="accent5"/>
          <w:left w:val="single" w:sz="8" w:space="0" w:color="474B78" w:themeColor="accent5"/>
          <w:bottom w:val="single" w:sz="8" w:space="0" w:color="474B78" w:themeColor="accent5"/>
          <w:right w:val="single" w:sz="8" w:space="0" w:color="474B78" w:themeColor="accent5"/>
          <w:insideH w:val="nil"/>
          <w:insideV w:val="single" w:sz="8" w:space="0" w:color="474B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4B78" w:themeColor="accent5"/>
          <w:left w:val="single" w:sz="8" w:space="0" w:color="474B78" w:themeColor="accent5"/>
          <w:bottom w:val="single" w:sz="8" w:space="0" w:color="474B78" w:themeColor="accent5"/>
          <w:right w:val="single" w:sz="8" w:space="0" w:color="474B78" w:themeColor="accent5"/>
        </w:tcBorders>
      </w:tcPr>
    </w:tblStylePr>
    <w:tblStylePr w:type="band1Vert">
      <w:tblPr/>
      <w:tcPr>
        <w:tcBorders>
          <w:top w:val="single" w:sz="8" w:space="0" w:color="474B78" w:themeColor="accent5"/>
          <w:left w:val="single" w:sz="8" w:space="0" w:color="474B78" w:themeColor="accent5"/>
          <w:bottom w:val="single" w:sz="8" w:space="0" w:color="474B78" w:themeColor="accent5"/>
          <w:right w:val="single" w:sz="8" w:space="0" w:color="474B78" w:themeColor="accent5"/>
        </w:tcBorders>
        <w:shd w:val="clear" w:color="auto" w:fill="CDCEE1" w:themeFill="accent5" w:themeFillTint="3F"/>
      </w:tcPr>
    </w:tblStylePr>
    <w:tblStylePr w:type="band1Horz">
      <w:tblPr/>
      <w:tcPr>
        <w:tcBorders>
          <w:top w:val="single" w:sz="8" w:space="0" w:color="474B78" w:themeColor="accent5"/>
          <w:left w:val="single" w:sz="8" w:space="0" w:color="474B78" w:themeColor="accent5"/>
          <w:bottom w:val="single" w:sz="8" w:space="0" w:color="474B78" w:themeColor="accent5"/>
          <w:right w:val="single" w:sz="8" w:space="0" w:color="474B78" w:themeColor="accent5"/>
          <w:insideV w:val="single" w:sz="8" w:space="0" w:color="474B78" w:themeColor="accent5"/>
        </w:tcBorders>
        <w:shd w:val="clear" w:color="auto" w:fill="CDCEE1" w:themeFill="accent5" w:themeFillTint="3F"/>
      </w:tcPr>
    </w:tblStylePr>
    <w:tblStylePr w:type="band2Horz">
      <w:tblPr/>
      <w:tcPr>
        <w:tcBorders>
          <w:top w:val="single" w:sz="8" w:space="0" w:color="474B78" w:themeColor="accent5"/>
          <w:left w:val="single" w:sz="8" w:space="0" w:color="474B78" w:themeColor="accent5"/>
          <w:bottom w:val="single" w:sz="8" w:space="0" w:color="474B78" w:themeColor="accent5"/>
          <w:right w:val="single" w:sz="8" w:space="0" w:color="474B78" w:themeColor="accent5"/>
          <w:insideV w:val="single" w:sz="8" w:space="0" w:color="474B78" w:themeColor="accent5"/>
        </w:tcBorders>
      </w:tcPr>
    </w:tblStylePr>
  </w:style>
  <w:style w:type="table" w:customStyle="1" w:styleId="MediumShading1-Accent13">
    <w:name w:val="Medium Shading 1 - Accent 13"/>
    <w:basedOn w:val="TableNormal"/>
    <w:uiPriority w:val="63"/>
    <w:rsid w:val="00732145"/>
    <w:pPr>
      <w:spacing w:after="0" w:line="240" w:lineRule="auto"/>
    </w:pPr>
    <w:tblPr>
      <w:tblStyleRowBandSize w:val="1"/>
      <w:tblStyleColBandSize w:val="1"/>
      <w:tblInd w:w="0" w:type="dxa"/>
      <w:tbl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single" w:sz="8" w:space="0" w:color="58BED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shd w:val="clear" w:color="auto" w:fill="2DA2BF" w:themeFill="accent1"/>
      </w:tcPr>
    </w:tblStylePr>
    <w:tblStylePr w:type="lastRow">
      <w:pPr>
        <w:spacing w:before="0" w:after="0" w:line="240" w:lineRule="auto"/>
      </w:pPr>
      <w:rPr>
        <w:b/>
        <w:bCs/>
      </w:rPr>
      <w:tblPr/>
      <w:tcPr>
        <w:tcBorders>
          <w:top w:val="double" w:sz="6"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E9F2" w:themeFill="accent1" w:themeFillTint="3F"/>
      </w:tcPr>
    </w:tblStylePr>
    <w:tblStylePr w:type="band1Horz">
      <w:tblPr/>
      <w:tcPr>
        <w:tcBorders>
          <w:insideH w:val="nil"/>
          <w:insideV w:val="nil"/>
        </w:tcBorders>
        <w:shd w:val="clear" w:color="auto" w:fill="C7E9F2"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732145"/>
    <w:pPr>
      <w:spacing w:after="0" w:line="240" w:lineRule="auto"/>
    </w:pPr>
    <w:tblPr>
      <w:tblStyleRowBandSize w:val="1"/>
      <w:tblStyleColBandSize w:val="1"/>
      <w:tblInd w:w="0" w:type="dxa"/>
      <w:tbl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single" w:sz="8" w:space="0" w:color="58BED7" w:themeColor="accent1" w:themeTint="BF"/>
        <w:insideV w:val="single" w:sz="8" w:space="0" w:color="58BED7" w:themeColor="accent1" w:themeTint="BF"/>
      </w:tblBorders>
      <w:tblCellMar>
        <w:top w:w="0" w:type="dxa"/>
        <w:left w:w="108" w:type="dxa"/>
        <w:bottom w:w="0" w:type="dxa"/>
        <w:right w:w="108" w:type="dxa"/>
      </w:tblCellMar>
    </w:tblPr>
    <w:tcPr>
      <w:shd w:val="clear" w:color="auto" w:fill="C7E9F2" w:themeFill="accent1" w:themeFillTint="3F"/>
    </w:tcPr>
    <w:tblStylePr w:type="firstRow">
      <w:rPr>
        <w:b/>
        <w:bCs/>
      </w:rPr>
    </w:tblStylePr>
    <w:tblStylePr w:type="lastRow">
      <w:rPr>
        <w:b/>
        <w:bCs/>
      </w:rPr>
      <w:tblPr/>
      <w:tcPr>
        <w:tcBorders>
          <w:top w:val="single" w:sz="18" w:space="0" w:color="58BED7" w:themeColor="accent1" w:themeTint="BF"/>
        </w:tcBorders>
      </w:tcPr>
    </w:tblStylePr>
    <w:tblStylePr w:type="firstCol">
      <w:rPr>
        <w:b/>
        <w:bCs/>
      </w:rPr>
    </w:tblStylePr>
    <w:tblStylePr w:type="lastCol">
      <w:rPr>
        <w:b/>
        <w:bCs/>
      </w:rPr>
    </w:tblStylePr>
    <w:tblStylePr w:type="band1Vert">
      <w:tblPr/>
      <w:tcPr>
        <w:shd w:val="clear" w:color="auto" w:fill="90D4E5" w:themeFill="accent1" w:themeFillTint="7F"/>
      </w:tcPr>
    </w:tblStylePr>
    <w:tblStylePr w:type="band1Horz">
      <w:tblPr/>
      <w:tcPr>
        <w:shd w:val="clear" w:color="auto" w:fill="90D4E5" w:themeFill="accent1" w:themeFillTint="7F"/>
      </w:tcPr>
    </w:tblStylePr>
  </w:style>
  <w:style w:type="character" w:customStyle="1" w:styleId="st1">
    <w:name w:val="st1"/>
    <w:basedOn w:val="DefaultParagraphFont"/>
    <w:rsid w:val="003E22C5"/>
  </w:style>
  <w:style w:type="table" w:customStyle="1" w:styleId="LightGrid-Accent13">
    <w:name w:val="Light Grid - Accent 13"/>
    <w:basedOn w:val="TableNormal"/>
    <w:uiPriority w:val="62"/>
    <w:rsid w:val="00395AFA"/>
    <w:pPr>
      <w:spacing w:after="0" w:line="240" w:lineRule="auto"/>
    </w:pPr>
    <w:tblPr>
      <w:tblStyleRowBandSize w:val="1"/>
      <w:tblStyleColBandSize w:val="1"/>
      <w:tblInd w:w="0" w:type="dxa"/>
      <w:tblBorders>
        <w:top w:val="single" w:sz="8" w:space="0" w:color="2DA2BF" w:themeColor="accent1"/>
        <w:left w:val="single" w:sz="8" w:space="0" w:color="2DA2BF" w:themeColor="accent1"/>
        <w:bottom w:val="single" w:sz="8" w:space="0" w:color="2DA2BF" w:themeColor="accent1"/>
        <w:right w:val="single" w:sz="8" w:space="0" w:color="2DA2BF" w:themeColor="accent1"/>
        <w:insideH w:val="single" w:sz="8" w:space="0" w:color="2DA2BF" w:themeColor="accent1"/>
        <w:insideV w:val="single" w:sz="8" w:space="0" w:color="2DA2B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18" w:space="0" w:color="2DA2BF" w:themeColor="accent1"/>
          <w:right w:val="single" w:sz="8" w:space="0" w:color="2DA2BF" w:themeColor="accent1"/>
          <w:insideH w:val="nil"/>
          <w:insideV w:val="single" w:sz="8" w:space="0" w:color="2DA2B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insideH w:val="nil"/>
          <w:insideV w:val="single" w:sz="8" w:space="0" w:color="2DA2B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shd w:val="clear" w:color="auto" w:fill="C7E9F2" w:themeFill="accent1" w:themeFillTint="3F"/>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shd w:val="clear" w:color="auto" w:fill="C7E9F2" w:themeFill="accent1" w:themeFillTint="3F"/>
      </w:tcPr>
    </w:tblStylePr>
    <w:tblStylePr w:type="band2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tcPr>
    </w:tblStylePr>
  </w:style>
  <w:style w:type="table" w:customStyle="1" w:styleId="LightShading1">
    <w:name w:val="Light Shading1"/>
    <w:basedOn w:val="TableNormal"/>
    <w:uiPriority w:val="60"/>
    <w:rsid w:val="00FE35F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Accent14">
    <w:name w:val="Light Grid - Accent 14"/>
    <w:basedOn w:val="TableNormal"/>
    <w:uiPriority w:val="62"/>
    <w:rsid w:val="00EF16B0"/>
    <w:pPr>
      <w:spacing w:after="0" w:line="240" w:lineRule="auto"/>
    </w:pPr>
    <w:tblPr>
      <w:tblStyleRowBandSize w:val="1"/>
      <w:tblStyleColBandSize w:val="1"/>
      <w:tblInd w:w="0" w:type="dxa"/>
      <w:tblBorders>
        <w:top w:val="single" w:sz="8" w:space="0" w:color="2DA2BF" w:themeColor="accent1"/>
        <w:left w:val="single" w:sz="8" w:space="0" w:color="2DA2BF" w:themeColor="accent1"/>
        <w:bottom w:val="single" w:sz="8" w:space="0" w:color="2DA2BF" w:themeColor="accent1"/>
        <w:right w:val="single" w:sz="8" w:space="0" w:color="2DA2BF" w:themeColor="accent1"/>
        <w:insideH w:val="single" w:sz="8" w:space="0" w:color="2DA2BF" w:themeColor="accent1"/>
        <w:insideV w:val="single" w:sz="8" w:space="0" w:color="2DA2B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18" w:space="0" w:color="2DA2BF" w:themeColor="accent1"/>
          <w:right w:val="single" w:sz="8" w:space="0" w:color="2DA2BF" w:themeColor="accent1"/>
          <w:insideH w:val="nil"/>
          <w:insideV w:val="single" w:sz="8" w:space="0" w:color="2DA2B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insideH w:val="nil"/>
          <w:insideV w:val="single" w:sz="8" w:space="0" w:color="2DA2B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shd w:val="clear" w:color="auto" w:fill="C7E9F2" w:themeFill="accent1" w:themeFillTint="3F"/>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shd w:val="clear" w:color="auto" w:fill="C7E9F2" w:themeFill="accent1" w:themeFillTint="3F"/>
      </w:tcPr>
    </w:tblStylePr>
    <w:tblStylePr w:type="band2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tcPr>
    </w:tblStylePr>
  </w:style>
  <w:style w:type="table" w:customStyle="1" w:styleId="LightList-Accent11">
    <w:name w:val="Light List - Accent 11"/>
    <w:basedOn w:val="TableNormal"/>
    <w:uiPriority w:val="61"/>
    <w:rsid w:val="000349F5"/>
    <w:pPr>
      <w:spacing w:after="0" w:line="240" w:lineRule="auto"/>
    </w:pPr>
    <w:tblPr>
      <w:tblStyleRowBandSize w:val="1"/>
      <w:tblStyleColBandSize w:val="1"/>
      <w:tblInd w:w="0" w:type="dxa"/>
      <w:tblBorders>
        <w:top w:val="single" w:sz="8" w:space="0" w:color="2DA2BF" w:themeColor="accent1"/>
        <w:left w:val="single" w:sz="8" w:space="0" w:color="2DA2BF" w:themeColor="accent1"/>
        <w:bottom w:val="single" w:sz="8" w:space="0" w:color="2DA2BF" w:themeColor="accent1"/>
        <w:right w:val="single" w:sz="8" w:space="0" w:color="2DA2B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DA2BF" w:themeFill="accent1"/>
      </w:tcPr>
    </w:tblStylePr>
    <w:tblStylePr w:type="lastRow">
      <w:pPr>
        <w:spacing w:before="0" w:after="0" w:line="240" w:lineRule="auto"/>
      </w:pPr>
      <w:rPr>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tcBorders>
      </w:tcPr>
    </w:tblStylePr>
    <w:tblStylePr w:type="firstCol">
      <w:rPr>
        <w:b/>
        <w:bCs/>
      </w:rPr>
    </w:tblStylePr>
    <w:tblStylePr w:type="lastCol">
      <w:rPr>
        <w:b/>
        <w:bCs/>
      </w:r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style>
  <w:style w:type="table" w:customStyle="1" w:styleId="LightGrid-Accent15">
    <w:name w:val="Light Grid - Accent 15"/>
    <w:basedOn w:val="TableNormal"/>
    <w:uiPriority w:val="62"/>
    <w:rsid w:val="000349F5"/>
    <w:pPr>
      <w:spacing w:after="0" w:line="240" w:lineRule="auto"/>
    </w:pPr>
    <w:tblPr>
      <w:tblStyleRowBandSize w:val="1"/>
      <w:tblStyleColBandSize w:val="1"/>
      <w:tblInd w:w="0" w:type="dxa"/>
      <w:tblBorders>
        <w:top w:val="single" w:sz="8" w:space="0" w:color="2DA2BF" w:themeColor="accent1"/>
        <w:left w:val="single" w:sz="8" w:space="0" w:color="2DA2BF" w:themeColor="accent1"/>
        <w:bottom w:val="single" w:sz="8" w:space="0" w:color="2DA2BF" w:themeColor="accent1"/>
        <w:right w:val="single" w:sz="8" w:space="0" w:color="2DA2BF" w:themeColor="accent1"/>
        <w:insideH w:val="single" w:sz="8" w:space="0" w:color="2DA2BF" w:themeColor="accent1"/>
        <w:insideV w:val="single" w:sz="8" w:space="0" w:color="2DA2B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18" w:space="0" w:color="2DA2BF" w:themeColor="accent1"/>
          <w:right w:val="single" w:sz="8" w:space="0" w:color="2DA2BF" w:themeColor="accent1"/>
          <w:insideH w:val="nil"/>
          <w:insideV w:val="single" w:sz="8" w:space="0" w:color="2DA2B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insideH w:val="nil"/>
          <w:insideV w:val="single" w:sz="8" w:space="0" w:color="2DA2B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shd w:val="clear" w:color="auto" w:fill="C7E9F2" w:themeFill="accent1" w:themeFillTint="3F"/>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shd w:val="clear" w:color="auto" w:fill="C7E9F2" w:themeFill="accent1" w:themeFillTint="3F"/>
      </w:tcPr>
    </w:tblStylePr>
    <w:tblStylePr w:type="band2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tcPr>
    </w:tblStylePr>
  </w:style>
  <w:style w:type="table" w:customStyle="1" w:styleId="MediumShading1-Accent14">
    <w:name w:val="Medium Shading 1 - Accent 14"/>
    <w:basedOn w:val="TableNormal"/>
    <w:uiPriority w:val="63"/>
    <w:rsid w:val="000349F5"/>
    <w:pPr>
      <w:spacing w:after="0" w:line="240" w:lineRule="auto"/>
    </w:pPr>
    <w:tblPr>
      <w:tblStyleRowBandSize w:val="1"/>
      <w:tblStyleColBandSize w:val="1"/>
      <w:tblInd w:w="0" w:type="dxa"/>
      <w:tbl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single" w:sz="8" w:space="0" w:color="58BED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shd w:val="clear" w:color="auto" w:fill="2DA2BF" w:themeFill="accent1"/>
      </w:tcPr>
    </w:tblStylePr>
    <w:tblStylePr w:type="lastRow">
      <w:pPr>
        <w:spacing w:before="0" w:after="0" w:line="240" w:lineRule="auto"/>
      </w:pPr>
      <w:rPr>
        <w:b/>
        <w:bCs/>
      </w:rPr>
      <w:tblPr/>
      <w:tcPr>
        <w:tcBorders>
          <w:top w:val="double" w:sz="6"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E9F2" w:themeFill="accent1" w:themeFillTint="3F"/>
      </w:tcPr>
    </w:tblStylePr>
    <w:tblStylePr w:type="band1Horz">
      <w:tblPr/>
      <w:tcPr>
        <w:tcBorders>
          <w:insideH w:val="nil"/>
          <w:insideV w:val="nil"/>
        </w:tcBorders>
        <w:shd w:val="clear" w:color="auto" w:fill="C7E9F2"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0349F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DA2B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DA2BF" w:themeFill="accent1"/>
      </w:tcPr>
    </w:tblStylePr>
    <w:tblStylePr w:type="lastCol">
      <w:rPr>
        <w:b/>
        <w:bCs/>
        <w:color w:val="FFFFFF" w:themeColor="background1"/>
      </w:rPr>
      <w:tblPr/>
      <w:tcPr>
        <w:tcBorders>
          <w:left w:val="nil"/>
          <w:right w:val="nil"/>
          <w:insideH w:val="nil"/>
          <w:insideV w:val="nil"/>
        </w:tcBorders>
        <w:shd w:val="clear" w:color="auto" w:fill="2DA2B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TableNormal"/>
    <w:uiPriority w:val="65"/>
    <w:rsid w:val="000349F5"/>
    <w:pPr>
      <w:spacing w:after="0" w:line="240" w:lineRule="auto"/>
    </w:pPr>
    <w:rPr>
      <w:color w:val="000000" w:themeColor="text1"/>
    </w:rPr>
    <w:tblPr>
      <w:tblStyleRowBandSize w:val="1"/>
      <w:tblStyleColBandSize w:val="1"/>
      <w:tblInd w:w="0" w:type="dxa"/>
      <w:tblBorders>
        <w:top w:val="single" w:sz="8" w:space="0" w:color="2DA2BF" w:themeColor="accent1"/>
        <w:bottom w:val="single" w:sz="8" w:space="0" w:color="2DA2BF"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DA2BF" w:themeColor="accent1"/>
        </w:tcBorders>
      </w:tcPr>
    </w:tblStylePr>
    <w:tblStylePr w:type="lastRow">
      <w:rPr>
        <w:b/>
        <w:bCs/>
        <w:color w:val="464646" w:themeColor="text2"/>
      </w:rPr>
      <w:tblPr/>
      <w:tcPr>
        <w:tcBorders>
          <w:top w:val="single" w:sz="8" w:space="0" w:color="2DA2BF" w:themeColor="accent1"/>
          <w:bottom w:val="single" w:sz="8" w:space="0" w:color="2DA2BF" w:themeColor="accent1"/>
        </w:tcBorders>
      </w:tcPr>
    </w:tblStylePr>
    <w:tblStylePr w:type="firstCol">
      <w:rPr>
        <w:b/>
        <w:bCs/>
      </w:rPr>
    </w:tblStylePr>
    <w:tblStylePr w:type="lastCol">
      <w:rPr>
        <w:b/>
        <w:bCs/>
      </w:rPr>
      <w:tblPr/>
      <w:tcPr>
        <w:tcBorders>
          <w:top w:val="single" w:sz="8" w:space="0" w:color="2DA2BF" w:themeColor="accent1"/>
          <w:bottom w:val="single" w:sz="8" w:space="0" w:color="2DA2BF" w:themeColor="accent1"/>
        </w:tcBorders>
      </w:tcPr>
    </w:tblStylePr>
    <w:tblStylePr w:type="band1Vert">
      <w:tblPr/>
      <w:tcPr>
        <w:shd w:val="clear" w:color="auto" w:fill="C7E9F2" w:themeFill="accent1" w:themeFillTint="3F"/>
      </w:tcPr>
    </w:tblStylePr>
    <w:tblStylePr w:type="band1Horz">
      <w:tblPr/>
      <w:tcPr>
        <w:shd w:val="clear" w:color="auto" w:fill="C7E9F2" w:themeFill="accent1" w:themeFillTint="3F"/>
      </w:tcPr>
    </w:tblStylePr>
  </w:style>
  <w:style w:type="table" w:customStyle="1" w:styleId="LightShading2">
    <w:name w:val="Light Shading2"/>
    <w:basedOn w:val="TableNormal"/>
    <w:uiPriority w:val="60"/>
    <w:rsid w:val="00781B6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itle">
    <w:name w:val="Title"/>
    <w:aliases w:val="IPR Title"/>
    <w:basedOn w:val="Normal"/>
    <w:next w:val="Normal"/>
    <w:link w:val="TitleChar"/>
    <w:uiPriority w:val="10"/>
    <w:qFormat/>
    <w:rsid w:val="00002B46"/>
    <w:pPr>
      <w:widowControl w:val="0"/>
      <w:pBdr>
        <w:bottom w:val="single" w:sz="8" w:space="4" w:color="2DA2BF" w:themeColor="accent1"/>
      </w:pBdr>
      <w:autoSpaceDE w:val="0"/>
      <w:autoSpaceDN w:val="0"/>
      <w:adjustRightInd w:val="0"/>
      <w:spacing w:after="300" w:line="240" w:lineRule="auto"/>
      <w:contextualSpacing/>
    </w:pPr>
    <w:rPr>
      <w:rFonts w:asciiTheme="majorHAnsi" w:eastAsiaTheme="majorEastAsia" w:hAnsiTheme="majorHAnsi" w:cstheme="majorBidi"/>
      <w:color w:val="343434" w:themeColor="text2" w:themeShade="BF"/>
      <w:spacing w:val="5"/>
      <w:kern w:val="28"/>
      <w:sz w:val="52"/>
      <w:szCs w:val="52"/>
    </w:rPr>
  </w:style>
  <w:style w:type="character" w:customStyle="1" w:styleId="TitleChar">
    <w:name w:val="Title Char"/>
    <w:aliases w:val="IPR Title Char"/>
    <w:basedOn w:val="DefaultParagraphFont"/>
    <w:link w:val="Title"/>
    <w:uiPriority w:val="10"/>
    <w:rsid w:val="00002B46"/>
    <w:rPr>
      <w:rFonts w:asciiTheme="majorHAnsi" w:eastAsiaTheme="majorEastAsia" w:hAnsiTheme="majorHAnsi" w:cstheme="majorBidi"/>
      <w:color w:val="343434" w:themeColor="text2" w:themeShade="BF"/>
      <w:spacing w:val="5"/>
      <w:kern w:val="28"/>
      <w:sz w:val="52"/>
      <w:szCs w:val="52"/>
      <w:lang w:eastAsia="en-GB"/>
    </w:rPr>
  </w:style>
  <w:style w:type="paragraph" w:styleId="Subtitle">
    <w:name w:val="Subtitle"/>
    <w:basedOn w:val="Normal"/>
    <w:next w:val="Normal"/>
    <w:link w:val="SubtitleChar"/>
    <w:uiPriority w:val="11"/>
    <w:qFormat/>
    <w:rsid w:val="00E33210"/>
    <w:pPr>
      <w:widowControl w:val="0"/>
      <w:numPr>
        <w:ilvl w:val="1"/>
      </w:numPr>
      <w:autoSpaceDE w:val="0"/>
      <w:autoSpaceDN w:val="0"/>
      <w:adjustRightInd w:val="0"/>
      <w:spacing w:before="60" w:after="60" w:line="240" w:lineRule="auto"/>
    </w:pPr>
    <w:rPr>
      <w:rFonts w:asciiTheme="majorHAnsi" w:eastAsiaTheme="majorEastAsia" w:hAnsiTheme="majorHAnsi" w:cstheme="majorBidi"/>
      <w:i/>
      <w:iCs/>
      <w:color w:val="2DA2BF" w:themeColor="accent1"/>
      <w:spacing w:val="15"/>
      <w:sz w:val="24"/>
      <w:szCs w:val="24"/>
    </w:rPr>
  </w:style>
  <w:style w:type="character" w:customStyle="1" w:styleId="SubtitleChar">
    <w:name w:val="Subtitle Char"/>
    <w:basedOn w:val="DefaultParagraphFont"/>
    <w:link w:val="Subtitle"/>
    <w:uiPriority w:val="11"/>
    <w:rsid w:val="00E33210"/>
    <w:rPr>
      <w:rFonts w:asciiTheme="majorHAnsi" w:eastAsiaTheme="majorEastAsia" w:hAnsiTheme="majorHAnsi" w:cstheme="majorBidi"/>
      <w:i/>
      <w:iCs/>
      <w:color w:val="2DA2BF" w:themeColor="accent1"/>
      <w:spacing w:val="15"/>
      <w:sz w:val="24"/>
      <w:szCs w:val="24"/>
      <w:lang w:eastAsia="en-GB"/>
    </w:rPr>
  </w:style>
  <w:style w:type="table" w:customStyle="1" w:styleId="LightList-Accent12">
    <w:name w:val="Light List - Accent 12"/>
    <w:basedOn w:val="TableNormal"/>
    <w:uiPriority w:val="61"/>
    <w:rsid w:val="00D614D1"/>
    <w:pPr>
      <w:spacing w:after="0" w:line="240" w:lineRule="auto"/>
    </w:pPr>
    <w:tblPr>
      <w:tblStyleRowBandSize w:val="1"/>
      <w:tblStyleColBandSize w:val="1"/>
      <w:tblInd w:w="0" w:type="dxa"/>
      <w:tblBorders>
        <w:top w:val="single" w:sz="8" w:space="0" w:color="2DA2BF" w:themeColor="accent1"/>
        <w:left w:val="single" w:sz="8" w:space="0" w:color="2DA2BF" w:themeColor="accent1"/>
        <w:bottom w:val="single" w:sz="8" w:space="0" w:color="2DA2BF" w:themeColor="accent1"/>
        <w:right w:val="single" w:sz="8" w:space="0" w:color="2DA2B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DA2BF" w:themeFill="accent1"/>
      </w:tcPr>
    </w:tblStylePr>
    <w:tblStylePr w:type="lastRow">
      <w:pPr>
        <w:spacing w:before="0" w:after="0" w:line="240" w:lineRule="auto"/>
      </w:pPr>
      <w:rPr>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tcBorders>
      </w:tcPr>
    </w:tblStylePr>
    <w:tblStylePr w:type="firstCol">
      <w:rPr>
        <w:b/>
        <w:bCs/>
      </w:rPr>
    </w:tblStylePr>
    <w:tblStylePr w:type="lastCol">
      <w:rPr>
        <w:b/>
        <w:bCs/>
      </w:r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style>
  <w:style w:type="table" w:customStyle="1" w:styleId="MediumShading1-Accent15">
    <w:name w:val="Medium Shading 1 - Accent 15"/>
    <w:basedOn w:val="TableNormal"/>
    <w:uiPriority w:val="63"/>
    <w:rsid w:val="00976874"/>
    <w:pPr>
      <w:spacing w:after="0" w:line="240" w:lineRule="auto"/>
    </w:pPr>
    <w:tblPr>
      <w:tblStyleRowBandSize w:val="1"/>
      <w:tblStyleColBandSize w:val="1"/>
      <w:tblInd w:w="0" w:type="dxa"/>
      <w:tbl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single" w:sz="8" w:space="0" w:color="58BED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shd w:val="clear" w:color="auto" w:fill="2DA2BF" w:themeFill="accent1"/>
      </w:tcPr>
    </w:tblStylePr>
    <w:tblStylePr w:type="lastRow">
      <w:pPr>
        <w:spacing w:before="0" w:after="0" w:line="240" w:lineRule="auto"/>
      </w:pPr>
      <w:rPr>
        <w:b/>
        <w:bCs/>
      </w:rPr>
      <w:tblPr/>
      <w:tcPr>
        <w:tcBorders>
          <w:top w:val="double" w:sz="6"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E9F2" w:themeFill="accent1" w:themeFillTint="3F"/>
      </w:tcPr>
    </w:tblStylePr>
    <w:tblStylePr w:type="band1Horz">
      <w:tblPr/>
      <w:tcPr>
        <w:tcBorders>
          <w:insideH w:val="nil"/>
          <w:insideV w:val="nil"/>
        </w:tcBorders>
        <w:shd w:val="clear" w:color="auto" w:fill="C7E9F2" w:themeFill="accen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4983334">
      <w:bodyDiv w:val="1"/>
      <w:marLeft w:val="0"/>
      <w:marRight w:val="0"/>
      <w:marTop w:val="0"/>
      <w:marBottom w:val="0"/>
      <w:divBdr>
        <w:top w:val="none" w:sz="0" w:space="0" w:color="auto"/>
        <w:left w:val="none" w:sz="0" w:space="0" w:color="auto"/>
        <w:bottom w:val="none" w:sz="0" w:space="0" w:color="auto"/>
        <w:right w:val="none" w:sz="0" w:space="0" w:color="auto"/>
      </w:divBdr>
    </w:div>
    <w:div w:id="14701030">
      <w:bodyDiv w:val="1"/>
      <w:marLeft w:val="0"/>
      <w:marRight w:val="0"/>
      <w:marTop w:val="0"/>
      <w:marBottom w:val="0"/>
      <w:divBdr>
        <w:top w:val="none" w:sz="0" w:space="0" w:color="auto"/>
        <w:left w:val="none" w:sz="0" w:space="0" w:color="auto"/>
        <w:bottom w:val="none" w:sz="0" w:space="0" w:color="auto"/>
        <w:right w:val="none" w:sz="0" w:space="0" w:color="auto"/>
      </w:divBdr>
    </w:div>
    <w:div w:id="30570487">
      <w:bodyDiv w:val="1"/>
      <w:marLeft w:val="0"/>
      <w:marRight w:val="0"/>
      <w:marTop w:val="0"/>
      <w:marBottom w:val="0"/>
      <w:divBdr>
        <w:top w:val="none" w:sz="0" w:space="0" w:color="auto"/>
        <w:left w:val="none" w:sz="0" w:space="0" w:color="auto"/>
        <w:bottom w:val="none" w:sz="0" w:space="0" w:color="auto"/>
        <w:right w:val="none" w:sz="0" w:space="0" w:color="auto"/>
      </w:divBdr>
      <w:divsChild>
        <w:div w:id="2143377024">
          <w:marLeft w:val="0"/>
          <w:marRight w:val="0"/>
          <w:marTop w:val="0"/>
          <w:marBottom w:val="0"/>
          <w:divBdr>
            <w:top w:val="none" w:sz="0" w:space="0" w:color="auto"/>
            <w:left w:val="none" w:sz="0" w:space="0" w:color="auto"/>
            <w:bottom w:val="none" w:sz="0" w:space="0" w:color="auto"/>
            <w:right w:val="none" w:sz="0" w:space="0" w:color="auto"/>
          </w:divBdr>
          <w:divsChild>
            <w:div w:id="1148283548">
              <w:marLeft w:val="0"/>
              <w:marRight w:val="0"/>
              <w:marTop w:val="0"/>
              <w:marBottom w:val="0"/>
              <w:divBdr>
                <w:top w:val="none" w:sz="0" w:space="0" w:color="auto"/>
                <w:left w:val="none" w:sz="0" w:space="0" w:color="auto"/>
                <w:bottom w:val="none" w:sz="0" w:space="0" w:color="auto"/>
                <w:right w:val="none" w:sz="0" w:space="0" w:color="auto"/>
              </w:divBdr>
              <w:divsChild>
                <w:div w:id="1850951520">
                  <w:marLeft w:val="0"/>
                  <w:marRight w:val="0"/>
                  <w:marTop w:val="0"/>
                  <w:marBottom w:val="0"/>
                  <w:divBdr>
                    <w:top w:val="none" w:sz="0" w:space="0" w:color="auto"/>
                    <w:left w:val="none" w:sz="0" w:space="0" w:color="auto"/>
                    <w:bottom w:val="none" w:sz="0" w:space="0" w:color="auto"/>
                    <w:right w:val="none" w:sz="0" w:space="0" w:color="auto"/>
                  </w:divBdr>
                  <w:divsChild>
                    <w:div w:id="1964723348">
                      <w:marLeft w:val="0"/>
                      <w:marRight w:val="0"/>
                      <w:marTop w:val="0"/>
                      <w:marBottom w:val="0"/>
                      <w:divBdr>
                        <w:top w:val="none" w:sz="0" w:space="0" w:color="auto"/>
                        <w:left w:val="none" w:sz="0" w:space="0" w:color="auto"/>
                        <w:bottom w:val="none" w:sz="0" w:space="0" w:color="auto"/>
                        <w:right w:val="none" w:sz="0" w:space="0" w:color="auto"/>
                      </w:divBdr>
                      <w:divsChild>
                        <w:div w:id="1330786724">
                          <w:marLeft w:val="0"/>
                          <w:marRight w:val="0"/>
                          <w:marTop w:val="0"/>
                          <w:marBottom w:val="0"/>
                          <w:divBdr>
                            <w:top w:val="none" w:sz="0" w:space="0" w:color="auto"/>
                            <w:left w:val="none" w:sz="0" w:space="0" w:color="auto"/>
                            <w:bottom w:val="none" w:sz="0" w:space="0" w:color="auto"/>
                            <w:right w:val="none" w:sz="0" w:space="0" w:color="auto"/>
                          </w:divBdr>
                          <w:divsChild>
                            <w:div w:id="67388566">
                              <w:marLeft w:val="0"/>
                              <w:marRight w:val="0"/>
                              <w:marTop w:val="0"/>
                              <w:marBottom w:val="0"/>
                              <w:divBdr>
                                <w:top w:val="none" w:sz="0" w:space="0" w:color="auto"/>
                                <w:left w:val="none" w:sz="0" w:space="0" w:color="auto"/>
                                <w:bottom w:val="none" w:sz="0" w:space="0" w:color="auto"/>
                                <w:right w:val="none" w:sz="0" w:space="0" w:color="auto"/>
                              </w:divBdr>
                              <w:divsChild>
                                <w:div w:id="853569717">
                                  <w:marLeft w:val="3630"/>
                                  <w:marRight w:val="4230"/>
                                  <w:marTop w:val="0"/>
                                  <w:marBottom w:val="0"/>
                                  <w:divBdr>
                                    <w:top w:val="none" w:sz="0" w:space="0" w:color="auto"/>
                                    <w:left w:val="none" w:sz="0" w:space="0" w:color="auto"/>
                                    <w:bottom w:val="none" w:sz="0" w:space="0" w:color="auto"/>
                                    <w:right w:val="none" w:sz="0" w:space="0" w:color="auto"/>
                                  </w:divBdr>
                                  <w:divsChild>
                                    <w:div w:id="1135293905">
                                      <w:marLeft w:val="75"/>
                                      <w:marRight w:val="75"/>
                                      <w:marTop w:val="75"/>
                                      <w:marBottom w:val="75"/>
                                      <w:divBdr>
                                        <w:top w:val="none" w:sz="0" w:space="0" w:color="auto"/>
                                        <w:left w:val="none" w:sz="0" w:space="0" w:color="auto"/>
                                        <w:bottom w:val="none" w:sz="0" w:space="0" w:color="auto"/>
                                        <w:right w:val="none" w:sz="0" w:space="0" w:color="auto"/>
                                      </w:divBdr>
                                      <w:divsChild>
                                        <w:div w:id="30312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357962">
      <w:bodyDiv w:val="1"/>
      <w:marLeft w:val="0"/>
      <w:marRight w:val="0"/>
      <w:marTop w:val="0"/>
      <w:marBottom w:val="0"/>
      <w:divBdr>
        <w:top w:val="none" w:sz="0" w:space="0" w:color="auto"/>
        <w:left w:val="none" w:sz="0" w:space="0" w:color="auto"/>
        <w:bottom w:val="none" w:sz="0" w:space="0" w:color="auto"/>
        <w:right w:val="none" w:sz="0" w:space="0" w:color="auto"/>
      </w:divBdr>
    </w:div>
    <w:div w:id="57367489">
      <w:bodyDiv w:val="1"/>
      <w:marLeft w:val="0"/>
      <w:marRight w:val="0"/>
      <w:marTop w:val="0"/>
      <w:marBottom w:val="0"/>
      <w:divBdr>
        <w:top w:val="none" w:sz="0" w:space="0" w:color="auto"/>
        <w:left w:val="none" w:sz="0" w:space="0" w:color="auto"/>
        <w:bottom w:val="none" w:sz="0" w:space="0" w:color="auto"/>
        <w:right w:val="none" w:sz="0" w:space="0" w:color="auto"/>
      </w:divBdr>
    </w:div>
    <w:div w:id="86537992">
      <w:bodyDiv w:val="1"/>
      <w:marLeft w:val="0"/>
      <w:marRight w:val="0"/>
      <w:marTop w:val="0"/>
      <w:marBottom w:val="0"/>
      <w:divBdr>
        <w:top w:val="none" w:sz="0" w:space="0" w:color="auto"/>
        <w:left w:val="none" w:sz="0" w:space="0" w:color="auto"/>
        <w:bottom w:val="none" w:sz="0" w:space="0" w:color="auto"/>
        <w:right w:val="none" w:sz="0" w:space="0" w:color="auto"/>
      </w:divBdr>
    </w:div>
    <w:div w:id="103422363">
      <w:bodyDiv w:val="1"/>
      <w:marLeft w:val="0"/>
      <w:marRight w:val="0"/>
      <w:marTop w:val="0"/>
      <w:marBottom w:val="0"/>
      <w:divBdr>
        <w:top w:val="none" w:sz="0" w:space="0" w:color="auto"/>
        <w:left w:val="none" w:sz="0" w:space="0" w:color="auto"/>
        <w:bottom w:val="none" w:sz="0" w:space="0" w:color="auto"/>
        <w:right w:val="none" w:sz="0" w:space="0" w:color="auto"/>
      </w:divBdr>
    </w:div>
    <w:div w:id="128980680">
      <w:bodyDiv w:val="1"/>
      <w:marLeft w:val="0"/>
      <w:marRight w:val="0"/>
      <w:marTop w:val="0"/>
      <w:marBottom w:val="0"/>
      <w:divBdr>
        <w:top w:val="none" w:sz="0" w:space="0" w:color="auto"/>
        <w:left w:val="none" w:sz="0" w:space="0" w:color="auto"/>
        <w:bottom w:val="none" w:sz="0" w:space="0" w:color="auto"/>
        <w:right w:val="none" w:sz="0" w:space="0" w:color="auto"/>
      </w:divBdr>
      <w:divsChild>
        <w:div w:id="2054963275">
          <w:marLeft w:val="0"/>
          <w:marRight w:val="0"/>
          <w:marTop w:val="0"/>
          <w:marBottom w:val="0"/>
          <w:divBdr>
            <w:top w:val="none" w:sz="0" w:space="0" w:color="auto"/>
            <w:left w:val="none" w:sz="0" w:space="0" w:color="auto"/>
            <w:bottom w:val="none" w:sz="0" w:space="0" w:color="auto"/>
            <w:right w:val="none" w:sz="0" w:space="0" w:color="auto"/>
          </w:divBdr>
          <w:divsChild>
            <w:div w:id="1480993608">
              <w:marLeft w:val="0"/>
              <w:marRight w:val="0"/>
              <w:marTop w:val="0"/>
              <w:marBottom w:val="0"/>
              <w:divBdr>
                <w:top w:val="none" w:sz="0" w:space="0" w:color="auto"/>
                <w:left w:val="none" w:sz="0" w:space="0" w:color="auto"/>
                <w:bottom w:val="none" w:sz="0" w:space="0" w:color="auto"/>
                <w:right w:val="none" w:sz="0" w:space="0" w:color="auto"/>
              </w:divBdr>
              <w:divsChild>
                <w:div w:id="2027823769">
                  <w:marLeft w:val="0"/>
                  <w:marRight w:val="0"/>
                  <w:marTop w:val="0"/>
                  <w:marBottom w:val="0"/>
                  <w:divBdr>
                    <w:top w:val="none" w:sz="0" w:space="0" w:color="auto"/>
                    <w:left w:val="none" w:sz="0" w:space="0" w:color="auto"/>
                    <w:bottom w:val="none" w:sz="0" w:space="0" w:color="auto"/>
                    <w:right w:val="none" w:sz="0" w:space="0" w:color="auto"/>
                  </w:divBdr>
                  <w:divsChild>
                    <w:div w:id="1543858600">
                      <w:marLeft w:val="0"/>
                      <w:marRight w:val="0"/>
                      <w:marTop w:val="0"/>
                      <w:marBottom w:val="0"/>
                      <w:divBdr>
                        <w:top w:val="none" w:sz="0" w:space="0" w:color="auto"/>
                        <w:left w:val="none" w:sz="0" w:space="0" w:color="auto"/>
                        <w:bottom w:val="none" w:sz="0" w:space="0" w:color="auto"/>
                        <w:right w:val="none" w:sz="0" w:space="0" w:color="auto"/>
                      </w:divBdr>
                      <w:divsChild>
                        <w:div w:id="1331979267">
                          <w:marLeft w:val="0"/>
                          <w:marRight w:val="0"/>
                          <w:marTop w:val="0"/>
                          <w:marBottom w:val="0"/>
                          <w:divBdr>
                            <w:top w:val="none" w:sz="0" w:space="0" w:color="auto"/>
                            <w:left w:val="none" w:sz="0" w:space="0" w:color="auto"/>
                            <w:bottom w:val="none" w:sz="0" w:space="0" w:color="auto"/>
                            <w:right w:val="none" w:sz="0" w:space="0" w:color="auto"/>
                          </w:divBdr>
                          <w:divsChild>
                            <w:div w:id="922838632">
                              <w:marLeft w:val="0"/>
                              <w:marRight w:val="0"/>
                              <w:marTop w:val="0"/>
                              <w:marBottom w:val="0"/>
                              <w:divBdr>
                                <w:top w:val="none" w:sz="0" w:space="0" w:color="auto"/>
                                <w:left w:val="none" w:sz="0" w:space="0" w:color="auto"/>
                                <w:bottom w:val="none" w:sz="0" w:space="0" w:color="auto"/>
                                <w:right w:val="none" w:sz="0" w:space="0" w:color="auto"/>
                              </w:divBdr>
                              <w:divsChild>
                                <w:div w:id="1052463304">
                                  <w:marLeft w:val="0"/>
                                  <w:marRight w:val="0"/>
                                  <w:marTop w:val="0"/>
                                  <w:marBottom w:val="0"/>
                                  <w:divBdr>
                                    <w:top w:val="none" w:sz="0" w:space="0" w:color="auto"/>
                                    <w:left w:val="none" w:sz="0" w:space="0" w:color="auto"/>
                                    <w:bottom w:val="none" w:sz="0" w:space="0" w:color="auto"/>
                                    <w:right w:val="none" w:sz="0" w:space="0" w:color="auto"/>
                                  </w:divBdr>
                                  <w:divsChild>
                                    <w:div w:id="1285574206">
                                      <w:marLeft w:val="0"/>
                                      <w:marRight w:val="0"/>
                                      <w:marTop w:val="0"/>
                                      <w:marBottom w:val="0"/>
                                      <w:divBdr>
                                        <w:top w:val="none" w:sz="0" w:space="0" w:color="auto"/>
                                        <w:left w:val="none" w:sz="0" w:space="0" w:color="auto"/>
                                        <w:bottom w:val="none" w:sz="0" w:space="0" w:color="auto"/>
                                        <w:right w:val="none" w:sz="0" w:space="0" w:color="auto"/>
                                      </w:divBdr>
                                      <w:divsChild>
                                        <w:div w:id="71697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57981">
      <w:bodyDiv w:val="1"/>
      <w:marLeft w:val="0"/>
      <w:marRight w:val="0"/>
      <w:marTop w:val="0"/>
      <w:marBottom w:val="0"/>
      <w:divBdr>
        <w:top w:val="none" w:sz="0" w:space="0" w:color="auto"/>
        <w:left w:val="none" w:sz="0" w:space="0" w:color="auto"/>
        <w:bottom w:val="none" w:sz="0" w:space="0" w:color="auto"/>
        <w:right w:val="none" w:sz="0" w:space="0" w:color="auto"/>
      </w:divBdr>
    </w:div>
    <w:div w:id="196816018">
      <w:bodyDiv w:val="1"/>
      <w:marLeft w:val="0"/>
      <w:marRight w:val="0"/>
      <w:marTop w:val="0"/>
      <w:marBottom w:val="0"/>
      <w:divBdr>
        <w:top w:val="none" w:sz="0" w:space="0" w:color="auto"/>
        <w:left w:val="none" w:sz="0" w:space="0" w:color="auto"/>
        <w:bottom w:val="none" w:sz="0" w:space="0" w:color="auto"/>
        <w:right w:val="none" w:sz="0" w:space="0" w:color="auto"/>
      </w:divBdr>
    </w:div>
    <w:div w:id="197354748">
      <w:bodyDiv w:val="1"/>
      <w:marLeft w:val="0"/>
      <w:marRight w:val="0"/>
      <w:marTop w:val="0"/>
      <w:marBottom w:val="0"/>
      <w:divBdr>
        <w:top w:val="none" w:sz="0" w:space="0" w:color="auto"/>
        <w:left w:val="none" w:sz="0" w:space="0" w:color="auto"/>
        <w:bottom w:val="none" w:sz="0" w:space="0" w:color="auto"/>
        <w:right w:val="none" w:sz="0" w:space="0" w:color="auto"/>
      </w:divBdr>
    </w:div>
    <w:div w:id="242645385">
      <w:bodyDiv w:val="1"/>
      <w:marLeft w:val="0"/>
      <w:marRight w:val="0"/>
      <w:marTop w:val="0"/>
      <w:marBottom w:val="0"/>
      <w:divBdr>
        <w:top w:val="none" w:sz="0" w:space="0" w:color="auto"/>
        <w:left w:val="none" w:sz="0" w:space="0" w:color="auto"/>
        <w:bottom w:val="none" w:sz="0" w:space="0" w:color="auto"/>
        <w:right w:val="none" w:sz="0" w:space="0" w:color="auto"/>
      </w:divBdr>
    </w:div>
    <w:div w:id="247542070">
      <w:bodyDiv w:val="1"/>
      <w:marLeft w:val="0"/>
      <w:marRight w:val="0"/>
      <w:marTop w:val="0"/>
      <w:marBottom w:val="0"/>
      <w:divBdr>
        <w:top w:val="none" w:sz="0" w:space="0" w:color="auto"/>
        <w:left w:val="none" w:sz="0" w:space="0" w:color="auto"/>
        <w:bottom w:val="none" w:sz="0" w:space="0" w:color="auto"/>
        <w:right w:val="none" w:sz="0" w:space="0" w:color="auto"/>
      </w:divBdr>
      <w:divsChild>
        <w:div w:id="1324354528">
          <w:marLeft w:val="0"/>
          <w:marRight w:val="0"/>
          <w:marTop w:val="0"/>
          <w:marBottom w:val="0"/>
          <w:divBdr>
            <w:top w:val="none" w:sz="0" w:space="0" w:color="auto"/>
            <w:left w:val="none" w:sz="0" w:space="0" w:color="auto"/>
            <w:bottom w:val="none" w:sz="0" w:space="0" w:color="auto"/>
            <w:right w:val="none" w:sz="0" w:space="0" w:color="auto"/>
          </w:divBdr>
        </w:div>
      </w:divsChild>
    </w:div>
    <w:div w:id="249195118">
      <w:bodyDiv w:val="1"/>
      <w:marLeft w:val="0"/>
      <w:marRight w:val="0"/>
      <w:marTop w:val="0"/>
      <w:marBottom w:val="0"/>
      <w:divBdr>
        <w:top w:val="none" w:sz="0" w:space="0" w:color="auto"/>
        <w:left w:val="none" w:sz="0" w:space="0" w:color="auto"/>
        <w:bottom w:val="none" w:sz="0" w:space="0" w:color="auto"/>
        <w:right w:val="none" w:sz="0" w:space="0" w:color="auto"/>
      </w:divBdr>
    </w:div>
    <w:div w:id="262348020">
      <w:bodyDiv w:val="1"/>
      <w:marLeft w:val="0"/>
      <w:marRight w:val="0"/>
      <w:marTop w:val="0"/>
      <w:marBottom w:val="0"/>
      <w:divBdr>
        <w:top w:val="none" w:sz="0" w:space="0" w:color="auto"/>
        <w:left w:val="none" w:sz="0" w:space="0" w:color="auto"/>
        <w:bottom w:val="none" w:sz="0" w:space="0" w:color="auto"/>
        <w:right w:val="none" w:sz="0" w:space="0" w:color="auto"/>
      </w:divBdr>
      <w:divsChild>
        <w:div w:id="1149833347">
          <w:marLeft w:val="0"/>
          <w:marRight w:val="0"/>
          <w:marTop w:val="0"/>
          <w:marBottom w:val="0"/>
          <w:divBdr>
            <w:top w:val="none" w:sz="0" w:space="0" w:color="auto"/>
            <w:left w:val="none" w:sz="0" w:space="0" w:color="auto"/>
            <w:bottom w:val="none" w:sz="0" w:space="0" w:color="auto"/>
            <w:right w:val="none" w:sz="0" w:space="0" w:color="auto"/>
          </w:divBdr>
          <w:divsChild>
            <w:div w:id="2072732274">
              <w:marLeft w:val="0"/>
              <w:marRight w:val="0"/>
              <w:marTop w:val="0"/>
              <w:marBottom w:val="0"/>
              <w:divBdr>
                <w:top w:val="none" w:sz="0" w:space="0" w:color="auto"/>
                <w:left w:val="none" w:sz="0" w:space="0" w:color="auto"/>
                <w:bottom w:val="none" w:sz="0" w:space="0" w:color="auto"/>
                <w:right w:val="none" w:sz="0" w:space="0" w:color="auto"/>
              </w:divBdr>
              <w:divsChild>
                <w:div w:id="1648434508">
                  <w:marLeft w:val="0"/>
                  <w:marRight w:val="0"/>
                  <w:marTop w:val="0"/>
                  <w:marBottom w:val="0"/>
                  <w:divBdr>
                    <w:top w:val="none" w:sz="0" w:space="0" w:color="auto"/>
                    <w:left w:val="none" w:sz="0" w:space="0" w:color="auto"/>
                    <w:bottom w:val="none" w:sz="0" w:space="0" w:color="auto"/>
                    <w:right w:val="none" w:sz="0" w:space="0" w:color="auto"/>
                  </w:divBdr>
                  <w:divsChild>
                    <w:div w:id="1336763592">
                      <w:marLeft w:val="0"/>
                      <w:marRight w:val="0"/>
                      <w:marTop w:val="0"/>
                      <w:marBottom w:val="0"/>
                      <w:divBdr>
                        <w:top w:val="none" w:sz="0" w:space="0" w:color="auto"/>
                        <w:left w:val="none" w:sz="0" w:space="0" w:color="auto"/>
                        <w:bottom w:val="none" w:sz="0" w:space="0" w:color="auto"/>
                        <w:right w:val="none" w:sz="0" w:space="0" w:color="auto"/>
                      </w:divBdr>
                      <w:divsChild>
                        <w:div w:id="1407337532">
                          <w:marLeft w:val="0"/>
                          <w:marRight w:val="0"/>
                          <w:marTop w:val="0"/>
                          <w:marBottom w:val="0"/>
                          <w:divBdr>
                            <w:top w:val="none" w:sz="0" w:space="0" w:color="auto"/>
                            <w:left w:val="none" w:sz="0" w:space="0" w:color="auto"/>
                            <w:bottom w:val="none" w:sz="0" w:space="0" w:color="auto"/>
                            <w:right w:val="none" w:sz="0" w:space="0" w:color="auto"/>
                          </w:divBdr>
                          <w:divsChild>
                            <w:div w:id="2011566400">
                              <w:marLeft w:val="0"/>
                              <w:marRight w:val="0"/>
                              <w:marTop w:val="0"/>
                              <w:marBottom w:val="0"/>
                              <w:divBdr>
                                <w:top w:val="none" w:sz="0" w:space="0" w:color="auto"/>
                                <w:left w:val="none" w:sz="0" w:space="0" w:color="auto"/>
                                <w:bottom w:val="none" w:sz="0" w:space="0" w:color="auto"/>
                                <w:right w:val="none" w:sz="0" w:space="0" w:color="auto"/>
                              </w:divBdr>
                              <w:divsChild>
                                <w:div w:id="899680126">
                                  <w:marLeft w:val="0"/>
                                  <w:marRight w:val="0"/>
                                  <w:marTop w:val="0"/>
                                  <w:marBottom w:val="0"/>
                                  <w:divBdr>
                                    <w:top w:val="none" w:sz="0" w:space="0" w:color="auto"/>
                                    <w:left w:val="none" w:sz="0" w:space="0" w:color="auto"/>
                                    <w:bottom w:val="none" w:sz="0" w:space="0" w:color="auto"/>
                                    <w:right w:val="none" w:sz="0" w:space="0" w:color="auto"/>
                                  </w:divBdr>
                                  <w:divsChild>
                                    <w:div w:id="46570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4776608">
      <w:bodyDiv w:val="1"/>
      <w:marLeft w:val="0"/>
      <w:marRight w:val="0"/>
      <w:marTop w:val="0"/>
      <w:marBottom w:val="0"/>
      <w:divBdr>
        <w:top w:val="none" w:sz="0" w:space="0" w:color="auto"/>
        <w:left w:val="none" w:sz="0" w:space="0" w:color="auto"/>
        <w:bottom w:val="none" w:sz="0" w:space="0" w:color="auto"/>
        <w:right w:val="none" w:sz="0" w:space="0" w:color="auto"/>
      </w:divBdr>
    </w:div>
    <w:div w:id="332801037">
      <w:bodyDiv w:val="1"/>
      <w:marLeft w:val="0"/>
      <w:marRight w:val="0"/>
      <w:marTop w:val="0"/>
      <w:marBottom w:val="0"/>
      <w:divBdr>
        <w:top w:val="none" w:sz="0" w:space="0" w:color="auto"/>
        <w:left w:val="none" w:sz="0" w:space="0" w:color="auto"/>
        <w:bottom w:val="none" w:sz="0" w:space="0" w:color="auto"/>
        <w:right w:val="none" w:sz="0" w:space="0" w:color="auto"/>
      </w:divBdr>
    </w:div>
    <w:div w:id="341396903">
      <w:bodyDiv w:val="1"/>
      <w:marLeft w:val="0"/>
      <w:marRight w:val="0"/>
      <w:marTop w:val="0"/>
      <w:marBottom w:val="0"/>
      <w:divBdr>
        <w:top w:val="none" w:sz="0" w:space="0" w:color="auto"/>
        <w:left w:val="none" w:sz="0" w:space="0" w:color="auto"/>
        <w:bottom w:val="none" w:sz="0" w:space="0" w:color="auto"/>
        <w:right w:val="none" w:sz="0" w:space="0" w:color="auto"/>
      </w:divBdr>
    </w:div>
    <w:div w:id="344719587">
      <w:bodyDiv w:val="1"/>
      <w:marLeft w:val="0"/>
      <w:marRight w:val="0"/>
      <w:marTop w:val="0"/>
      <w:marBottom w:val="0"/>
      <w:divBdr>
        <w:top w:val="none" w:sz="0" w:space="0" w:color="auto"/>
        <w:left w:val="none" w:sz="0" w:space="0" w:color="auto"/>
        <w:bottom w:val="none" w:sz="0" w:space="0" w:color="auto"/>
        <w:right w:val="none" w:sz="0" w:space="0" w:color="auto"/>
      </w:divBdr>
    </w:div>
    <w:div w:id="419646588">
      <w:bodyDiv w:val="1"/>
      <w:marLeft w:val="0"/>
      <w:marRight w:val="0"/>
      <w:marTop w:val="0"/>
      <w:marBottom w:val="0"/>
      <w:divBdr>
        <w:top w:val="none" w:sz="0" w:space="0" w:color="auto"/>
        <w:left w:val="none" w:sz="0" w:space="0" w:color="auto"/>
        <w:bottom w:val="none" w:sz="0" w:space="0" w:color="auto"/>
        <w:right w:val="none" w:sz="0" w:space="0" w:color="auto"/>
      </w:divBdr>
    </w:div>
    <w:div w:id="419955467">
      <w:bodyDiv w:val="1"/>
      <w:marLeft w:val="0"/>
      <w:marRight w:val="0"/>
      <w:marTop w:val="0"/>
      <w:marBottom w:val="0"/>
      <w:divBdr>
        <w:top w:val="none" w:sz="0" w:space="0" w:color="auto"/>
        <w:left w:val="none" w:sz="0" w:space="0" w:color="auto"/>
        <w:bottom w:val="none" w:sz="0" w:space="0" w:color="auto"/>
        <w:right w:val="none" w:sz="0" w:space="0" w:color="auto"/>
      </w:divBdr>
    </w:div>
    <w:div w:id="459421141">
      <w:bodyDiv w:val="1"/>
      <w:marLeft w:val="0"/>
      <w:marRight w:val="0"/>
      <w:marTop w:val="0"/>
      <w:marBottom w:val="0"/>
      <w:divBdr>
        <w:top w:val="none" w:sz="0" w:space="0" w:color="auto"/>
        <w:left w:val="none" w:sz="0" w:space="0" w:color="auto"/>
        <w:bottom w:val="none" w:sz="0" w:space="0" w:color="auto"/>
        <w:right w:val="none" w:sz="0" w:space="0" w:color="auto"/>
      </w:divBdr>
    </w:div>
    <w:div w:id="492723169">
      <w:bodyDiv w:val="1"/>
      <w:marLeft w:val="0"/>
      <w:marRight w:val="0"/>
      <w:marTop w:val="0"/>
      <w:marBottom w:val="0"/>
      <w:divBdr>
        <w:top w:val="none" w:sz="0" w:space="0" w:color="auto"/>
        <w:left w:val="none" w:sz="0" w:space="0" w:color="auto"/>
        <w:bottom w:val="none" w:sz="0" w:space="0" w:color="auto"/>
        <w:right w:val="none" w:sz="0" w:space="0" w:color="auto"/>
      </w:divBdr>
    </w:div>
    <w:div w:id="507600734">
      <w:bodyDiv w:val="1"/>
      <w:marLeft w:val="0"/>
      <w:marRight w:val="0"/>
      <w:marTop w:val="0"/>
      <w:marBottom w:val="0"/>
      <w:divBdr>
        <w:top w:val="none" w:sz="0" w:space="0" w:color="auto"/>
        <w:left w:val="none" w:sz="0" w:space="0" w:color="auto"/>
        <w:bottom w:val="none" w:sz="0" w:space="0" w:color="auto"/>
        <w:right w:val="none" w:sz="0" w:space="0" w:color="auto"/>
      </w:divBdr>
    </w:div>
    <w:div w:id="521867954">
      <w:bodyDiv w:val="1"/>
      <w:marLeft w:val="0"/>
      <w:marRight w:val="0"/>
      <w:marTop w:val="0"/>
      <w:marBottom w:val="0"/>
      <w:divBdr>
        <w:top w:val="none" w:sz="0" w:space="0" w:color="auto"/>
        <w:left w:val="none" w:sz="0" w:space="0" w:color="auto"/>
        <w:bottom w:val="none" w:sz="0" w:space="0" w:color="auto"/>
        <w:right w:val="none" w:sz="0" w:space="0" w:color="auto"/>
      </w:divBdr>
    </w:div>
    <w:div w:id="537201920">
      <w:bodyDiv w:val="1"/>
      <w:marLeft w:val="0"/>
      <w:marRight w:val="0"/>
      <w:marTop w:val="0"/>
      <w:marBottom w:val="0"/>
      <w:divBdr>
        <w:top w:val="none" w:sz="0" w:space="0" w:color="auto"/>
        <w:left w:val="none" w:sz="0" w:space="0" w:color="auto"/>
        <w:bottom w:val="none" w:sz="0" w:space="0" w:color="auto"/>
        <w:right w:val="none" w:sz="0" w:space="0" w:color="auto"/>
      </w:divBdr>
    </w:div>
    <w:div w:id="546602898">
      <w:bodyDiv w:val="1"/>
      <w:marLeft w:val="0"/>
      <w:marRight w:val="0"/>
      <w:marTop w:val="0"/>
      <w:marBottom w:val="0"/>
      <w:divBdr>
        <w:top w:val="none" w:sz="0" w:space="0" w:color="auto"/>
        <w:left w:val="none" w:sz="0" w:space="0" w:color="auto"/>
        <w:bottom w:val="none" w:sz="0" w:space="0" w:color="auto"/>
        <w:right w:val="none" w:sz="0" w:space="0" w:color="auto"/>
      </w:divBdr>
    </w:div>
    <w:div w:id="564148224">
      <w:bodyDiv w:val="1"/>
      <w:marLeft w:val="0"/>
      <w:marRight w:val="0"/>
      <w:marTop w:val="0"/>
      <w:marBottom w:val="0"/>
      <w:divBdr>
        <w:top w:val="none" w:sz="0" w:space="0" w:color="auto"/>
        <w:left w:val="none" w:sz="0" w:space="0" w:color="auto"/>
        <w:bottom w:val="none" w:sz="0" w:space="0" w:color="auto"/>
        <w:right w:val="none" w:sz="0" w:space="0" w:color="auto"/>
      </w:divBdr>
    </w:div>
    <w:div w:id="569268874">
      <w:bodyDiv w:val="1"/>
      <w:marLeft w:val="0"/>
      <w:marRight w:val="0"/>
      <w:marTop w:val="0"/>
      <w:marBottom w:val="0"/>
      <w:divBdr>
        <w:top w:val="none" w:sz="0" w:space="0" w:color="auto"/>
        <w:left w:val="none" w:sz="0" w:space="0" w:color="auto"/>
        <w:bottom w:val="none" w:sz="0" w:space="0" w:color="auto"/>
        <w:right w:val="none" w:sz="0" w:space="0" w:color="auto"/>
      </w:divBdr>
    </w:div>
    <w:div w:id="585459611">
      <w:bodyDiv w:val="1"/>
      <w:marLeft w:val="0"/>
      <w:marRight w:val="0"/>
      <w:marTop w:val="0"/>
      <w:marBottom w:val="0"/>
      <w:divBdr>
        <w:top w:val="none" w:sz="0" w:space="0" w:color="auto"/>
        <w:left w:val="none" w:sz="0" w:space="0" w:color="auto"/>
        <w:bottom w:val="none" w:sz="0" w:space="0" w:color="auto"/>
        <w:right w:val="none" w:sz="0" w:space="0" w:color="auto"/>
      </w:divBdr>
    </w:div>
    <w:div w:id="599876626">
      <w:bodyDiv w:val="1"/>
      <w:marLeft w:val="0"/>
      <w:marRight w:val="0"/>
      <w:marTop w:val="0"/>
      <w:marBottom w:val="0"/>
      <w:divBdr>
        <w:top w:val="none" w:sz="0" w:space="0" w:color="auto"/>
        <w:left w:val="none" w:sz="0" w:space="0" w:color="auto"/>
        <w:bottom w:val="none" w:sz="0" w:space="0" w:color="auto"/>
        <w:right w:val="none" w:sz="0" w:space="0" w:color="auto"/>
      </w:divBdr>
    </w:div>
    <w:div w:id="617297026">
      <w:bodyDiv w:val="1"/>
      <w:marLeft w:val="0"/>
      <w:marRight w:val="0"/>
      <w:marTop w:val="0"/>
      <w:marBottom w:val="0"/>
      <w:divBdr>
        <w:top w:val="none" w:sz="0" w:space="0" w:color="auto"/>
        <w:left w:val="none" w:sz="0" w:space="0" w:color="auto"/>
        <w:bottom w:val="none" w:sz="0" w:space="0" w:color="auto"/>
        <w:right w:val="none" w:sz="0" w:space="0" w:color="auto"/>
      </w:divBdr>
    </w:div>
    <w:div w:id="627781846">
      <w:bodyDiv w:val="1"/>
      <w:marLeft w:val="0"/>
      <w:marRight w:val="0"/>
      <w:marTop w:val="0"/>
      <w:marBottom w:val="0"/>
      <w:divBdr>
        <w:top w:val="none" w:sz="0" w:space="0" w:color="auto"/>
        <w:left w:val="none" w:sz="0" w:space="0" w:color="auto"/>
        <w:bottom w:val="none" w:sz="0" w:space="0" w:color="auto"/>
        <w:right w:val="none" w:sz="0" w:space="0" w:color="auto"/>
      </w:divBdr>
    </w:div>
    <w:div w:id="636951826">
      <w:bodyDiv w:val="1"/>
      <w:marLeft w:val="0"/>
      <w:marRight w:val="0"/>
      <w:marTop w:val="0"/>
      <w:marBottom w:val="0"/>
      <w:divBdr>
        <w:top w:val="none" w:sz="0" w:space="0" w:color="auto"/>
        <w:left w:val="none" w:sz="0" w:space="0" w:color="auto"/>
        <w:bottom w:val="none" w:sz="0" w:space="0" w:color="auto"/>
        <w:right w:val="none" w:sz="0" w:space="0" w:color="auto"/>
      </w:divBdr>
    </w:div>
    <w:div w:id="648904548">
      <w:bodyDiv w:val="1"/>
      <w:marLeft w:val="0"/>
      <w:marRight w:val="0"/>
      <w:marTop w:val="0"/>
      <w:marBottom w:val="0"/>
      <w:divBdr>
        <w:top w:val="none" w:sz="0" w:space="0" w:color="auto"/>
        <w:left w:val="none" w:sz="0" w:space="0" w:color="auto"/>
        <w:bottom w:val="none" w:sz="0" w:space="0" w:color="auto"/>
        <w:right w:val="none" w:sz="0" w:space="0" w:color="auto"/>
      </w:divBdr>
    </w:div>
    <w:div w:id="690492990">
      <w:bodyDiv w:val="1"/>
      <w:marLeft w:val="0"/>
      <w:marRight w:val="0"/>
      <w:marTop w:val="0"/>
      <w:marBottom w:val="0"/>
      <w:divBdr>
        <w:top w:val="none" w:sz="0" w:space="0" w:color="auto"/>
        <w:left w:val="none" w:sz="0" w:space="0" w:color="auto"/>
        <w:bottom w:val="none" w:sz="0" w:space="0" w:color="auto"/>
        <w:right w:val="none" w:sz="0" w:space="0" w:color="auto"/>
      </w:divBdr>
    </w:div>
    <w:div w:id="692998499">
      <w:bodyDiv w:val="1"/>
      <w:marLeft w:val="0"/>
      <w:marRight w:val="0"/>
      <w:marTop w:val="0"/>
      <w:marBottom w:val="0"/>
      <w:divBdr>
        <w:top w:val="none" w:sz="0" w:space="0" w:color="auto"/>
        <w:left w:val="none" w:sz="0" w:space="0" w:color="auto"/>
        <w:bottom w:val="none" w:sz="0" w:space="0" w:color="auto"/>
        <w:right w:val="none" w:sz="0" w:space="0" w:color="auto"/>
      </w:divBdr>
    </w:div>
    <w:div w:id="710614645">
      <w:bodyDiv w:val="1"/>
      <w:marLeft w:val="0"/>
      <w:marRight w:val="0"/>
      <w:marTop w:val="0"/>
      <w:marBottom w:val="0"/>
      <w:divBdr>
        <w:top w:val="none" w:sz="0" w:space="0" w:color="auto"/>
        <w:left w:val="none" w:sz="0" w:space="0" w:color="auto"/>
        <w:bottom w:val="none" w:sz="0" w:space="0" w:color="auto"/>
        <w:right w:val="none" w:sz="0" w:space="0" w:color="auto"/>
      </w:divBdr>
    </w:div>
    <w:div w:id="770511912">
      <w:bodyDiv w:val="1"/>
      <w:marLeft w:val="0"/>
      <w:marRight w:val="0"/>
      <w:marTop w:val="0"/>
      <w:marBottom w:val="0"/>
      <w:divBdr>
        <w:top w:val="none" w:sz="0" w:space="0" w:color="auto"/>
        <w:left w:val="none" w:sz="0" w:space="0" w:color="auto"/>
        <w:bottom w:val="none" w:sz="0" w:space="0" w:color="auto"/>
        <w:right w:val="none" w:sz="0" w:space="0" w:color="auto"/>
      </w:divBdr>
      <w:divsChild>
        <w:div w:id="412967504">
          <w:marLeft w:val="0"/>
          <w:marRight w:val="0"/>
          <w:marTop w:val="100"/>
          <w:marBottom w:val="100"/>
          <w:divBdr>
            <w:top w:val="none" w:sz="0" w:space="0" w:color="auto"/>
            <w:left w:val="none" w:sz="0" w:space="0" w:color="auto"/>
            <w:bottom w:val="none" w:sz="0" w:space="0" w:color="auto"/>
            <w:right w:val="none" w:sz="0" w:space="0" w:color="auto"/>
          </w:divBdr>
          <w:divsChild>
            <w:div w:id="1572810189">
              <w:marLeft w:val="0"/>
              <w:marRight w:val="0"/>
              <w:marTop w:val="0"/>
              <w:marBottom w:val="0"/>
              <w:divBdr>
                <w:top w:val="none" w:sz="0" w:space="0" w:color="auto"/>
                <w:left w:val="single" w:sz="18" w:space="0" w:color="EDEDED"/>
                <w:bottom w:val="single" w:sz="18" w:space="0" w:color="EDEDED"/>
                <w:right w:val="single" w:sz="18" w:space="0" w:color="EDEDED"/>
              </w:divBdr>
              <w:divsChild>
                <w:div w:id="1813332425">
                  <w:marLeft w:val="0"/>
                  <w:marRight w:val="0"/>
                  <w:marTop w:val="0"/>
                  <w:marBottom w:val="0"/>
                  <w:divBdr>
                    <w:top w:val="none" w:sz="0" w:space="0" w:color="auto"/>
                    <w:left w:val="none" w:sz="0" w:space="0" w:color="auto"/>
                    <w:bottom w:val="none" w:sz="0" w:space="0" w:color="auto"/>
                    <w:right w:val="none" w:sz="0" w:space="0" w:color="auto"/>
                  </w:divBdr>
                  <w:divsChild>
                    <w:div w:id="1913539118">
                      <w:marLeft w:val="0"/>
                      <w:marRight w:val="0"/>
                      <w:marTop w:val="0"/>
                      <w:marBottom w:val="360"/>
                      <w:divBdr>
                        <w:top w:val="none" w:sz="0" w:space="0" w:color="auto"/>
                        <w:left w:val="none" w:sz="0" w:space="0" w:color="auto"/>
                        <w:bottom w:val="none" w:sz="0" w:space="0" w:color="auto"/>
                        <w:right w:val="none" w:sz="0" w:space="0" w:color="auto"/>
                      </w:divBdr>
                      <w:divsChild>
                        <w:div w:id="6903767">
                          <w:marLeft w:val="0"/>
                          <w:marRight w:val="0"/>
                          <w:marTop w:val="0"/>
                          <w:marBottom w:val="0"/>
                          <w:divBdr>
                            <w:top w:val="none" w:sz="0" w:space="0" w:color="auto"/>
                            <w:left w:val="none" w:sz="0" w:space="0" w:color="auto"/>
                            <w:bottom w:val="none" w:sz="0" w:space="0" w:color="auto"/>
                            <w:right w:val="none" w:sz="0" w:space="0" w:color="auto"/>
                          </w:divBdr>
                          <w:divsChild>
                            <w:div w:id="1449200450">
                              <w:marLeft w:val="0"/>
                              <w:marRight w:val="0"/>
                              <w:marTop w:val="0"/>
                              <w:marBottom w:val="0"/>
                              <w:divBdr>
                                <w:top w:val="none" w:sz="0" w:space="0" w:color="auto"/>
                                <w:left w:val="none" w:sz="0" w:space="0" w:color="auto"/>
                                <w:bottom w:val="none" w:sz="0" w:space="0" w:color="auto"/>
                                <w:right w:val="none" w:sz="0" w:space="0" w:color="auto"/>
                              </w:divBdr>
                              <w:divsChild>
                                <w:div w:id="10878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067453">
      <w:bodyDiv w:val="1"/>
      <w:marLeft w:val="0"/>
      <w:marRight w:val="0"/>
      <w:marTop w:val="0"/>
      <w:marBottom w:val="0"/>
      <w:divBdr>
        <w:top w:val="none" w:sz="0" w:space="0" w:color="auto"/>
        <w:left w:val="none" w:sz="0" w:space="0" w:color="auto"/>
        <w:bottom w:val="none" w:sz="0" w:space="0" w:color="auto"/>
        <w:right w:val="none" w:sz="0" w:space="0" w:color="auto"/>
      </w:divBdr>
    </w:div>
    <w:div w:id="815413424">
      <w:bodyDiv w:val="1"/>
      <w:marLeft w:val="0"/>
      <w:marRight w:val="0"/>
      <w:marTop w:val="0"/>
      <w:marBottom w:val="0"/>
      <w:divBdr>
        <w:top w:val="none" w:sz="0" w:space="0" w:color="auto"/>
        <w:left w:val="none" w:sz="0" w:space="0" w:color="auto"/>
        <w:bottom w:val="none" w:sz="0" w:space="0" w:color="auto"/>
        <w:right w:val="none" w:sz="0" w:space="0" w:color="auto"/>
      </w:divBdr>
    </w:div>
    <w:div w:id="830022758">
      <w:bodyDiv w:val="1"/>
      <w:marLeft w:val="0"/>
      <w:marRight w:val="0"/>
      <w:marTop w:val="0"/>
      <w:marBottom w:val="0"/>
      <w:divBdr>
        <w:top w:val="none" w:sz="0" w:space="0" w:color="auto"/>
        <w:left w:val="none" w:sz="0" w:space="0" w:color="auto"/>
        <w:bottom w:val="none" w:sz="0" w:space="0" w:color="auto"/>
        <w:right w:val="none" w:sz="0" w:space="0" w:color="auto"/>
      </w:divBdr>
    </w:div>
    <w:div w:id="840121473">
      <w:bodyDiv w:val="1"/>
      <w:marLeft w:val="0"/>
      <w:marRight w:val="0"/>
      <w:marTop w:val="0"/>
      <w:marBottom w:val="0"/>
      <w:divBdr>
        <w:top w:val="none" w:sz="0" w:space="0" w:color="auto"/>
        <w:left w:val="none" w:sz="0" w:space="0" w:color="auto"/>
        <w:bottom w:val="none" w:sz="0" w:space="0" w:color="auto"/>
        <w:right w:val="none" w:sz="0" w:space="0" w:color="auto"/>
      </w:divBdr>
    </w:div>
    <w:div w:id="858735487">
      <w:bodyDiv w:val="1"/>
      <w:marLeft w:val="0"/>
      <w:marRight w:val="0"/>
      <w:marTop w:val="0"/>
      <w:marBottom w:val="0"/>
      <w:divBdr>
        <w:top w:val="none" w:sz="0" w:space="0" w:color="auto"/>
        <w:left w:val="none" w:sz="0" w:space="0" w:color="auto"/>
        <w:bottom w:val="none" w:sz="0" w:space="0" w:color="auto"/>
        <w:right w:val="none" w:sz="0" w:space="0" w:color="auto"/>
      </w:divBdr>
    </w:div>
    <w:div w:id="875653586">
      <w:bodyDiv w:val="1"/>
      <w:marLeft w:val="0"/>
      <w:marRight w:val="0"/>
      <w:marTop w:val="0"/>
      <w:marBottom w:val="0"/>
      <w:divBdr>
        <w:top w:val="none" w:sz="0" w:space="0" w:color="auto"/>
        <w:left w:val="none" w:sz="0" w:space="0" w:color="auto"/>
        <w:bottom w:val="none" w:sz="0" w:space="0" w:color="auto"/>
        <w:right w:val="none" w:sz="0" w:space="0" w:color="auto"/>
      </w:divBdr>
    </w:div>
    <w:div w:id="916675077">
      <w:bodyDiv w:val="1"/>
      <w:marLeft w:val="0"/>
      <w:marRight w:val="0"/>
      <w:marTop w:val="0"/>
      <w:marBottom w:val="0"/>
      <w:divBdr>
        <w:top w:val="none" w:sz="0" w:space="0" w:color="auto"/>
        <w:left w:val="none" w:sz="0" w:space="0" w:color="auto"/>
        <w:bottom w:val="none" w:sz="0" w:space="0" w:color="auto"/>
        <w:right w:val="none" w:sz="0" w:space="0" w:color="auto"/>
      </w:divBdr>
    </w:div>
    <w:div w:id="920456107">
      <w:bodyDiv w:val="1"/>
      <w:marLeft w:val="0"/>
      <w:marRight w:val="0"/>
      <w:marTop w:val="0"/>
      <w:marBottom w:val="0"/>
      <w:divBdr>
        <w:top w:val="none" w:sz="0" w:space="0" w:color="auto"/>
        <w:left w:val="none" w:sz="0" w:space="0" w:color="auto"/>
        <w:bottom w:val="none" w:sz="0" w:space="0" w:color="auto"/>
        <w:right w:val="none" w:sz="0" w:space="0" w:color="auto"/>
      </w:divBdr>
    </w:div>
    <w:div w:id="981546311">
      <w:bodyDiv w:val="1"/>
      <w:marLeft w:val="0"/>
      <w:marRight w:val="0"/>
      <w:marTop w:val="0"/>
      <w:marBottom w:val="0"/>
      <w:divBdr>
        <w:top w:val="none" w:sz="0" w:space="0" w:color="auto"/>
        <w:left w:val="none" w:sz="0" w:space="0" w:color="auto"/>
        <w:bottom w:val="none" w:sz="0" w:space="0" w:color="auto"/>
        <w:right w:val="none" w:sz="0" w:space="0" w:color="auto"/>
      </w:divBdr>
      <w:divsChild>
        <w:div w:id="1522085853">
          <w:marLeft w:val="0"/>
          <w:marRight w:val="0"/>
          <w:marTop w:val="0"/>
          <w:marBottom w:val="0"/>
          <w:divBdr>
            <w:top w:val="none" w:sz="0" w:space="0" w:color="auto"/>
            <w:left w:val="none" w:sz="0" w:space="0" w:color="auto"/>
            <w:bottom w:val="none" w:sz="0" w:space="0" w:color="auto"/>
            <w:right w:val="none" w:sz="0" w:space="0" w:color="auto"/>
          </w:divBdr>
          <w:divsChild>
            <w:div w:id="1519156435">
              <w:marLeft w:val="0"/>
              <w:marRight w:val="0"/>
              <w:marTop w:val="0"/>
              <w:marBottom w:val="0"/>
              <w:divBdr>
                <w:top w:val="none" w:sz="0" w:space="0" w:color="auto"/>
                <w:left w:val="none" w:sz="0" w:space="0" w:color="auto"/>
                <w:bottom w:val="none" w:sz="0" w:space="0" w:color="auto"/>
                <w:right w:val="none" w:sz="0" w:space="0" w:color="auto"/>
              </w:divBdr>
              <w:divsChild>
                <w:div w:id="580407144">
                  <w:marLeft w:val="0"/>
                  <w:marRight w:val="0"/>
                  <w:marTop w:val="0"/>
                  <w:marBottom w:val="0"/>
                  <w:divBdr>
                    <w:top w:val="none" w:sz="0" w:space="0" w:color="auto"/>
                    <w:left w:val="none" w:sz="0" w:space="0" w:color="auto"/>
                    <w:bottom w:val="none" w:sz="0" w:space="0" w:color="auto"/>
                    <w:right w:val="none" w:sz="0" w:space="0" w:color="auto"/>
                  </w:divBdr>
                </w:div>
                <w:div w:id="1257403753">
                  <w:marLeft w:val="0"/>
                  <w:marRight w:val="0"/>
                  <w:marTop w:val="0"/>
                  <w:marBottom w:val="0"/>
                  <w:divBdr>
                    <w:top w:val="none" w:sz="0" w:space="0" w:color="auto"/>
                    <w:left w:val="none" w:sz="0" w:space="0" w:color="auto"/>
                    <w:bottom w:val="none" w:sz="0" w:space="0" w:color="auto"/>
                    <w:right w:val="none" w:sz="0" w:space="0" w:color="auto"/>
                  </w:divBdr>
                </w:div>
                <w:div w:id="1539010037">
                  <w:marLeft w:val="0"/>
                  <w:marRight w:val="0"/>
                  <w:marTop w:val="0"/>
                  <w:marBottom w:val="0"/>
                  <w:divBdr>
                    <w:top w:val="none" w:sz="0" w:space="0" w:color="auto"/>
                    <w:left w:val="none" w:sz="0" w:space="0" w:color="auto"/>
                    <w:bottom w:val="none" w:sz="0" w:space="0" w:color="auto"/>
                    <w:right w:val="none" w:sz="0" w:space="0" w:color="auto"/>
                  </w:divBdr>
                </w:div>
                <w:div w:id="1751851550">
                  <w:marLeft w:val="0"/>
                  <w:marRight w:val="0"/>
                  <w:marTop w:val="0"/>
                  <w:marBottom w:val="0"/>
                  <w:divBdr>
                    <w:top w:val="none" w:sz="0" w:space="0" w:color="auto"/>
                    <w:left w:val="none" w:sz="0" w:space="0" w:color="auto"/>
                    <w:bottom w:val="none" w:sz="0" w:space="0" w:color="auto"/>
                    <w:right w:val="none" w:sz="0" w:space="0" w:color="auto"/>
                  </w:divBdr>
                </w:div>
                <w:div w:id="1757288161">
                  <w:marLeft w:val="0"/>
                  <w:marRight w:val="0"/>
                  <w:marTop w:val="0"/>
                  <w:marBottom w:val="0"/>
                  <w:divBdr>
                    <w:top w:val="none" w:sz="0" w:space="0" w:color="auto"/>
                    <w:left w:val="none" w:sz="0" w:space="0" w:color="auto"/>
                    <w:bottom w:val="none" w:sz="0" w:space="0" w:color="auto"/>
                    <w:right w:val="none" w:sz="0" w:space="0" w:color="auto"/>
                  </w:divBdr>
                </w:div>
                <w:div w:id="1988583781">
                  <w:marLeft w:val="0"/>
                  <w:marRight w:val="0"/>
                  <w:marTop w:val="0"/>
                  <w:marBottom w:val="0"/>
                  <w:divBdr>
                    <w:top w:val="none" w:sz="0" w:space="0" w:color="auto"/>
                    <w:left w:val="none" w:sz="0" w:space="0" w:color="auto"/>
                    <w:bottom w:val="none" w:sz="0" w:space="0" w:color="auto"/>
                    <w:right w:val="none" w:sz="0" w:space="0" w:color="auto"/>
                  </w:divBdr>
                </w:div>
                <w:div w:id="2028368061">
                  <w:marLeft w:val="0"/>
                  <w:marRight w:val="0"/>
                  <w:marTop w:val="0"/>
                  <w:marBottom w:val="0"/>
                  <w:divBdr>
                    <w:top w:val="none" w:sz="0" w:space="0" w:color="auto"/>
                    <w:left w:val="none" w:sz="0" w:space="0" w:color="auto"/>
                    <w:bottom w:val="none" w:sz="0" w:space="0" w:color="auto"/>
                    <w:right w:val="none" w:sz="0" w:space="0" w:color="auto"/>
                  </w:divBdr>
                </w:div>
                <w:div w:id="213301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0185">
      <w:bodyDiv w:val="1"/>
      <w:marLeft w:val="0"/>
      <w:marRight w:val="0"/>
      <w:marTop w:val="0"/>
      <w:marBottom w:val="0"/>
      <w:divBdr>
        <w:top w:val="none" w:sz="0" w:space="0" w:color="auto"/>
        <w:left w:val="none" w:sz="0" w:space="0" w:color="auto"/>
        <w:bottom w:val="none" w:sz="0" w:space="0" w:color="auto"/>
        <w:right w:val="none" w:sz="0" w:space="0" w:color="auto"/>
      </w:divBdr>
    </w:div>
    <w:div w:id="1038311411">
      <w:bodyDiv w:val="1"/>
      <w:marLeft w:val="0"/>
      <w:marRight w:val="0"/>
      <w:marTop w:val="0"/>
      <w:marBottom w:val="0"/>
      <w:divBdr>
        <w:top w:val="none" w:sz="0" w:space="0" w:color="auto"/>
        <w:left w:val="none" w:sz="0" w:space="0" w:color="auto"/>
        <w:bottom w:val="none" w:sz="0" w:space="0" w:color="auto"/>
        <w:right w:val="none" w:sz="0" w:space="0" w:color="auto"/>
      </w:divBdr>
    </w:div>
    <w:div w:id="1050812135">
      <w:bodyDiv w:val="1"/>
      <w:marLeft w:val="0"/>
      <w:marRight w:val="0"/>
      <w:marTop w:val="0"/>
      <w:marBottom w:val="0"/>
      <w:divBdr>
        <w:top w:val="none" w:sz="0" w:space="0" w:color="auto"/>
        <w:left w:val="none" w:sz="0" w:space="0" w:color="auto"/>
        <w:bottom w:val="none" w:sz="0" w:space="0" w:color="auto"/>
        <w:right w:val="none" w:sz="0" w:space="0" w:color="auto"/>
      </w:divBdr>
    </w:div>
    <w:div w:id="1058554627">
      <w:bodyDiv w:val="1"/>
      <w:marLeft w:val="0"/>
      <w:marRight w:val="0"/>
      <w:marTop w:val="0"/>
      <w:marBottom w:val="0"/>
      <w:divBdr>
        <w:top w:val="none" w:sz="0" w:space="0" w:color="auto"/>
        <w:left w:val="none" w:sz="0" w:space="0" w:color="auto"/>
        <w:bottom w:val="none" w:sz="0" w:space="0" w:color="auto"/>
        <w:right w:val="none" w:sz="0" w:space="0" w:color="auto"/>
      </w:divBdr>
    </w:div>
    <w:div w:id="1125924389">
      <w:bodyDiv w:val="1"/>
      <w:marLeft w:val="0"/>
      <w:marRight w:val="0"/>
      <w:marTop w:val="0"/>
      <w:marBottom w:val="0"/>
      <w:divBdr>
        <w:top w:val="none" w:sz="0" w:space="0" w:color="auto"/>
        <w:left w:val="none" w:sz="0" w:space="0" w:color="auto"/>
        <w:bottom w:val="none" w:sz="0" w:space="0" w:color="auto"/>
        <w:right w:val="none" w:sz="0" w:space="0" w:color="auto"/>
      </w:divBdr>
      <w:divsChild>
        <w:div w:id="1162965098">
          <w:marLeft w:val="0"/>
          <w:marRight w:val="0"/>
          <w:marTop w:val="0"/>
          <w:marBottom w:val="0"/>
          <w:divBdr>
            <w:top w:val="none" w:sz="0" w:space="0" w:color="auto"/>
            <w:left w:val="none" w:sz="0" w:space="0" w:color="auto"/>
            <w:bottom w:val="none" w:sz="0" w:space="0" w:color="auto"/>
            <w:right w:val="none" w:sz="0" w:space="0" w:color="auto"/>
          </w:divBdr>
          <w:divsChild>
            <w:div w:id="1072502133">
              <w:marLeft w:val="0"/>
              <w:marRight w:val="0"/>
              <w:marTop w:val="0"/>
              <w:marBottom w:val="0"/>
              <w:divBdr>
                <w:top w:val="none" w:sz="0" w:space="0" w:color="auto"/>
                <w:left w:val="none" w:sz="0" w:space="0" w:color="auto"/>
                <w:bottom w:val="none" w:sz="0" w:space="0" w:color="auto"/>
                <w:right w:val="none" w:sz="0" w:space="0" w:color="auto"/>
              </w:divBdr>
              <w:divsChild>
                <w:div w:id="2107185622">
                  <w:marLeft w:val="0"/>
                  <w:marRight w:val="0"/>
                  <w:marTop w:val="0"/>
                  <w:marBottom w:val="0"/>
                  <w:divBdr>
                    <w:top w:val="none" w:sz="0" w:space="0" w:color="auto"/>
                    <w:left w:val="none" w:sz="0" w:space="0" w:color="auto"/>
                    <w:bottom w:val="none" w:sz="0" w:space="0" w:color="auto"/>
                    <w:right w:val="none" w:sz="0" w:space="0" w:color="auto"/>
                  </w:divBdr>
                  <w:divsChild>
                    <w:div w:id="437606823">
                      <w:marLeft w:val="0"/>
                      <w:marRight w:val="0"/>
                      <w:marTop w:val="0"/>
                      <w:marBottom w:val="0"/>
                      <w:divBdr>
                        <w:top w:val="none" w:sz="0" w:space="0" w:color="auto"/>
                        <w:left w:val="none" w:sz="0" w:space="0" w:color="auto"/>
                        <w:bottom w:val="none" w:sz="0" w:space="0" w:color="auto"/>
                        <w:right w:val="none" w:sz="0" w:space="0" w:color="auto"/>
                      </w:divBdr>
                      <w:divsChild>
                        <w:div w:id="36637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403317">
      <w:bodyDiv w:val="1"/>
      <w:marLeft w:val="0"/>
      <w:marRight w:val="0"/>
      <w:marTop w:val="0"/>
      <w:marBottom w:val="0"/>
      <w:divBdr>
        <w:top w:val="none" w:sz="0" w:space="0" w:color="auto"/>
        <w:left w:val="none" w:sz="0" w:space="0" w:color="auto"/>
        <w:bottom w:val="none" w:sz="0" w:space="0" w:color="auto"/>
        <w:right w:val="none" w:sz="0" w:space="0" w:color="auto"/>
      </w:divBdr>
      <w:divsChild>
        <w:div w:id="2146501651">
          <w:marLeft w:val="0"/>
          <w:marRight w:val="0"/>
          <w:marTop w:val="0"/>
          <w:marBottom w:val="0"/>
          <w:divBdr>
            <w:top w:val="none" w:sz="0" w:space="0" w:color="auto"/>
            <w:left w:val="none" w:sz="0" w:space="0" w:color="auto"/>
            <w:bottom w:val="none" w:sz="0" w:space="0" w:color="auto"/>
            <w:right w:val="none" w:sz="0" w:space="0" w:color="auto"/>
          </w:divBdr>
          <w:divsChild>
            <w:div w:id="2024087804">
              <w:marLeft w:val="0"/>
              <w:marRight w:val="0"/>
              <w:marTop w:val="0"/>
              <w:marBottom w:val="0"/>
              <w:divBdr>
                <w:top w:val="none" w:sz="0" w:space="0" w:color="auto"/>
                <w:left w:val="none" w:sz="0" w:space="0" w:color="auto"/>
                <w:bottom w:val="none" w:sz="0" w:space="0" w:color="auto"/>
                <w:right w:val="none" w:sz="0" w:space="0" w:color="auto"/>
              </w:divBdr>
              <w:divsChild>
                <w:div w:id="663778762">
                  <w:marLeft w:val="0"/>
                  <w:marRight w:val="0"/>
                  <w:marTop w:val="0"/>
                  <w:marBottom w:val="0"/>
                  <w:divBdr>
                    <w:top w:val="none" w:sz="0" w:space="0" w:color="auto"/>
                    <w:left w:val="none" w:sz="0" w:space="0" w:color="auto"/>
                    <w:bottom w:val="none" w:sz="0" w:space="0" w:color="auto"/>
                    <w:right w:val="none" w:sz="0" w:space="0" w:color="auto"/>
                  </w:divBdr>
                  <w:divsChild>
                    <w:div w:id="548421124">
                      <w:marLeft w:val="0"/>
                      <w:marRight w:val="0"/>
                      <w:marTop w:val="0"/>
                      <w:marBottom w:val="0"/>
                      <w:divBdr>
                        <w:top w:val="none" w:sz="0" w:space="0" w:color="auto"/>
                        <w:left w:val="none" w:sz="0" w:space="0" w:color="auto"/>
                        <w:bottom w:val="none" w:sz="0" w:space="0" w:color="auto"/>
                        <w:right w:val="none" w:sz="0" w:space="0" w:color="auto"/>
                      </w:divBdr>
                      <w:divsChild>
                        <w:div w:id="1586265071">
                          <w:marLeft w:val="0"/>
                          <w:marRight w:val="0"/>
                          <w:marTop w:val="0"/>
                          <w:marBottom w:val="0"/>
                          <w:divBdr>
                            <w:top w:val="none" w:sz="0" w:space="0" w:color="auto"/>
                            <w:left w:val="none" w:sz="0" w:space="0" w:color="auto"/>
                            <w:bottom w:val="none" w:sz="0" w:space="0" w:color="auto"/>
                            <w:right w:val="none" w:sz="0" w:space="0" w:color="auto"/>
                          </w:divBdr>
                          <w:divsChild>
                            <w:div w:id="1730568965">
                              <w:marLeft w:val="0"/>
                              <w:marRight w:val="0"/>
                              <w:marTop w:val="0"/>
                              <w:marBottom w:val="0"/>
                              <w:divBdr>
                                <w:top w:val="none" w:sz="0" w:space="0" w:color="auto"/>
                                <w:left w:val="none" w:sz="0" w:space="0" w:color="auto"/>
                                <w:bottom w:val="none" w:sz="0" w:space="0" w:color="auto"/>
                                <w:right w:val="none" w:sz="0" w:space="0" w:color="auto"/>
                              </w:divBdr>
                              <w:divsChild>
                                <w:div w:id="494953168">
                                  <w:marLeft w:val="0"/>
                                  <w:marRight w:val="0"/>
                                  <w:marTop w:val="0"/>
                                  <w:marBottom w:val="0"/>
                                  <w:divBdr>
                                    <w:top w:val="none" w:sz="0" w:space="0" w:color="auto"/>
                                    <w:left w:val="none" w:sz="0" w:space="0" w:color="auto"/>
                                    <w:bottom w:val="none" w:sz="0" w:space="0" w:color="auto"/>
                                    <w:right w:val="none" w:sz="0" w:space="0" w:color="auto"/>
                                  </w:divBdr>
                                  <w:divsChild>
                                    <w:div w:id="1164005212">
                                      <w:marLeft w:val="0"/>
                                      <w:marRight w:val="0"/>
                                      <w:marTop w:val="0"/>
                                      <w:marBottom w:val="0"/>
                                      <w:divBdr>
                                        <w:top w:val="none" w:sz="0" w:space="0" w:color="auto"/>
                                        <w:left w:val="none" w:sz="0" w:space="0" w:color="auto"/>
                                        <w:bottom w:val="none" w:sz="0" w:space="0" w:color="auto"/>
                                        <w:right w:val="none" w:sz="0" w:space="0" w:color="auto"/>
                                      </w:divBdr>
                                      <w:divsChild>
                                        <w:div w:id="1539270355">
                                          <w:marLeft w:val="0"/>
                                          <w:marRight w:val="0"/>
                                          <w:marTop w:val="0"/>
                                          <w:marBottom w:val="0"/>
                                          <w:divBdr>
                                            <w:top w:val="none" w:sz="0" w:space="0" w:color="auto"/>
                                            <w:left w:val="none" w:sz="0" w:space="0" w:color="auto"/>
                                            <w:bottom w:val="none" w:sz="0" w:space="0" w:color="auto"/>
                                            <w:right w:val="none" w:sz="0" w:space="0" w:color="auto"/>
                                          </w:divBdr>
                                          <w:divsChild>
                                            <w:div w:id="316498213">
                                              <w:marLeft w:val="0"/>
                                              <w:marRight w:val="0"/>
                                              <w:marTop w:val="0"/>
                                              <w:marBottom w:val="0"/>
                                              <w:divBdr>
                                                <w:top w:val="none" w:sz="0" w:space="0" w:color="auto"/>
                                                <w:left w:val="none" w:sz="0" w:space="0" w:color="auto"/>
                                                <w:bottom w:val="none" w:sz="0" w:space="0" w:color="auto"/>
                                                <w:right w:val="none" w:sz="0" w:space="0" w:color="auto"/>
                                              </w:divBdr>
                                              <w:divsChild>
                                                <w:div w:id="1630934735">
                                                  <w:marLeft w:val="0"/>
                                                  <w:marRight w:val="0"/>
                                                  <w:marTop w:val="0"/>
                                                  <w:marBottom w:val="0"/>
                                                  <w:divBdr>
                                                    <w:top w:val="none" w:sz="0" w:space="0" w:color="auto"/>
                                                    <w:left w:val="none" w:sz="0" w:space="0" w:color="auto"/>
                                                    <w:bottom w:val="none" w:sz="0" w:space="0" w:color="auto"/>
                                                    <w:right w:val="none" w:sz="0" w:space="0" w:color="auto"/>
                                                  </w:divBdr>
                                                  <w:divsChild>
                                                    <w:div w:id="738670562">
                                                      <w:marLeft w:val="0"/>
                                                      <w:marRight w:val="0"/>
                                                      <w:marTop w:val="0"/>
                                                      <w:marBottom w:val="0"/>
                                                      <w:divBdr>
                                                        <w:top w:val="none" w:sz="0" w:space="0" w:color="auto"/>
                                                        <w:left w:val="none" w:sz="0" w:space="0" w:color="auto"/>
                                                        <w:bottom w:val="none" w:sz="0" w:space="0" w:color="auto"/>
                                                        <w:right w:val="none" w:sz="0" w:space="0" w:color="auto"/>
                                                      </w:divBdr>
                                                      <w:divsChild>
                                                        <w:div w:id="194171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8711576">
      <w:bodyDiv w:val="1"/>
      <w:marLeft w:val="0"/>
      <w:marRight w:val="0"/>
      <w:marTop w:val="0"/>
      <w:marBottom w:val="0"/>
      <w:divBdr>
        <w:top w:val="none" w:sz="0" w:space="0" w:color="auto"/>
        <w:left w:val="none" w:sz="0" w:space="0" w:color="auto"/>
        <w:bottom w:val="none" w:sz="0" w:space="0" w:color="auto"/>
        <w:right w:val="none" w:sz="0" w:space="0" w:color="auto"/>
      </w:divBdr>
    </w:div>
    <w:div w:id="1176194521">
      <w:bodyDiv w:val="1"/>
      <w:marLeft w:val="0"/>
      <w:marRight w:val="0"/>
      <w:marTop w:val="0"/>
      <w:marBottom w:val="0"/>
      <w:divBdr>
        <w:top w:val="none" w:sz="0" w:space="0" w:color="auto"/>
        <w:left w:val="none" w:sz="0" w:space="0" w:color="auto"/>
        <w:bottom w:val="none" w:sz="0" w:space="0" w:color="auto"/>
        <w:right w:val="none" w:sz="0" w:space="0" w:color="auto"/>
      </w:divBdr>
    </w:div>
    <w:div w:id="1237671158">
      <w:bodyDiv w:val="1"/>
      <w:marLeft w:val="0"/>
      <w:marRight w:val="0"/>
      <w:marTop w:val="0"/>
      <w:marBottom w:val="0"/>
      <w:divBdr>
        <w:top w:val="none" w:sz="0" w:space="0" w:color="auto"/>
        <w:left w:val="none" w:sz="0" w:space="0" w:color="auto"/>
        <w:bottom w:val="none" w:sz="0" w:space="0" w:color="auto"/>
        <w:right w:val="none" w:sz="0" w:space="0" w:color="auto"/>
      </w:divBdr>
    </w:div>
    <w:div w:id="1238252203">
      <w:bodyDiv w:val="1"/>
      <w:marLeft w:val="0"/>
      <w:marRight w:val="0"/>
      <w:marTop w:val="0"/>
      <w:marBottom w:val="0"/>
      <w:divBdr>
        <w:top w:val="none" w:sz="0" w:space="0" w:color="auto"/>
        <w:left w:val="none" w:sz="0" w:space="0" w:color="auto"/>
        <w:bottom w:val="none" w:sz="0" w:space="0" w:color="auto"/>
        <w:right w:val="none" w:sz="0" w:space="0" w:color="auto"/>
      </w:divBdr>
    </w:div>
    <w:div w:id="1274896006">
      <w:bodyDiv w:val="1"/>
      <w:marLeft w:val="0"/>
      <w:marRight w:val="0"/>
      <w:marTop w:val="0"/>
      <w:marBottom w:val="0"/>
      <w:divBdr>
        <w:top w:val="none" w:sz="0" w:space="0" w:color="auto"/>
        <w:left w:val="none" w:sz="0" w:space="0" w:color="auto"/>
        <w:bottom w:val="none" w:sz="0" w:space="0" w:color="auto"/>
        <w:right w:val="none" w:sz="0" w:space="0" w:color="auto"/>
      </w:divBdr>
    </w:div>
    <w:div w:id="1275136842">
      <w:bodyDiv w:val="1"/>
      <w:marLeft w:val="0"/>
      <w:marRight w:val="0"/>
      <w:marTop w:val="0"/>
      <w:marBottom w:val="0"/>
      <w:divBdr>
        <w:top w:val="none" w:sz="0" w:space="0" w:color="auto"/>
        <w:left w:val="none" w:sz="0" w:space="0" w:color="auto"/>
        <w:bottom w:val="none" w:sz="0" w:space="0" w:color="auto"/>
        <w:right w:val="none" w:sz="0" w:space="0" w:color="auto"/>
      </w:divBdr>
    </w:div>
    <w:div w:id="1287543905">
      <w:bodyDiv w:val="1"/>
      <w:marLeft w:val="0"/>
      <w:marRight w:val="0"/>
      <w:marTop w:val="0"/>
      <w:marBottom w:val="0"/>
      <w:divBdr>
        <w:top w:val="none" w:sz="0" w:space="0" w:color="auto"/>
        <w:left w:val="none" w:sz="0" w:space="0" w:color="auto"/>
        <w:bottom w:val="none" w:sz="0" w:space="0" w:color="auto"/>
        <w:right w:val="none" w:sz="0" w:space="0" w:color="auto"/>
      </w:divBdr>
    </w:div>
    <w:div w:id="1304389520">
      <w:bodyDiv w:val="1"/>
      <w:marLeft w:val="0"/>
      <w:marRight w:val="0"/>
      <w:marTop w:val="0"/>
      <w:marBottom w:val="0"/>
      <w:divBdr>
        <w:top w:val="none" w:sz="0" w:space="0" w:color="auto"/>
        <w:left w:val="none" w:sz="0" w:space="0" w:color="auto"/>
        <w:bottom w:val="none" w:sz="0" w:space="0" w:color="auto"/>
        <w:right w:val="none" w:sz="0" w:space="0" w:color="auto"/>
      </w:divBdr>
    </w:div>
    <w:div w:id="1373727754">
      <w:bodyDiv w:val="1"/>
      <w:marLeft w:val="0"/>
      <w:marRight w:val="0"/>
      <w:marTop w:val="0"/>
      <w:marBottom w:val="0"/>
      <w:divBdr>
        <w:top w:val="none" w:sz="0" w:space="0" w:color="auto"/>
        <w:left w:val="none" w:sz="0" w:space="0" w:color="auto"/>
        <w:bottom w:val="none" w:sz="0" w:space="0" w:color="auto"/>
        <w:right w:val="none" w:sz="0" w:space="0" w:color="auto"/>
      </w:divBdr>
    </w:div>
    <w:div w:id="1408961931">
      <w:bodyDiv w:val="1"/>
      <w:marLeft w:val="0"/>
      <w:marRight w:val="0"/>
      <w:marTop w:val="0"/>
      <w:marBottom w:val="0"/>
      <w:divBdr>
        <w:top w:val="none" w:sz="0" w:space="0" w:color="auto"/>
        <w:left w:val="none" w:sz="0" w:space="0" w:color="auto"/>
        <w:bottom w:val="none" w:sz="0" w:space="0" w:color="auto"/>
        <w:right w:val="none" w:sz="0" w:space="0" w:color="auto"/>
      </w:divBdr>
    </w:div>
    <w:div w:id="1487816173">
      <w:bodyDiv w:val="1"/>
      <w:marLeft w:val="0"/>
      <w:marRight w:val="0"/>
      <w:marTop w:val="0"/>
      <w:marBottom w:val="0"/>
      <w:divBdr>
        <w:top w:val="none" w:sz="0" w:space="0" w:color="auto"/>
        <w:left w:val="none" w:sz="0" w:space="0" w:color="auto"/>
        <w:bottom w:val="none" w:sz="0" w:space="0" w:color="auto"/>
        <w:right w:val="none" w:sz="0" w:space="0" w:color="auto"/>
      </w:divBdr>
    </w:div>
    <w:div w:id="1542329437">
      <w:bodyDiv w:val="1"/>
      <w:marLeft w:val="0"/>
      <w:marRight w:val="0"/>
      <w:marTop w:val="0"/>
      <w:marBottom w:val="0"/>
      <w:divBdr>
        <w:top w:val="none" w:sz="0" w:space="0" w:color="auto"/>
        <w:left w:val="none" w:sz="0" w:space="0" w:color="auto"/>
        <w:bottom w:val="none" w:sz="0" w:space="0" w:color="auto"/>
        <w:right w:val="none" w:sz="0" w:space="0" w:color="auto"/>
      </w:divBdr>
    </w:div>
    <w:div w:id="1599175460">
      <w:bodyDiv w:val="1"/>
      <w:marLeft w:val="0"/>
      <w:marRight w:val="0"/>
      <w:marTop w:val="0"/>
      <w:marBottom w:val="0"/>
      <w:divBdr>
        <w:top w:val="none" w:sz="0" w:space="0" w:color="auto"/>
        <w:left w:val="none" w:sz="0" w:space="0" w:color="auto"/>
        <w:bottom w:val="none" w:sz="0" w:space="0" w:color="auto"/>
        <w:right w:val="none" w:sz="0" w:space="0" w:color="auto"/>
      </w:divBdr>
    </w:div>
    <w:div w:id="1656491756">
      <w:bodyDiv w:val="1"/>
      <w:marLeft w:val="0"/>
      <w:marRight w:val="0"/>
      <w:marTop w:val="0"/>
      <w:marBottom w:val="0"/>
      <w:divBdr>
        <w:top w:val="none" w:sz="0" w:space="0" w:color="auto"/>
        <w:left w:val="none" w:sz="0" w:space="0" w:color="auto"/>
        <w:bottom w:val="none" w:sz="0" w:space="0" w:color="auto"/>
        <w:right w:val="none" w:sz="0" w:space="0" w:color="auto"/>
      </w:divBdr>
    </w:div>
    <w:div w:id="1669094078">
      <w:bodyDiv w:val="1"/>
      <w:marLeft w:val="0"/>
      <w:marRight w:val="0"/>
      <w:marTop w:val="0"/>
      <w:marBottom w:val="0"/>
      <w:divBdr>
        <w:top w:val="none" w:sz="0" w:space="0" w:color="auto"/>
        <w:left w:val="none" w:sz="0" w:space="0" w:color="auto"/>
        <w:bottom w:val="none" w:sz="0" w:space="0" w:color="auto"/>
        <w:right w:val="none" w:sz="0" w:space="0" w:color="auto"/>
      </w:divBdr>
    </w:div>
    <w:div w:id="1678847480">
      <w:bodyDiv w:val="1"/>
      <w:marLeft w:val="0"/>
      <w:marRight w:val="0"/>
      <w:marTop w:val="0"/>
      <w:marBottom w:val="0"/>
      <w:divBdr>
        <w:top w:val="none" w:sz="0" w:space="0" w:color="auto"/>
        <w:left w:val="none" w:sz="0" w:space="0" w:color="auto"/>
        <w:bottom w:val="none" w:sz="0" w:space="0" w:color="auto"/>
        <w:right w:val="none" w:sz="0" w:space="0" w:color="auto"/>
      </w:divBdr>
    </w:div>
    <w:div w:id="1686983834">
      <w:bodyDiv w:val="1"/>
      <w:marLeft w:val="0"/>
      <w:marRight w:val="0"/>
      <w:marTop w:val="0"/>
      <w:marBottom w:val="0"/>
      <w:divBdr>
        <w:top w:val="none" w:sz="0" w:space="0" w:color="auto"/>
        <w:left w:val="none" w:sz="0" w:space="0" w:color="auto"/>
        <w:bottom w:val="none" w:sz="0" w:space="0" w:color="auto"/>
        <w:right w:val="none" w:sz="0" w:space="0" w:color="auto"/>
      </w:divBdr>
    </w:div>
    <w:div w:id="1763994095">
      <w:bodyDiv w:val="1"/>
      <w:marLeft w:val="0"/>
      <w:marRight w:val="0"/>
      <w:marTop w:val="0"/>
      <w:marBottom w:val="0"/>
      <w:divBdr>
        <w:top w:val="none" w:sz="0" w:space="0" w:color="auto"/>
        <w:left w:val="none" w:sz="0" w:space="0" w:color="auto"/>
        <w:bottom w:val="none" w:sz="0" w:space="0" w:color="auto"/>
        <w:right w:val="none" w:sz="0" w:space="0" w:color="auto"/>
      </w:divBdr>
    </w:div>
    <w:div w:id="1768891251">
      <w:bodyDiv w:val="1"/>
      <w:marLeft w:val="0"/>
      <w:marRight w:val="0"/>
      <w:marTop w:val="0"/>
      <w:marBottom w:val="0"/>
      <w:divBdr>
        <w:top w:val="none" w:sz="0" w:space="0" w:color="auto"/>
        <w:left w:val="none" w:sz="0" w:space="0" w:color="auto"/>
        <w:bottom w:val="none" w:sz="0" w:space="0" w:color="auto"/>
        <w:right w:val="none" w:sz="0" w:space="0" w:color="auto"/>
      </w:divBdr>
    </w:div>
    <w:div w:id="1770613744">
      <w:bodyDiv w:val="1"/>
      <w:marLeft w:val="0"/>
      <w:marRight w:val="0"/>
      <w:marTop w:val="0"/>
      <w:marBottom w:val="0"/>
      <w:divBdr>
        <w:top w:val="none" w:sz="0" w:space="0" w:color="auto"/>
        <w:left w:val="none" w:sz="0" w:space="0" w:color="auto"/>
        <w:bottom w:val="none" w:sz="0" w:space="0" w:color="auto"/>
        <w:right w:val="none" w:sz="0" w:space="0" w:color="auto"/>
      </w:divBdr>
    </w:div>
    <w:div w:id="1773015245">
      <w:bodyDiv w:val="1"/>
      <w:marLeft w:val="0"/>
      <w:marRight w:val="0"/>
      <w:marTop w:val="0"/>
      <w:marBottom w:val="0"/>
      <w:divBdr>
        <w:top w:val="none" w:sz="0" w:space="0" w:color="auto"/>
        <w:left w:val="none" w:sz="0" w:space="0" w:color="auto"/>
        <w:bottom w:val="none" w:sz="0" w:space="0" w:color="auto"/>
        <w:right w:val="none" w:sz="0" w:space="0" w:color="auto"/>
      </w:divBdr>
    </w:div>
    <w:div w:id="1805464406">
      <w:bodyDiv w:val="1"/>
      <w:marLeft w:val="0"/>
      <w:marRight w:val="0"/>
      <w:marTop w:val="0"/>
      <w:marBottom w:val="0"/>
      <w:divBdr>
        <w:top w:val="none" w:sz="0" w:space="0" w:color="auto"/>
        <w:left w:val="none" w:sz="0" w:space="0" w:color="auto"/>
        <w:bottom w:val="none" w:sz="0" w:space="0" w:color="auto"/>
        <w:right w:val="none" w:sz="0" w:space="0" w:color="auto"/>
      </w:divBdr>
      <w:divsChild>
        <w:div w:id="881404590">
          <w:marLeft w:val="0"/>
          <w:marRight w:val="0"/>
          <w:marTop w:val="0"/>
          <w:marBottom w:val="0"/>
          <w:divBdr>
            <w:top w:val="none" w:sz="0" w:space="0" w:color="auto"/>
            <w:left w:val="none" w:sz="0" w:space="0" w:color="auto"/>
            <w:bottom w:val="none" w:sz="0" w:space="0" w:color="auto"/>
            <w:right w:val="none" w:sz="0" w:space="0" w:color="auto"/>
          </w:divBdr>
          <w:divsChild>
            <w:div w:id="1670132023">
              <w:marLeft w:val="0"/>
              <w:marRight w:val="0"/>
              <w:marTop w:val="0"/>
              <w:marBottom w:val="0"/>
              <w:divBdr>
                <w:top w:val="none" w:sz="0" w:space="0" w:color="auto"/>
                <w:left w:val="none" w:sz="0" w:space="0" w:color="auto"/>
                <w:bottom w:val="none" w:sz="0" w:space="0" w:color="auto"/>
                <w:right w:val="none" w:sz="0" w:space="0" w:color="auto"/>
              </w:divBdr>
              <w:divsChild>
                <w:div w:id="115233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776357">
      <w:bodyDiv w:val="1"/>
      <w:marLeft w:val="0"/>
      <w:marRight w:val="0"/>
      <w:marTop w:val="0"/>
      <w:marBottom w:val="0"/>
      <w:divBdr>
        <w:top w:val="none" w:sz="0" w:space="0" w:color="auto"/>
        <w:left w:val="none" w:sz="0" w:space="0" w:color="auto"/>
        <w:bottom w:val="none" w:sz="0" w:space="0" w:color="auto"/>
        <w:right w:val="none" w:sz="0" w:space="0" w:color="auto"/>
      </w:divBdr>
      <w:divsChild>
        <w:div w:id="288752533">
          <w:marLeft w:val="0"/>
          <w:marRight w:val="0"/>
          <w:marTop w:val="0"/>
          <w:marBottom w:val="0"/>
          <w:divBdr>
            <w:top w:val="none" w:sz="0" w:space="0" w:color="auto"/>
            <w:left w:val="none" w:sz="0" w:space="0" w:color="auto"/>
            <w:bottom w:val="none" w:sz="0" w:space="0" w:color="auto"/>
            <w:right w:val="none" w:sz="0" w:space="0" w:color="auto"/>
          </w:divBdr>
          <w:divsChild>
            <w:div w:id="1560049065">
              <w:marLeft w:val="0"/>
              <w:marRight w:val="0"/>
              <w:marTop w:val="272"/>
              <w:marBottom w:val="0"/>
              <w:divBdr>
                <w:top w:val="none" w:sz="0" w:space="0" w:color="auto"/>
                <w:left w:val="none" w:sz="0" w:space="0" w:color="auto"/>
                <w:bottom w:val="none" w:sz="0" w:space="0" w:color="auto"/>
                <w:right w:val="none" w:sz="0" w:space="0" w:color="auto"/>
              </w:divBdr>
              <w:divsChild>
                <w:div w:id="288752312">
                  <w:marLeft w:val="163"/>
                  <w:marRight w:val="0"/>
                  <w:marTop w:val="0"/>
                  <w:marBottom w:val="0"/>
                  <w:divBdr>
                    <w:top w:val="none" w:sz="0" w:space="0" w:color="auto"/>
                    <w:left w:val="none" w:sz="0" w:space="0" w:color="auto"/>
                    <w:bottom w:val="none" w:sz="0" w:space="0" w:color="auto"/>
                    <w:right w:val="none" w:sz="0" w:space="0" w:color="auto"/>
                  </w:divBdr>
                  <w:divsChild>
                    <w:div w:id="1347292685">
                      <w:marLeft w:val="0"/>
                      <w:marRight w:val="0"/>
                      <w:marTop w:val="0"/>
                      <w:marBottom w:val="0"/>
                      <w:divBdr>
                        <w:top w:val="none" w:sz="0" w:space="0" w:color="auto"/>
                        <w:left w:val="none" w:sz="0" w:space="0" w:color="auto"/>
                        <w:bottom w:val="none" w:sz="0" w:space="0" w:color="auto"/>
                        <w:right w:val="none" w:sz="0" w:space="0" w:color="auto"/>
                      </w:divBdr>
                      <w:divsChild>
                        <w:div w:id="189196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237623">
      <w:bodyDiv w:val="1"/>
      <w:marLeft w:val="0"/>
      <w:marRight w:val="0"/>
      <w:marTop w:val="0"/>
      <w:marBottom w:val="0"/>
      <w:divBdr>
        <w:top w:val="none" w:sz="0" w:space="0" w:color="auto"/>
        <w:left w:val="none" w:sz="0" w:space="0" w:color="auto"/>
        <w:bottom w:val="none" w:sz="0" w:space="0" w:color="auto"/>
        <w:right w:val="none" w:sz="0" w:space="0" w:color="auto"/>
      </w:divBdr>
    </w:div>
    <w:div w:id="1864780921">
      <w:bodyDiv w:val="1"/>
      <w:marLeft w:val="0"/>
      <w:marRight w:val="0"/>
      <w:marTop w:val="0"/>
      <w:marBottom w:val="0"/>
      <w:divBdr>
        <w:top w:val="none" w:sz="0" w:space="0" w:color="auto"/>
        <w:left w:val="none" w:sz="0" w:space="0" w:color="auto"/>
        <w:bottom w:val="none" w:sz="0" w:space="0" w:color="auto"/>
        <w:right w:val="none" w:sz="0" w:space="0" w:color="auto"/>
      </w:divBdr>
    </w:div>
    <w:div w:id="1874462222">
      <w:bodyDiv w:val="1"/>
      <w:marLeft w:val="0"/>
      <w:marRight w:val="0"/>
      <w:marTop w:val="0"/>
      <w:marBottom w:val="0"/>
      <w:divBdr>
        <w:top w:val="none" w:sz="0" w:space="0" w:color="auto"/>
        <w:left w:val="none" w:sz="0" w:space="0" w:color="auto"/>
        <w:bottom w:val="none" w:sz="0" w:space="0" w:color="auto"/>
        <w:right w:val="none" w:sz="0" w:space="0" w:color="auto"/>
      </w:divBdr>
    </w:div>
    <w:div w:id="1896235256">
      <w:bodyDiv w:val="1"/>
      <w:marLeft w:val="0"/>
      <w:marRight w:val="0"/>
      <w:marTop w:val="0"/>
      <w:marBottom w:val="0"/>
      <w:divBdr>
        <w:top w:val="none" w:sz="0" w:space="0" w:color="auto"/>
        <w:left w:val="none" w:sz="0" w:space="0" w:color="auto"/>
        <w:bottom w:val="none" w:sz="0" w:space="0" w:color="auto"/>
        <w:right w:val="none" w:sz="0" w:space="0" w:color="auto"/>
      </w:divBdr>
    </w:div>
    <w:div w:id="1900558357">
      <w:bodyDiv w:val="1"/>
      <w:marLeft w:val="0"/>
      <w:marRight w:val="0"/>
      <w:marTop w:val="0"/>
      <w:marBottom w:val="0"/>
      <w:divBdr>
        <w:top w:val="none" w:sz="0" w:space="0" w:color="auto"/>
        <w:left w:val="none" w:sz="0" w:space="0" w:color="auto"/>
        <w:bottom w:val="none" w:sz="0" w:space="0" w:color="auto"/>
        <w:right w:val="none" w:sz="0" w:space="0" w:color="auto"/>
      </w:divBdr>
    </w:div>
    <w:div w:id="1917781252">
      <w:bodyDiv w:val="1"/>
      <w:marLeft w:val="0"/>
      <w:marRight w:val="0"/>
      <w:marTop w:val="0"/>
      <w:marBottom w:val="0"/>
      <w:divBdr>
        <w:top w:val="none" w:sz="0" w:space="0" w:color="auto"/>
        <w:left w:val="none" w:sz="0" w:space="0" w:color="auto"/>
        <w:bottom w:val="none" w:sz="0" w:space="0" w:color="auto"/>
        <w:right w:val="none" w:sz="0" w:space="0" w:color="auto"/>
      </w:divBdr>
    </w:div>
    <w:div w:id="1926069931">
      <w:bodyDiv w:val="1"/>
      <w:marLeft w:val="0"/>
      <w:marRight w:val="0"/>
      <w:marTop w:val="0"/>
      <w:marBottom w:val="0"/>
      <w:divBdr>
        <w:top w:val="none" w:sz="0" w:space="0" w:color="auto"/>
        <w:left w:val="none" w:sz="0" w:space="0" w:color="auto"/>
        <w:bottom w:val="none" w:sz="0" w:space="0" w:color="auto"/>
        <w:right w:val="none" w:sz="0" w:space="0" w:color="auto"/>
      </w:divBdr>
    </w:div>
    <w:div w:id="1970743807">
      <w:bodyDiv w:val="1"/>
      <w:marLeft w:val="0"/>
      <w:marRight w:val="0"/>
      <w:marTop w:val="0"/>
      <w:marBottom w:val="0"/>
      <w:divBdr>
        <w:top w:val="none" w:sz="0" w:space="0" w:color="auto"/>
        <w:left w:val="none" w:sz="0" w:space="0" w:color="auto"/>
        <w:bottom w:val="none" w:sz="0" w:space="0" w:color="auto"/>
        <w:right w:val="none" w:sz="0" w:space="0" w:color="auto"/>
      </w:divBdr>
    </w:div>
    <w:div w:id="2004698784">
      <w:bodyDiv w:val="1"/>
      <w:marLeft w:val="0"/>
      <w:marRight w:val="0"/>
      <w:marTop w:val="0"/>
      <w:marBottom w:val="0"/>
      <w:divBdr>
        <w:top w:val="none" w:sz="0" w:space="0" w:color="auto"/>
        <w:left w:val="none" w:sz="0" w:space="0" w:color="auto"/>
        <w:bottom w:val="none" w:sz="0" w:space="0" w:color="auto"/>
        <w:right w:val="none" w:sz="0" w:space="0" w:color="auto"/>
      </w:divBdr>
    </w:div>
    <w:div w:id="2005281952">
      <w:bodyDiv w:val="1"/>
      <w:marLeft w:val="0"/>
      <w:marRight w:val="0"/>
      <w:marTop w:val="0"/>
      <w:marBottom w:val="0"/>
      <w:divBdr>
        <w:top w:val="none" w:sz="0" w:space="0" w:color="auto"/>
        <w:left w:val="none" w:sz="0" w:space="0" w:color="auto"/>
        <w:bottom w:val="none" w:sz="0" w:space="0" w:color="auto"/>
        <w:right w:val="none" w:sz="0" w:space="0" w:color="auto"/>
      </w:divBdr>
    </w:div>
    <w:div w:id="2023386315">
      <w:bodyDiv w:val="1"/>
      <w:marLeft w:val="0"/>
      <w:marRight w:val="0"/>
      <w:marTop w:val="0"/>
      <w:marBottom w:val="0"/>
      <w:divBdr>
        <w:top w:val="none" w:sz="0" w:space="0" w:color="auto"/>
        <w:left w:val="none" w:sz="0" w:space="0" w:color="auto"/>
        <w:bottom w:val="none" w:sz="0" w:space="0" w:color="auto"/>
        <w:right w:val="none" w:sz="0" w:space="0" w:color="auto"/>
      </w:divBdr>
    </w:div>
    <w:div w:id="2041664234">
      <w:bodyDiv w:val="1"/>
      <w:marLeft w:val="0"/>
      <w:marRight w:val="0"/>
      <w:marTop w:val="0"/>
      <w:marBottom w:val="0"/>
      <w:divBdr>
        <w:top w:val="none" w:sz="0" w:space="0" w:color="auto"/>
        <w:left w:val="none" w:sz="0" w:space="0" w:color="auto"/>
        <w:bottom w:val="none" w:sz="0" w:space="0" w:color="auto"/>
        <w:right w:val="none" w:sz="0" w:space="0" w:color="auto"/>
      </w:divBdr>
    </w:div>
    <w:div w:id="2044206257">
      <w:bodyDiv w:val="1"/>
      <w:marLeft w:val="0"/>
      <w:marRight w:val="0"/>
      <w:marTop w:val="0"/>
      <w:marBottom w:val="0"/>
      <w:divBdr>
        <w:top w:val="none" w:sz="0" w:space="0" w:color="auto"/>
        <w:left w:val="none" w:sz="0" w:space="0" w:color="auto"/>
        <w:bottom w:val="none" w:sz="0" w:space="0" w:color="auto"/>
        <w:right w:val="none" w:sz="0" w:space="0" w:color="auto"/>
      </w:divBdr>
    </w:div>
    <w:div w:id="2056813373">
      <w:bodyDiv w:val="1"/>
      <w:marLeft w:val="0"/>
      <w:marRight w:val="0"/>
      <w:marTop w:val="0"/>
      <w:marBottom w:val="0"/>
      <w:divBdr>
        <w:top w:val="none" w:sz="0" w:space="0" w:color="auto"/>
        <w:left w:val="none" w:sz="0" w:space="0" w:color="auto"/>
        <w:bottom w:val="none" w:sz="0" w:space="0" w:color="auto"/>
        <w:right w:val="none" w:sz="0" w:space="0" w:color="auto"/>
      </w:divBdr>
    </w:div>
    <w:div w:id="2081637708">
      <w:bodyDiv w:val="1"/>
      <w:marLeft w:val="0"/>
      <w:marRight w:val="0"/>
      <w:marTop w:val="0"/>
      <w:marBottom w:val="0"/>
      <w:divBdr>
        <w:top w:val="none" w:sz="0" w:space="0" w:color="auto"/>
        <w:left w:val="none" w:sz="0" w:space="0" w:color="auto"/>
        <w:bottom w:val="none" w:sz="0" w:space="0" w:color="auto"/>
        <w:right w:val="none" w:sz="0" w:space="0" w:color="auto"/>
      </w:divBdr>
    </w:div>
    <w:div w:id="209107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cid:image003.png@01CFF749.C07C5240" TargetMode="External"/><Relationship Id="rId39" Type="http://schemas.openxmlformats.org/officeDocument/2006/relationships/image" Target="media/image29.png"/><Relationship Id="rId21" Type="http://schemas.openxmlformats.org/officeDocument/2006/relationships/image" Target="media/image15.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chart" Target="charts/chart3.xml"/><Relationship Id="rId55" Type="http://schemas.openxmlformats.org/officeDocument/2006/relationships/image" Target="media/image42.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1.png"/><Relationship Id="rId62"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cid:image002.png@01CFF750.DCA3F250"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0.png"/><Relationship Id="rId58" Type="http://schemas.openxmlformats.org/officeDocument/2006/relationships/image" Target="media/image45.emf"/><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chart" Target="charts/chart2.xml"/><Relationship Id="rId57" Type="http://schemas.openxmlformats.org/officeDocument/2006/relationships/image" Target="media/image44.emf"/><Relationship Id="rId61" Type="http://schemas.openxmlformats.org/officeDocument/2006/relationships/image" Target="media/image48.emf"/><Relationship Id="rId10" Type="http://schemas.openxmlformats.org/officeDocument/2006/relationships/header" Target="header1.xml"/><Relationship Id="rId19" Type="http://schemas.openxmlformats.org/officeDocument/2006/relationships/image" Target="media/image1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39.emf"/><Relationship Id="rId60" Type="http://schemas.openxmlformats.org/officeDocument/2006/relationships/image" Target="media/image47.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8.png"/><Relationship Id="rId22" Type="http://schemas.openxmlformats.org/officeDocument/2006/relationships/image" Target="cid:image001.png@01CFF750.DCA3F250" TargetMode="External"/><Relationship Id="rId27" Type="http://schemas.openxmlformats.org/officeDocument/2006/relationships/chart" Target="charts/chart1.xm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3.emf"/><Relationship Id="rId6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chart" Target="charts/chart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6.em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WAHT\Data\General\Complaints\Reports\Monthly%20Complaints%20Reports%20from%2009\2014\September%2014\Copy%20of%20Copy%20of%20copy%20of%20the%20graphs%20and%20stats%20for%20Sept%20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AHT\Users\General\penfolds\My%20Data\Sheridan\Board%20Papers\Bank_and_agency_M1-1_With_WTE_amended_20th_May_20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AHT\Data\General\Training%20Presentations\Workforce%20Planning\Yvonne%20Workforce\September%202014\Bank_and_agency_M1-6_With_WTE%20%20-%20September%2020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AHT\Data\General\Training%20Presentations\Workforce%20Planning\Yvonne%20Workforce\Board%20Report%20Dat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a:t>The number of formal complaints recieved over the past two years</a:t>
            </a:r>
          </a:p>
        </c:rich>
      </c:tx>
    </c:title>
    <c:plotArea>
      <c:layout/>
      <c:lineChart>
        <c:grouping val="standard"/>
        <c:ser>
          <c:idx val="0"/>
          <c:order val="0"/>
          <c:tx>
            <c:strRef>
              <c:f>Sheet1!$U$38</c:f>
              <c:strCache>
                <c:ptCount val="1"/>
                <c:pt idx="0">
                  <c:v>Oct 12 - Sept 13</c:v>
                </c:pt>
              </c:strCache>
            </c:strRef>
          </c:tx>
          <c:marker>
            <c:symbol val="none"/>
          </c:marker>
          <c:cat>
            <c:strRef>
              <c:f>Sheet1!$AF$37:$AQ$37</c:f>
              <c:strCache>
                <c:ptCount val="12"/>
                <c:pt idx="0">
                  <c:v>Oct</c:v>
                </c:pt>
                <c:pt idx="1">
                  <c:v>Nov</c:v>
                </c:pt>
                <c:pt idx="2">
                  <c:v>Dec</c:v>
                </c:pt>
                <c:pt idx="3">
                  <c:v>Jan</c:v>
                </c:pt>
                <c:pt idx="4">
                  <c:v>Feb</c:v>
                </c:pt>
                <c:pt idx="5">
                  <c:v>Mar</c:v>
                </c:pt>
                <c:pt idx="6">
                  <c:v>Apr</c:v>
                </c:pt>
                <c:pt idx="7">
                  <c:v>May</c:v>
                </c:pt>
                <c:pt idx="8">
                  <c:v>June</c:v>
                </c:pt>
                <c:pt idx="9">
                  <c:v>July</c:v>
                </c:pt>
                <c:pt idx="10">
                  <c:v>Aug</c:v>
                </c:pt>
                <c:pt idx="11">
                  <c:v>Sept</c:v>
                </c:pt>
              </c:strCache>
            </c:strRef>
          </c:cat>
          <c:val>
            <c:numRef>
              <c:f>Sheet1!$AF$38:$AQ$38</c:f>
              <c:numCache>
                <c:formatCode>General</c:formatCode>
                <c:ptCount val="12"/>
                <c:pt idx="0">
                  <c:v>21</c:v>
                </c:pt>
                <c:pt idx="1">
                  <c:v>19</c:v>
                </c:pt>
                <c:pt idx="2">
                  <c:v>16</c:v>
                </c:pt>
                <c:pt idx="3">
                  <c:v>17</c:v>
                </c:pt>
                <c:pt idx="4">
                  <c:v>22</c:v>
                </c:pt>
                <c:pt idx="5">
                  <c:v>21</c:v>
                </c:pt>
                <c:pt idx="6">
                  <c:v>19</c:v>
                </c:pt>
                <c:pt idx="7">
                  <c:v>11</c:v>
                </c:pt>
                <c:pt idx="8">
                  <c:v>14</c:v>
                </c:pt>
                <c:pt idx="9">
                  <c:v>17</c:v>
                </c:pt>
                <c:pt idx="10">
                  <c:v>18</c:v>
                </c:pt>
                <c:pt idx="11">
                  <c:v>12</c:v>
                </c:pt>
              </c:numCache>
            </c:numRef>
          </c:val>
        </c:ser>
        <c:ser>
          <c:idx val="1"/>
          <c:order val="1"/>
          <c:tx>
            <c:strRef>
              <c:f>Sheet1!$U$39</c:f>
              <c:strCache>
                <c:ptCount val="1"/>
                <c:pt idx="0">
                  <c:v>Oct 13 -Sept 14</c:v>
                </c:pt>
              </c:strCache>
            </c:strRef>
          </c:tx>
          <c:marker>
            <c:symbol val="none"/>
          </c:marker>
          <c:cat>
            <c:strRef>
              <c:f>Sheet1!$AF$37:$AQ$37</c:f>
              <c:strCache>
                <c:ptCount val="12"/>
                <c:pt idx="0">
                  <c:v>Oct</c:v>
                </c:pt>
                <c:pt idx="1">
                  <c:v>Nov</c:v>
                </c:pt>
                <c:pt idx="2">
                  <c:v>Dec</c:v>
                </c:pt>
                <c:pt idx="3">
                  <c:v>Jan</c:v>
                </c:pt>
                <c:pt idx="4">
                  <c:v>Feb</c:v>
                </c:pt>
                <c:pt idx="5">
                  <c:v>Mar</c:v>
                </c:pt>
                <c:pt idx="6">
                  <c:v>Apr</c:v>
                </c:pt>
                <c:pt idx="7">
                  <c:v>May</c:v>
                </c:pt>
                <c:pt idx="8">
                  <c:v>June</c:v>
                </c:pt>
                <c:pt idx="9">
                  <c:v>July</c:v>
                </c:pt>
                <c:pt idx="10">
                  <c:v>Aug</c:v>
                </c:pt>
                <c:pt idx="11">
                  <c:v>Sept</c:v>
                </c:pt>
              </c:strCache>
            </c:strRef>
          </c:cat>
          <c:val>
            <c:numRef>
              <c:f>Sheet1!$AF$39:$AQ$39</c:f>
              <c:numCache>
                <c:formatCode>General</c:formatCode>
                <c:ptCount val="12"/>
                <c:pt idx="0">
                  <c:v>24</c:v>
                </c:pt>
                <c:pt idx="1">
                  <c:v>12</c:v>
                </c:pt>
                <c:pt idx="2">
                  <c:v>18</c:v>
                </c:pt>
                <c:pt idx="3">
                  <c:v>16</c:v>
                </c:pt>
                <c:pt idx="4">
                  <c:v>22</c:v>
                </c:pt>
                <c:pt idx="5">
                  <c:v>39</c:v>
                </c:pt>
                <c:pt idx="6">
                  <c:v>15</c:v>
                </c:pt>
                <c:pt idx="7">
                  <c:v>27</c:v>
                </c:pt>
                <c:pt idx="8">
                  <c:v>23</c:v>
                </c:pt>
                <c:pt idx="9">
                  <c:v>23</c:v>
                </c:pt>
                <c:pt idx="10">
                  <c:v>20</c:v>
                </c:pt>
                <c:pt idx="11">
                  <c:v>5</c:v>
                </c:pt>
              </c:numCache>
            </c:numRef>
          </c:val>
        </c:ser>
        <c:marker val="1"/>
        <c:axId val="91364736"/>
        <c:axId val="91366912"/>
      </c:lineChart>
      <c:catAx>
        <c:axId val="91364736"/>
        <c:scaling>
          <c:orientation val="minMax"/>
        </c:scaling>
        <c:axPos val="b"/>
        <c:majorTickMark val="none"/>
        <c:tickLblPos val="nextTo"/>
        <c:crossAx val="91366912"/>
        <c:crosses val="autoZero"/>
        <c:auto val="1"/>
        <c:lblAlgn val="ctr"/>
        <c:lblOffset val="100"/>
      </c:catAx>
      <c:valAx>
        <c:axId val="91366912"/>
        <c:scaling>
          <c:orientation val="minMax"/>
        </c:scaling>
        <c:axPos val="l"/>
        <c:majorGridlines/>
        <c:numFmt formatCode="General" sourceLinked="1"/>
        <c:majorTickMark val="none"/>
        <c:tickLblPos val="nextTo"/>
        <c:crossAx val="91364736"/>
        <c:crosses val="autoZero"/>
        <c:crossBetween val="between"/>
      </c:valAx>
    </c:plotArea>
    <c:legend>
      <c:legendPos val="r"/>
    </c:legend>
    <c:plotVisOnly val="1"/>
    <c:dispBlanksAs val="gap"/>
  </c:chart>
  <c:spPr>
    <a:solidFill>
      <a:schemeClr val="lt1"/>
    </a:solidFill>
    <a:ln w="55000" cap="flat" cmpd="thickThin" algn="ctr">
      <a:solidFill>
        <a:schemeClr val="accent4"/>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a:t>Staff Pay Bill</a:t>
            </a:r>
          </a:p>
        </c:rich>
      </c:tx>
    </c:title>
    <c:plotArea>
      <c:layout/>
      <c:barChart>
        <c:barDir val="col"/>
        <c:grouping val="stacked"/>
        <c:ser>
          <c:idx val="0"/>
          <c:order val="0"/>
          <c:tx>
            <c:strRef>
              <c:f>Sheet1!$A$2</c:f>
              <c:strCache>
                <c:ptCount val="1"/>
                <c:pt idx="0">
                  <c:v>Contracted Staff Pay bill</c:v>
                </c:pt>
              </c:strCache>
            </c:strRef>
          </c:tx>
          <c:cat>
            <c:strRef>
              <c:f>Sheet1!$B$1:$R$1</c:f>
              <c:strCache>
                <c:ptCount val="13"/>
                <c:pt idx="0">
                  <c:v>Sep</c:v>
                </c:pt>
                <c:pt idx="1">
                  <c:v>Oct</c:v>
                </c:pt>
                <c:pt idx="2">
                  <c:v>Nov</c:v>
                </c:pt>
                <c:pt idx="3">
                  <c:v>Dec</c:v>
                </c:pt>
                <c:pt idx="4">
                  <c:v>Jan</c:v>
                </c:pt>
                <c:pt idx="5">
                  <c:v>Feb</c:v>
                </c:pt>
                <c:pt idx="6">
                  <c:v>Mar</c:v>
                </c:pt>
                <c:pt idx="7">
                  <c:v>Apr</c:v>
                </c:pt>
                <c:pt idx="8">
                  <c:v>May </c:v>
                </c:pt>
                <c:pt idx="9">
                  <c:v>Jun</c:v>
                </c:pt>
                <c:pt idx="10">
                  <c:v>Jul</c:v>
                </c:pt>
                <c:pt idx="11">
                  <c:v>Aug </c:v>
                </c:pt>
                <c:pt idx="12">
                  <c:v>Sept</c:v>
                </c:pt>
              </c:strCache>
            </c:strRef>
          </c:cat>
          <c:val>
            <c:numRef>
              <c:f>Sheet1!$B$2:$R$2</c:f>
              <c:numCache>
                <c:formatCode>0</c:formatCode>
                <c:ptCount val="13"/>
                <c:pt idx="0">
                  <c:v>4957.3789999999999</c:v>
                </c:pt>
                <c:pt idx="1">
                  <c:v>4991</c:v>
                </c:pt>
                <c:pt idx="2">
                  <c:v>5030</c:v>
                </c:pt>
                <c:pt idx="3">
                  <c:v>5047</c:v>
                </c:pt>
                <c:pt idx="4">
                  <c:v>5165</c:v>
                </c:pt>
                <c:pt idx="5">
                  <c:v>4984</c:v>
                </c:pt>
                <c:pt idx="6">
                  <c:v>5294</c:v>
                </c:pt>
                <c:pt idx="7">
                  <c:v>4948</c:v>
                </c:pt>
                <c:pt idx="8">
                  <c:v>5012</c:v>
                </c:pt>
                <c:pt idx="9">
                  <c:v>5005</c:v>
                </c:pt>
                <c:pt idx="10">
                  <c:v>4984</c:v>
                </c:pt>
                <c:pt idx="11">
                  <c:v>5025</c:v>
                </c:pt>
                <c:pt idx="12">
                  <c:v>5002</c:v>
                </c:pt>
              </c:numCache>
            </c:numRef>
          </c:val>
        </c:ser>
        <c:ser>
          <c:idx val="1"/>
          <c:order val="1"/>
          <c:tx>
            <c:strRef>
              <c:f>Sheet1!$A$4</c:f>
              <c:strCache>
                <c:ptCount val="1"/>
                <c:pt idx="0">
                  <c:v>Agy/Bank/Locum Pay bill (000s)</c:v>
                </c:pt>
              </c:strCache>
            </c:strRef>
          </c:tx>
          <c:cat>
            <c:strRef>
              <c:f>Sheet1!$B$1:$R$1</c:f>
              <c:strCache>
                <c:ptCount val="13"/>
                <c:pt idx="0">
                  <c:v>Sep</c:v>
                </c:pt>
                <c:pt idx="1">
                  <c:v>Oct</c:v>
                </c:pt>
                <c:pt idx="2">
                  <c:v>Nov</c:v>
                </c:pt>
                <c:pt idx="3">
                  <c:v>Dec</c:v>
                </c:pt>
                <c:pt idx="4">
                  <c:v>Jan</c:v>
                </c:pt>
                <c:pt idx="5">
                  <c:v>Feb</c:v>
                </c:pt>
                <c:pt idx="6">
                  <c:v>Mar</c:v>
                </c:pt>
                <c:pt idx="7">
                  <c:v>Apr</c:v>
                </c:pt>
                <c:pt idx="8">
                  <c:v>May </c:v>
                </c:pt>
                <c:pt idx="9">
                  <c:v>Jun</c:v>
                </c:pt>
                <c:pt idx="10">
                  <c:v>Jul</c:v>
                </c:pt>
                <c:pt idx="11">
                  <c:v>Aug </c:v>
                </c:pt>
                <c:pt idx="12">
                  <c:v>Sept</c:v>
                </c:pt>
              </c:strCache>
            </c:strRef>
          </c:cat>
          <c:val>
            <c:numRef>
              <c:f>Sheet1!$B$4:$R$4</c:f>
              <c:numCache>
                <c:formatCode>General</c:formatCode>
                <c:ptCount val="13"/>
                <c:pt idx="0">
                  <c:v>565.62099999999998</c:v>
                </c:pt>
                <c:pt idx="1">
                  <c:v>540</c:v>
                </c:pt>
                <c:pt idx="2">
                  <c:v>622</c:v>
                </c:pt>
                <c:pt idx="3">
                  <c:v>736</c:v>
                </c:pt>
                <c:pt idx="4">
                  <c:v>651</c:v>
                </c:pt>
                <c:pt idx="5">
                  <c:v>574</c:v>
                </c:pt>
                <c:pt idx="6">
                  <c:v>620</c:v>
                </c:pt>
                <c:pt idx="7">
                  <c:v>490</c:v>
                </c:pt>
                <c:pt idx="8">
                  <c:v>511</c:v>
                </c:pt>
                <c:pt idx="9">
                  <c:v>447</c:v>
                </c:pt>
                <c:pt idx="10">
                  <c:v>550</c:v>
                </c:pt>
                <c:pt idx="11">
                  <c:v>650</c:v>
                </c:pt>
                <c:pt idx="12">
                  <c:v>728</c:v>
                </c:pt>
              </c:numCache>
            </c:numRef>
          </c:val>
        </c:ser>
        <c:overlap val="100"/>
        <c:axId val="83091840"/>
        <c:axId val="83093760"/>
      </c:barChart>
      <c:catAx>
        <c:axId val="83091840"/>
        <c:scaling>
          <c:orientation val="minMax"/>
        </c:scaling>
        <c:axPos val="b"/>
        <c:title>
          <c:tx>
            <c:rich>
              <a:bodyPr/>
              <a:lstStyle/>
              <a:p>
                <a:pPr>
                  <a:defRPr/>
                </a:pPr>
                <a:r>
                  <a:rPr lang="en-GB"/>
                  <a:t>Months</a:t>
                </a:r>
              </a:p>
            </c:rich>
          </c:tx>
        </c:title>
        <c:tickLblPos val="nextTo"/>
        <c:crossAx val="83093760"/>
        <c:crosses val="autoZero"/>
        <c:auto val="1"/>
        <c:lblAlgn val="ctr"/>
        <c:lblOffset val="100"/>
      </c:catAx>
      <c:valAx>
        <c:axId val="83093760"/>
        <c:scaling>
          <c:orientation val="minMax"/>
          <c:min val="0"/>
        </c:scaling>
        <c:axPos val="l"/>
        <c:majorGridlines/>
        <c:title>
          <c:tx>
            <c:rich>
              <a:bodyPr rot="-5400000" vert="horz"/>
              <a:lstStyle/>
              <a:p>
                <a:pPr>
                  <a:defRPr/>
                </a:pPr>
                <a:r>
                  <a:rPr lang="en-GB"/>
                  <a:t>£000's</a:t>
                </a:r>
              </a:p>
            </c:rich>
          </c:tx>
        </c:title>
        <c:numFmt formatCode="0" sourceLinked="1"/>
        <c:tickLblPos val="nextTo"/>
        <c:crossAx val="83091840"/>
        <c:crosses val="autoZero"/>
        <c:crossBetween val="between"/>
      </c:valAx>
    </c:plotArea>
    <c:legend>
      <c:legendPos val="r"/>
    </c:legend>
    <c:plotVisOnly val="1"/>
  </c:chart>
  <c:spPr>
    <a:solidFill>
      <a:schemeClr val="lt1"/>
    </a:solidFill>
    <a:ln w="55000" cap="flat" cmpd="thickThin" algn="ctr">
      <a:solidFill>
        <a:schemeClr val="accent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GB"/>
  <c:chart>
    <c:title>
      <c:tx>
        <c:rich>
          <a:bodyPr/>
          <a:lstStyle/>
          <a:p>
            <a:pPr>
              <a:defRPr/>
            </a:pPr>
            <a:r>
              <a:rPr lang="en-US"/>
              <a:t>Bank and Agency Spend</a:t>
            </a:r>
          </a:p>
        </c:rich>
      </c:tx>
    </c:title>
    <c:plotArea>
      <c:layout>
        <c:manualLayout>
          <c:layoutTarget val="inner"/>
          <c:xMode val="edge"/>
          <c:yMode val="edge"/>
          <c:x val="7.2323557099787952E-2"/>
          <c:y val="9.4107043430874157E-2"/>
          <c:w val="0.88248324779759957"/>
          <c:h val="0.82232461657839984"/>
        </c:manualLayout>
      </c:layout>
      <c:barChart>
        <c:barDir val="col"/>
        <c:grouping val="stacked"/>
        <c:ser>
          <c:idx val="0"/>
          <c:order val="0"/>
          <c:tx>
            <c:strRef>
              <c:f>'BANK &amp; AGENCY'!$A$27:$B$27</c:f>
              <c:strCache>
                <c:ptCount val="1"/>
                <c:pt idx="0">
                  <c:v>Bank Nurses</c:v>
                </c:pt>
              </c:strCache>
            </c:strRef>
          </c:tx>
          <c:dLbls>
            <c:dLbl>
              <c:idx val="0"/>
              <c:tx>
                <c:rich>
                  <a:bodyPr/>
                  <a:lstStyle/>
                  <a:p>
                    <a:r>
                      <a:rPr lang="en-US" sz="900" b="1"/>
                      <a:t>77.87</a:t>
                    </a:r>
                    <a:r>
                      <a:rPr lang="en-US"/>
                      <a:t> WTE</a:t>
                    </a:r>
                  </a:p>
                </c:rich>
              </c:tx>
              <c:showVal val="1"/>
            </c:dLbl>
            <c:dLbl>
              <c:idx val="1"/>
              <c:tx>
                <c:rich>
                  <a:bodyPr/>
                  <a:lstStyle/>
                  <a:p>
                    <a:r>
                      <a:rPr lang="en-US"/>
                      <a:t>78.45 WTE</a:t>
                    </a:r>
                  </a:p>
                </c:rich>
              </c:tx>
              <c:showVal val="1"/>
            </c:dLbl>
            <c:dLbl>
              <c:idx val="2"/>
              <c:tx>
                <c:rich>
                  <a:bodyPr/>
                  <a:lstStyle/>
                  <a:p>
                    <a:r>
                      <a:rPr lang="en-US" sz="900" b="1"/>
                      <a:t>62.90</a:t>
                    </a:r>
                    <a:r>
                      <a:rPr lang="en-US"/>
                      <a:t> WTE</a:t>
                    </a:r>
                  </a:p>
                </c:rich>
              </c:tx>
              <c:showVal val="1"/>
            </c:dLbl>
            <c:dLbl>
              <c:idx val="3"/>
              <c:tx>
                <c:rich>
                  <a:bodyPr/>
                  <a:lstStyle/>
                  <a:p>
                    <a:r>
                      <a:rPr lang="en-US" sz="900" b="1"/>
                      <a:t>69.38 </a:t>
                    </a:r>
                    <a:r>
                      <a:rPr lang="en-US"/>
                      <a:t>WTE</a:t>
                    </a:r>
                  </a:p>
                </c:rich>
              </c:tx>
              <c:showVal val="1"/>
            </c:dLbl>
            <c:dLbl>
              <c:idx val="4"/>
              <c:tx>
                <c:rich>
                  <a:bodyPr/>
                  <a:lstStyle/>
                  <a:p>
                    <a:r>
                      <a:rPr lang="en-US" baseline="0"/>
                      <a:t>61.49 WTE</a:t>
                    </a:r>
                    <a:endParaRPr lang="en-US"/>
                  </a:p>
                </c:rich>
              </c:tx>
              <c:showVal val="1"/>
            </c:dLbl>
            <c:dLbl>
              <c:idx val="5"/>
              <c:tx>
                <c:rich>
                  <a:bodyPr/>
                  <a:lstStyle/>
                  <a:p>
                    <a:r>
                      <a:rPr lang="en-US" baseline="0"/>
                      <a:t>76.10 WTE</a:t>
                    </a:r>
                    <a:endParaRPr lang="en-US"/>
                  </a:p>
                </c:rich>
              </c:tx>
              <c:showVal val="1"/>
            </c:dLbl>
            <c:dLbl>
              <c:idx val="6"/>
              <c:tx>
                <c:rich>
                  <a:bodyPr/>
                  <a:lstStyle/>
                  <a:p>
                    <a:r>
                      <a:rPr lang="en-US" sz="900" b="1" baseline="0"/>
                      <a:t>81.33</a:t>
                    </a:r>
                    <a:r>
                      <a:rPr lang="en-US" baseline="0"/>
                      <a:t> WTE</a:t>
                    </a:r>
                    <a:endParaRPr lang="en-US"/>
                  </a:p>
                </c:rich>
              </c:tx>
              <c:showVal val="1"/>
            </c:dLbl>
            <c:dLbl>
              <c:idx val="7"/>
              <c:tx>
                <c:rich>
                  <a:bodyPr/>
                  <a:lstStyle/>
                  <a:p>
                    <a:r>
                      <a:rPr lang="en-US" sz="900" b="1" baseline="0"/>
                      <a:t>53.20 </a:t>
                    </a:r>
                    <a:r>
                      <a:rPr lang="en-US" baseline="0"/>
                      <a:t>WTE</a:t>
                    </a:r>
                    <a:endParaRPr lang="en-US"/>
                  </a:p>
                </c:rich>
              </c:tx>
              <c:showVal val="1"/>
            </c:dLbl>
            <c:dLbl>
              <c:idx val="8"/>
              <c:tx>
                <c:rich>
                  <a:bodyPr/>
                  <a:lstStyle/>
                  <a:p>
                    <a:r>
                      <a:rPr lang="en-US" sz="900" b="1" baseline="0"/>
                      <a:t>47.67</a:t>
                    </a:r>
                    <a:r>
                      <a:rPr lang="en-US" baseline="0"/>
                      <a:t> WTE</a:t>
                    </a:r>
                    <a:endParaRPr lang="en-US"/>
                  </a:p>
                </c:rich>
              </c:tx>
              <c:showVal val="1"/>
            </c:dLbl>
            <c:dLbl>
              <c:idx val="9"/>
              <c:tx>
                <c:rich>
                  <a:bodyPr/>
                  <a:lstStyle/>
                  <a:p>
                    <a:r>
                      <a:rPr lang="en-US" baseline="0"/>
                      <a:t>48.56 WTE</a:t>
                    </a:r>
                    <a:endParaRPr lang="en-US"/>
                  </a:p>
                </c:rich>
              </c:tx>
              <c:showVal val="1"/>
            </c:dLbl>
            <c:dLbl>
              <c:idx val="10"/>
              <c:tx>
                <c:rich>
                  <a:bodyPr/>
                  <a:lstStyle/>
                  <a:p>
                    <a:r>
                      <a:rPr lang="en-US" sz="900" b="1" baseline="0"/>
                      <a:t>47.34 </a:t>
                    </a:r>
                    <a:r>
                      <a:rPr lang="en-US" baseline="0"/>
                      <a:t>WTE</a:t>
                    </a:r>
                    <a:endParaRPr lang="en-US"/>
                  </a:p>
                </c:rich>
              </c:tx>
              <c:showVal val="1"/>
            </c:dLbl>
            <c:dLbl>
              <c:idx val="11"/>
              <c:tx>
                <c:rich>
                  <a:bodyPr/>
                  <a:lstStyle/>
                  <a:p>
                    <a:r>
                      <a:rPr lang="en-US"/>
                      <a:t>51.33 WTE</a:t>
                    </a:r>
                  </a:p>
                </c:rich>
              </c:tx>
              <c:showVal val="1"/>
            </c:dLbl>
            <c:dLbl>
              <c:idx val="12"/>
              <c:tx>
                <c:rich>
                  <a:bodyPr/>
                  <a:lstStyle/>
                  <a:p>
                    <a:r>
                      <a:rPr lang="en-US" sz="900" b="1"/>
                      <a:t>48.97 </a:t>
                    </a:r>
                    <a:r>
                      <a:rPr lang="en-US"/>
                      <a:t>WTE</a:t>
                    </a:r>
                  </a:p>
                </c:rich>
              </c:tx>
              <c:showVal val="1"/>
            </c:dLbl>
            <c:dLbl>
              <c:idx val="13"/>
              <c:tx>
                <c:rich>
                  <a:bodyPr/>
                  <a:lstStyle/>
                  <a:p>
                    <a:r>
                      <a:rPr lang="en-US" baseline="0"/>
                      <a:t>48.56 WTE</a:t>
                    </a:r>
                    <a:endParaRPr lang="en-US"/>
                  </a:p>
                </c:rich>
              </c:tx>
              <c:showVal val="1"/>
            </c:dLbl>
            <c:dLbl>
              <c:idx val="14"/>
              <c:tx>
                <c:rich>
                  <a:bodyPr/>
                  <a:lstStyle/>
                  <a:p>
                    <a:r>
                      <a:rPr lang="en-US"/>
                      <a:t>81.33</a:t>
                    </a:r>
                    <a:r>
                      <a:rPr lang="en-US" baseline="0"/>
                      <a:t> WTE</a:t>
                    </a:r>
                    <a:endParaRPr lang="en-US"/>
                  </a:p>
                </c:rich>
              </c:tx>
              <c:showVal val="1"/>
            </c:dLbl>
            <c:spPr>
              <a:solidFill>
                <a:schemeClr val="bg1"/>
              </a:solidFill>
              <a:ln w="3175">
                <a:solidFill>
                  <a:sysClr val="windowText" lastClr="000000"/>
                </a:solidFill>
              </a:ln>
            </c:spPr>
            <c:showVal val="1"/>
          </c:dLbls>
          <c:cat>
            <c:multiLvlStrRef>
              <c:f>('BANK &amp; AGENCY'!$C$26:$AQ$26,'BANK &amp; AGENCY'!$A$27:$A$31)</c:f>
              <c:multiLvlStrCache>
                <c:ptCount val="14"/>
                <c:lvl>
                  <c:pt idx="0">
                    <c:v>Sep</c:v>
                  </c:pt>
                  <c:pt idx="1">
                    <c:v>Oct</c:v>
                  </c:pt>
                  <c:pt idx="2">
                    <c:v>Nov</c:v>
                  </c:pt>
                  <c:pt idx="3">
                    <c:v>Dec</c:v>
                  </c:pt>
                  <c:pt idx="4">
                    <c:v>Jan</c:v>
                  </c:pt>
                  <c:pt idx="5">
                    <c:v>Feb</c:v>
                  </c:pt>
                  <c:pt idx="6">
                    <c:v>Mar</c:v>
                  </c:pt>
                  <c:pt idx="7">
                    <c:v>April </c:v>
                  </c:pt>
                  <c:pt idx="8">
                    <c:v>May</c:v>
                  </c:pt>
                  <c:pt idx="9">
                    <c:v>Jun</c:v>
                  </c:pt>
                  <c:pt idx="10">
                    <c:v>Jul</c:v>
                  </c:pt>
                  <c:pt idx="11">
                    <c:v>Aug</c:v>
                  </c:pt>
                  <c:pt idx="12">
                    <c:v>Sept</c:v>
                  </c:pt>
                  <c:pt idx="13">
                    <c:v>Winter </c:v>
                  </c:pt>
                </c:lvl>
                <c:lvl>
                  <c:pt idx="13">
                    <c:v>Medical Agency</c:v>
                  </c:pt>
                </c:lvl>
                <c:lvl>
                  <c:pt idx="13">
                    <c:v>Other Agency</c:v>
                  </c:pt>
                </c:lvl>
                <c:lvl>
                  <c:pt idx="13">
                    <c:v>Agency Nursing</c:v>
                  </c:pt>
                </c:lvl>
                <c:lvl>
                  <c:pt idx="13">
                    <c:v>Bank Nurses</c:v>
                  </c:pt>
                </c:lvl>
              </c:multiLvlStrCache>
            </c:multiLvlStrRef>
          </c:cat>
          <c:val>
            <c:numRef>
              <c:f>'BANK &amp; AGENCY'!$C$27:$AQ$27</c:f>
              <c:numCache>
                <c:formatCode>General</c:formatCode>
                <c:ptCount val="13"/>
                <c:pt idx="0">
                  <c:v>203</c:v>
                </c:pt>
                <c:pt idx="1">
                  <c:v>197.59399999999999</c:v>
                </c:pt>
                <c:pt idx="2">
                  <c:v>164.82600000000042</c:v>
                </c:pt>
                <c:pt idx="3">
                  <c:v>157.88400000000001</c:v>
                </c:pt>
                <c:pt idx="4">
                  <c:v>130.73499999999999</c:v>
                </c:pt>
                <c:pt idx="5" formatCode="#,##0.00">
                  <c:v>154.92500000000001</c:v>
                </c:pt>
                <c:pt idx="6">
                  <c:v>161.833</c:v>
                </c:pt>
                <c:pt idx="7">
                  <c:v>123.43</c:v>
                </c:pt>
                <c:pt idx="8">
                  <c:v>131.69</c:v>
                </c:pt>
                <c:pt idx="9" formatCode="0.00">
                  <c:v>129.5</c:v>
                </c:pt>
                <c:pt idx="10" formatCode="0.00">
                  <c:v>126.56</c:v>
                </c:pt>
                <c:pt idx="11" formatCode="0.00">
                  <c:v>141.22999999999999</c:v>
                </c:pt>
                <c:pt idx="12" formatCode="0.00">
                  <c:v>128.88000000000042</c:v>
                </c:pt>
              </c:numCache>
            </c:numRef>
          </c:val>
        </c:ser>
        <c:ser>
          <c:idx val="1"/>
          <c:order val="1"/>
          <c:tx>
            <c:strRef>
              <c:f>'BANK &amp; AGENCY'!$A$28:$B$28</c:f>
              <c:strCache>
                <c:ptCount val="1"/>
                <c:pt idx="0">
                  <c:v>Agency Nursing</c:v>
                </c:pt>
              </c:strCache>
            </c:strRef>
          </c:tx>
          <c:dLbls>
            <c:dLbl>
              <c:idx val="0"/>
              <c:tx>
                <c:rich>
                  <a:bodyPr/>
                  <a:lstStyle/>
                  <a:p>
                    <a:r>
                      <a:rPr lang="en-US" sz="900" b="1" baseline="0"/>
                      <a:t>25.85 </a:t>
                    </a:r>
                    <a:r>
                      <a:rPr lang="en-US" baseline="0"/>
                      <a:t>WTE</a:t>
                    </a:r>
                    <a:endParaRPr lang="en-US"/>
                  </a:p>
                </c:rich>
              </c:tx>
              <c:dLblPos val="ctr"/>
              <c:showVal val="1"/>
            </c:dLbl>
            <c:dLbl>
              <c:idx val="1"/>
              <c:tx>
                <c:rich>
                  <a:bodyPr/>
                  <a:lstStyle/>
                  <a:p>
                    <a:r>
                      <a:rPr lang="en-US"/>
                      <a:t>17.18 WTE</a:t>
                    </a:r>
                  </a:p>
                </c:rich>
              </c:tx>
              <c:dLblPos val="ctr"/>
              <c:showVal val="1"/>
            </c:dLbl>
            <c:dLbl>
              <c:idx val="2"/>
              <c:tx>
                <c:rich>
                  <a:bodyPr/>
                  <a:lstStyle/>
                  <a:p>
                    <a:r>
                      <a:rPr lang="en-US" sz="900" b="1" baseline="0"/>
                      <a:t>18.07</a:t>
                    </a:r>
                    <a:r>
                      <a:rPr lang="en-US" baseline="0"/>
                      <a:t> WTE</a:t>
                    </a:r>
                    <a:endParaRPr lang="en-US"/>
                  </a:p>
                </c:rich>
              </c:tx>
              <c:dLblPos val="ctr"/>
              <c:showVal val="1"/>
            </c:dLbl>
            <c:dLbl>
              <c:idx val="3"/>
              <c:tx>
                <c:rich>
                  <a:bodyPr/>
                  <a:lstStyle/>
                  <a:p>
                    <a:r>
                      <a:rPr lang="en-US" sz="900" b="1"/>
                      <a:t>18.25 </a:t>
                    </a:r>
                    <a:r>
                      <a:rPr lang="en-US"/>
                      <a:t>WTE</a:t>
                    </a:r>
                  </a:p>
                </c:rich>
              </c:tx>
              <c:dLblPos val="ctr"/>
              <c:showVal val="1"/>
            </c:dLbl>
            <c:dLbl>
              <c:idx val="4"/>
              <c:tx>
                <c:rich>
                  <a:bodyPr/>
                  <a:lstStyle/>
                  <a:p>
                    <a:r>
                      <a:rPr lang="en-US" baseline="0"/>
                      <a:t>15.30 WTE</a:t>
                    </a:r>
                    <a:endParaRPr lang="en-US"/>
                  </a:p>
                </c:rich>
              </c:tx>
              <c:dLblPos val="ctr"/>
              <c:showVal val="1"/>
            </c:dLbl>
            <c:dLbl>
              <c:idx val="5"/>
              <c:tx>
                <c:rich>
                  <a:bodyPr/>
                  <a:lstStyle/>
                  <a:p>
                    <a:r>
                      <a:rPr lang="en-US" baseline="0"/>
                      <a:t>31.32 WTE</a:t>
                    </a:r>
                    <a:endParaRPr lang="en-US"/>
                  </a:p>
                </c:rich>
              </c:tx>
              <c:dLblPos val="ctr"/>
              <c:showVal val="1"/>
            </c:dLbl>
            <c:dLbl>
              <c:idx val="6"/>
              <c:tx>
                <c:rich>
                  <a:bodyPr/>
                  <a:lstStyle/>
                  <a:p>
                    <a:r>
                      <a:rPr lang="en-US" baseline="0"/>
                      <a:t>41.41 WTE</a:t>
                    </a:r>
                    <a:endParaRPr lang="en-US"/>
                  </a:p>
                </c:rich>
              </c:tx>
              <c:dLblPos val="ctr"/>
              <c:showVal val="1"/>
            </c:dLbl>
            <c:dLbl>
              <c:idx val="7"/>
              <c:tx>
                <c:rich>
                  <a:bodyPr/>
                  <a:lstStyle/>
                  <a:p>
                    <a:r>
                      <a:rPr lang="en-US" baseline="0"/>
                      <a:t>17.17 WTE</a:t>
                    </a:r>
                    <a:endParaRPr lang="en-US"/>
                  </a:p>
                </c:rich>
              </c:tx>
              <c:dLblPos val="ctr"/>
              <c:showVal val="1"/>
            </c:dLbl>
            <c:dLbl>
              <c:idx val="8"/>
              <c:tx>
                <c:rich>
                  <a:bodyPr/>
                  <a:lstStyle/>
                  <a:p>
                    <a:r>
                      <a:rPr lang="en-US" baseline="0"/>
                      <a:t>22.13 WTE</a:t>
                    </a:r>
                    <a:endParaRPr lang="en-US"/>
                  </a:p>
                </c:rich>
              </c:tx>
              <c:dLblPos val="ctr"/>
              <c:showVal val="1"/>
            </c:dLbl>
            <c:dLbl>
              <c:idx val="9"/>
              <c:tx>
                <c:rich>
                  <a:bodyPr/>
                  <a:lstStyle/>
                  <a:p>
                    <a:r>
                      <a:rPr lang="en-US" sz="900" b="1" baseline="0"/>
                      <a:t>6.54 </a:t>
                    </a:r>
                    <a:r>
                      <a:rPr lang="en-US" baseline="0"/>
                      <a:t>WTE</a:t>
                    </a:r>
                    <a:endParaRPr lang="en-US"/>
                  </a:p>
                </c:rich>
              </c:tx>
              <c:dLblPos val="ctr"/>
              <c:showVal val="1"/>
            </c:dLbl>
            <c:dLbl>
              <c:idx val="10"/>
              <c:tx>
                <c:rich>
                  <a:bodyPr/>
                  <a:lstStyle/>
                  <a:p>
                    <a:r>
                      <a:rPr lang="en-US" sz="900" b="1" baseline="0"/>
                      <a:t>17.60</a:t>
                    </a:r>
                    <a:r>
                      <a:rPr lang="en-US" baseline="0"/>
                      <a:t> WTE</a:t>
                    </a:r>
                    <a:endParaRPr lang="en-US"/>
                  </a:p>
                </c:rich>
              </c:tx>
              <c:dLblPos val="ctr"/>
              <c:showVal val="1"/>
            </c:dLbl>
            <c:dLbl>
              <c:idx val="11"/>
              <c:tx>
                <c:rich>
                  <a:bodyPr/>
                  <a:lstStyle/>
                  <a:p>
                    <a:r>
                      <a:rPr lang="en-US" sz="900" b="1" baseline="0"/>
                      <a:t>27.87 </a:t>
                    </a:r>
                    <a:r>
                      <a:rPr lang="en-US" baseline="0"/>
                      <a:t>WTE</a:t>
                    </a:r>
                    <a:endParaRPr lang="en-US"/>
                  </a:p>
                </c:rich>
              </c:tx>
              <c:dLblPos val="ctr"/>
              <c:showVal val="1"/>
            </c:dLbl>
            <c:dLbl>
              <c:idx val="12"/>
              <c:tx>
                <c:rich>
                  <a:bodyPr/>
                  <a:lstStyle/>
                  <a:p>
                    <a:r>
                      <a:rPr lang="en-US" sz="900" b="1" baseline="0"/>
                      <a:t>29.23 </a:t>
                    </a:r>
                    <a:r>
                      <a:rPr lang="en-US" baseline="0"/>
                      <a:t>WTE</a:t>
                    </a:r>
                    <a:endParaRPr lang="en-US"/>
                  </a:p>
                </c:rich>
              </c:tx>
              <c:dLblPos val="ctr"/>
              <c:showVal val="1"/>
            </c:dLbl>
            <c:dLbl>
              <c:idx val="13"/>
              <c:tx>
                <c:rich>
                  <a:bodyPr/>
                  <a:lstStyle/>
                  <a:p>
                    <a:r>
                      <a:rPr lang="en-US" baseline="0"/>
                      <a:t>6.54 WTE</a:t>
                    </a:r>
                    <a:endParaRPr lang="en-US"/>
                  </a:p>
                </c:rich>
              </c:tx>
              <c:showVal val="1"/>
            </c:dLbl>
            <c:dLbl>
              <c:idx val="14"/>
              <c:tx>
                <c:rich>
                  <a:bodyPr/>
                  <a:lstStyle/>
                  <a:p>
                    <a:r>
                      <a:rPr lang="en-US"/>
                      <a:t>41.41</a:t>
                    </a:r>
                    <a:r>
                      <a:rPr lang="en-US" baseline="0"/>
                      <a:t> WTE</a:t>
                    </a:r>
                    <a:endParaRPr lang="en-US"/>
                  </a:p>
                </c:rich>
              </c:tx>
              <c:showVal val="1"/>
            </c:dLbl>
            <c:spPr>
              <a:solidFill>
                <a:schemeClr val="bg1"/>
              </a:solidFill>
              <a:ln>
                <a:solidFill>
                  <a:schemeClr val="tx1"/>
                </a:solidFill>
              </a:ln>
            </c:spPr>
            <c:dLblPos val="ctr"/>
            <c:showVal val="1"/>
          </c:dLbls>
          <c:cat>
            <c:multiLvlStrRef>
              <c:f>('BANK &amp; AGENCY'!$C$26:$AQ$26,'BANK &amp; AGENCY'!$A$27:$A$31)</c:f>
              <c:multiLvlStrCache>
                <c:ptCount val="14"/>
                <c:lvl>
                  <c:pt idx="0">
                    <c:v>Sep</c:v>
                  </c:pt>
                  <c:pt idx="1">
                    <c:v>Oct</c:v>
                  </c:pt>
                  <c:pt idx="2">
                    <c:v>Nov</c:v>
                  </c:pt>
                  <c:pt idx="3">
                    <c:v>Dec</c:v>
                  </c:pt>
                  <c:pt idx="4">
                    <c:v>Jan</c:v>
                  </c:pt>
                  <c:pt idx="5">
                    <c:v>Feb</c:v>
                  </c:pt>
                  <c:pt idx="6">
                    <c:v>Mar</c:v>
                  </c:pt>
                  <c:pt idx="7">
                    <c:v>April </c:v>
                  </c:pt>
                  <c:pt idx="8">
                    <c:v>May</c:v>
                  </c:pt>
                  <c:pt idx="9">
                    <c:v>Jun</c:v>
                  </c:pt>
                  <c:pt idx="10">
                    <c:v>Jul</c:v>
                  </c:pt>
                  <c:pt idx="11">
                    <c:v>Aug</c:v>
                  </c:pt>
                  <c:pt idx="12">
                    <c:v>Sept</c:v>
                  </c:pt>
                  <c:pt idx="13">
                    <c:v>Winter </c:v>
                  </c:pt>
                </c:lvl>
                <c:lvl>
                  <c:pt idx="13">
                    <c:v>Medical Agency</c:v>
                  </c:pt>
                </c:lvl>
                <c:lvl>
                  <c:pt idx="13">
                    <c:v>Other Agency</c:v>
                  </c:pt>
                </c:lvl>
                <c:lvl>
                  <c:pt idx="13">
                    <c:v>Agency Nursing</c:v>
                  </c:pt>
                </c:lvl>
                <c:lvl>
                  <c:pt idx="13">
                    <c:v>Bank Nurses</c:v>
                  </c:pt>
                </c:lvl>
              </c:multiLvlStrCache>
            </c:multiLvlStrRef>
          </c:cat>
          <c:val>
            <c:numRef>
              <c:f>'BANK &amp; AGENCY'!$C$28:$AQ$28</c:f>
              <c:numCache>
                <c:formatCode>General</c:formatCode>
                <c:ptCount val="13"/>
                <c:pt idx="0">
                  <c:v>173.37800000000001</c:v>
                </c:pt>
                <c:pt idx="1">
                  <c:v>103.023</c:v>
                </c:pt>
                <c:pt idx="2">
                  <c:v>86.838999999999999</c:v>
                </c:pt>
                <c:pt idx="3">
                  <c:v>94.867999999999995</c:v>
                </c:pt>
                <c:pt idx="4">
                  <c:v>77.747000000000213</c:v>
                </c:pt>
                <c:pt idx="5" formatCode="#,##0.00">
                  <c:v>144.798</c:v>
                </c:pt>
                <c:pt idx="6">
                  <c:v>191.732</c:v>
                </c:pt>
                <c:pt idx="7">
                  <c:v>105.69</c:v>
                </c:pt>
                <c:pt idx="8">
                  <c:v>111.58</c:v>
                </c:pt>
                <c:pt idx="9" formatCode="0.00">
                  <c:v>44.67</c:v>
                </c:pt>
                <c:pt idx="10" formatCode="0.00">
                  <c:v>110.36</c:v>
                </c:pt>
                <c:pt idx="11" formatCode="0.00">
                  <c:v>180.47</c:v>
                </c:pt>
                <c:pt idx="12" formatCode="0.00">
                  <c:v>253.67</c:v>
                </c:pt>
              </c:numCache>
            </c:numRef>
          </c:val>
        </c:ser>
        <c:ser>
          <c:idx val="2"/>
          <c:order val="2"/>
          <c:tx>
            <c:strRef>
              <c:f>'BANK &amp; AGENCY'!$A$29:$B$29</c:f>
              <c:strCache>
                <c:ptCount val="1"/>
                <c:pt idx="0">
                  <c:v>Other Agency</c:v>
                </c:pt>
              </c:strCache>
            </c:strRef>
          </c:tx>
          <c:cat>
            <c:multiLvlStrRef>
              <c:f>('BANK &amp; AGENCY'!$C$26:$AQ$26,'BANK &amp; AGENCY'!$A$27:$A$31)</c:f>
              <c:multiLvlStrCache>
                <c:ptCount val="14"/>
                <c:lvl>
                  <c:pt idx="0">
                    <c:v>Sep</c:v>
                  </c:pt>
                  <c:pt idx="1">
                    <c:v>Oct</c:v>
                  </c:pt>
                  <c:pt idx="2">
                    <c:v>Nov</c:v>
                  </c:pt>
                  <c:pt idx="3">
                    <c:v>Dec</c:v>
                  </c:pt>
                  <c:pt idx="4">
                    <c:v>Jan</c:v>
                  </c:pt>
                  <c:pt idx="5">
                    <c:v>Feb</c:v>
                  </c:pt>
                  <c:pt idx="6">
                    <c:v>Mar</c:v>
                  </c:pt>
                  <c:pt idx="7">
                    <c:v>April </c:v>
                  </c:pt>
                  <c:pt idx="8">
                    <c:v>May</c:v>
                  </c:pt>
                  <c:pt idx="9">
                    <c:v>Jun</c:v>
                  </c:pt>
                  <c:pt idx="10">
                    <c:v>Jul</c:v>
                  </c:pt>
                  <c:pt idx="11">
                    <c:v>Aug</c:v>
                  </c:pt>
                  <c:pt idx="12">
                    <c:v>Sept</c:v>
                  </c:pt>
                  <c:pt idx="13">
                    <c:v>Winter </c:v>
                  </c:pt>
                </c:lvl>
                <c:lvl>
                  <c:pt idx="13">
                    <c:v>Medical Agency</c:v>
                  </c:pt>
                </c:lvl>
                <c:lvl>
                  <c:pt idx="13">
                    <c:v>Other Agency</c:v>
                  </c:pt>
                </c:lvl>
                <c:lvl>
                  <c:pt idx="13">
                    <c:v>Agency Nursing</c:v>
                  </c:pt>
                </c:lvl>
                <c:lvl>
                  <c:pt idx="13">
                    <c:v>Bank Nurses</c:v>
                  </c:pt>
                </c:lvl>
              </c:multiLvlStrCache>
            </c:multiLvlStrRef>
          </c:cat>
          <c:val>
            <c:numRef>
              <c:f>'BANK &amp; AGENCY'!$C$29:$AQ$29</c:f>
              <c:numCache>
                <c:formatCode>General</c:formatCode>
                <c:ptCount val="13"/>
                <c:pt idx="0">
                  <c:v>6.0789999999999997</c:v>
                </c:pt>
                <c:pt idx="1">
                  <c:v>4.5049999999999955</c:v>
                </c:pt>
                <c:pt idx="2">
                  <c:v>9.7779999999999987</c:v>
                </c:pt>
                <c:pt idx="4">
                  <c:v>5.87</c:v>
                </c:pt>
                <c:pt idx="6">
                  <c:v>45.843999999999994</c:v>
                </c:pt>
                <c:pt idx="7">
                  <c:v>8.2000000000000011</c:v>
                </c:pt>
                <c:pt idx="8">
                  <c:v>8.5300000000000011</c:v>
                </c:pt>
                <c:pt idx="9" formatCode="0.00">
                  <c:v>23.34</c:v>
                </c:pt>
                <c:pt idx="10" formatCode="0.00">
                  <c:v>19.43</c:v>
                </c:pt>
                <c:pt idx="11" formatCode="0.00">
                  <c:v>23.39</c:v>
                </c:pt>
                <c:pt idx="12" formatCode="0.00">
                  <c:v>17.88</c:v>
                </c:pt>
              </c:numCache>
            </c:numRef>
          </c:val>
        </c:ser>
        <c:ser>
          <c:idx val="3"/>
          <c:order val="3"/>
          <c:tx>
            <c:strRef>
              <c:f>'BANK &amp; AGENCY'!$A$30:$B$30</c:f>
              <c:strCache>
                <c:ptCount val="1"/>
                <c:pt idx="0">
                  <c:v>Medical Agency</c:v>
                </c:pt>
              </c:strCache>
            </c:strRef>
          </c:tx>
          <c:dLbls>
            <c:dLbl>
              <c:idx val="0"/>
              <c:tx>
                <c:rich>
                  <a:bodyPr/>
                  <a:lstStyle/>
                  <a:p>
                    <a:r>
                      <a:rPr lang="en-US" baseline="0"/>
                      <a:t>10.18 WTE</a:t>
                    </a:r>
                    <a:endParaRPr lang="en-US"/>
                  </a:p>
                </c:rich>
              </c:tx>
              <c:dLblPos val="ctr"/>
              <c:showVal val="1"/>
            </c:dLbl>
            <c:dLbl>
              <c:idx val="1"/>
              <c:tx>
                <c:rich>
                  <a:bodyPr/>
                  <a:lstStyle/>
                  <a:p>
                    <a:r>
                      <a:rPr lang="en-US"/>
                      <a:t>5.02 WTE</a:t>
                    </a:r>
                  </a:p>
                </c:rich>
              </c:tx>
              <c:dLblPos val="ctr"/>
              <c:showVal val="1"/>
            </c:dLbl>
            <c:dLbl>
              <c:idx val="2"/>
              <c:tx>
                <c:rich>
                  <a:bodyPr/>
                  <a:lstStyle/>
                  <a:p>
                    <a:r>
                      <a:rPr lang="en-US" sz="900" b="1" baseline="0"/>
                      <a:t>10.05 </a:t>
                    </a:r>
                    <a:r>
                      <a:rPr lang="en-US" baseline="0"/>
                      <a:t>WTE</a:t>
                    </a:r>
                    <a:endParaRPr lang="en-US"/>
                  </a:p>
                </c:rich>
              </c:tx>
              <c:dLblPos val="ctr"/>
              <c:showVal val="1"/>
            </c:dLbl>
            <c:dLbl>
              <c:idx val="3"/>
              <c:tx>
                <c:rich>
                  <a:bodyPr/>
                  <a:lstStyle/>
                  <a:p>
                    <a:r>
                      <a:rPr lang="en-US" baseline="0"/>
                      <a:t>10.23 WTE</a:t>
                    </a:r>
                    <a:endParaRPr lang="en-US"/>
                  </a:p>
                </c:rich>
              </c:tx>
              <c:dLblPos val="ctr"/>
              <c:showVal val="1"/>
            </c:dLbl>
            <c:dLbl>
              <c:idx val="4"/>
              <c:tx>
                <c:rich>
                  <a:bodyPr/>
                  <a:lstStyle/>
                  <a:p>
                    <a:r>
                      <a:rPr lang="en-US" baseline="0"/>
                      <a:t>10.66 WTE</a:t>
                    </a:r>
                    <a:endParaRPr lang="en-US"/>
                  </a:p>
                </c:rich>
              </c:tx>
              <c:dLblPos val="ctr"/>
              <c:showVal val="1"/>
            </c:dLbl>
            <c:dLbl>
              <c:idx val="5"/>
              <c:tx>
                <c:rich>
                  <a:bodyPr/>
                  <a:lstStyle/>
                  <a:p>
                    <a:r>
                      <a:rPr lang="en-US" sz="900" b="1" baseline="0"/>
                      <a:t>5.81</a:t>
                    </a:r>
                    <a:r>
                      <a:rPr lang="en-US" baseline="0"/>
                      <a:t> WTE</a:t>
                    </a:r>
                    <a:endParaRPr lang="en-US"/>
                  </a:p>
                </c:rich>
              </c:tx>
              <c:dLblPos val="ctr"/>
              <c:showVal val="1"/>
            </c:dLbl>
            <c:dLbl>
              <c:idx val="6"/>
              <c:tx>
                <c:rich>
                  <a:bodyPr/>
                  <a:lstStyle/>
                  <a:p>
                    <a:r>
                      <a:rPr lang="en-US" sz="900" b="1" baseline="0"/>
                      <a:t>3.19</a:t>
                    </a:r>
                    <a:r>
                      <a:rPr lang="en-US" baseline="0"/>
                      <a:t> WTE</a:t>
                    </a:r>
                    <a:endParaRPr lang="en-US"/>
                  </a:p>
                </c:rich>
              </c:tx>
              <c:dLblPos val="ctr"/>
              <c:showVal val="1"/>
            </c:dLbl>
            <c:dLbl>
              <c:idx val="7"/>
              <c:tx>
                <c:rich>
                  <a:bodyPr/>
                  <a:lstStyle/>
                  <a:p>
                    <a:r>
                      <a:rPr lang="en-US" baseline="0"/>
                      <a:t>13.63 WTE</a:t>
                    </a:r>
                    <a:endParaRPr lang="en-US"/>
                  </a:p>
                </c:rich>
              </c:tx>
              <c:dLblPos val="ctr"/>
              <c:showVal val="1"/>
            </c:dLbl>
            <c:dLbl>
              <c:idx val="8"/>
              <c:tx>
                <c:rich>
                  <a:bodyPr/>
                  <a:lstStyle/>
                  <a:p>
                    <a:r>
                      <a:rPr lang="en-US" sz="900" b="1" baseline="0"/>
                      <a:t>13.78 </a:t>
                    </a:r>
                    <a:r>
                      <a:rPr lang="en-US" baseline="0"/>
                      <a:t>WTE</a:t>
                    </a:r>
                    <a:endParaRPr lang="en-US"/>
                  </a:p>
                </c:rich>
              </c:tx>
              <c:dLblPos val="ctr"/>
              <c:showVal val="1"/>
            </c:dLbl>
            <c:dLbl>
              <c:idx val="9"/>
              <c:tx>
                <c:rich>
                  <a:bodyPr/>
                  <a:lstStyle/>
                  <a:p>
                    <a:r>
                      <a:rPr lang="en-US" sz="900" b="1" baseline="0"/>
                      <a:t>12.65</a:t>
                    </a:r>
                    <a:r>
                      <a:rPr lang="en-US" baseline="0"/>
                      <a:t> WTE</a:t>
                    </a:r>
                    <a:endParaRPr lang="en-US"/>
                  </a:p>
                </c:rich>
              </c:tx>
              <c:dLblPos val="ctr"/>
              <c:showVal val="1"/>
            </c:dLbl>
            <c:dLbl>
              <c:idx val="10"/>
              <c:tx>
                <c:rich>
                  <a:bodyPr/>
                  <a:lstStyle/>
                  <a:p>
                    <a:r>
                      <a:rPr lang="en-US" baseline="0"/>
                      <a:t>11.98 WTE</a:t>
                    </a:r>
                    <a:endParaRPr lang="en-US"/>
                  </a:p>
                </c:rich>
              </c:tx>
              <c:dLblPos val="ctr"/>
              <c:showVal val="1"/>
            </c:dLbl>
            <c:dLbl>
              <c:idx val="11"/>
              <c:tx>
                <c:rich>
                  <a:bodyPr/>
                  <a:lstStyle/>
                  <a:p>
                    <a:r>
                      <a:rPr lang="en-US" baseline="0"/>
                      <a:t>15.68 WTE</a:t>
                    </a:r>
                    <a:endParaRPr lang="en-US"/>
                  </a:p>
                </c:rich>
              </c:tx>
              <c:dLblPos val="ctr"/>
              <c:showVal val="1"/>
            </c:dLbl>
            <c:dLbl>
              <c:idx val="12"/>
              <c:tx>
                <c:rich>
                  <a:bodyPr/>
                  <a:lstStyle/>
                  <a:p>
                    <a:r>
                      <a:rPr lang="en-US" sz="900" b="1" baseline="0"/>
                      <a:t>13.76 </a:t>
                    </a:r>
                    <a:r>
                      <a:rPr lang="en-US" baseline="0"/>
                      <a:t>WTE</a:t>
                    </a:r>
                    <a:endParaRPr lang="en-US"/>
                  </a:p>
                </c:rich>
              </c:tx>
              <c:dLblPos val="ctr"/>
              <c:showVal val="1"/>
            </c:dLbl>
            <c:dLbl>
              <c:idx val="13"/>
              <c:tx>
                <c:rich>
                  <a:bodyPr/>
                  <a:lstStyle/>
                  <a:p>
                    <a:r>
                      <a:rPr lang="en-US" baseline="0"/>
                      <a:t>12.65 WTE</a:t>
                    </a:r>
                    <a:endParaRPr lang="en-US"/>
                  </a:p>
                </c:rich>
              </c:tx>
              <c:showVal val="1"/>
            </c:dLbl>
            <c:dLbl>
              <c:idx val="14"/>
              <c:tx>
                <c:rich>
                  <a:bodyPr/>
                  <a:lstStyle/>
                  <a:p>
                    <a:r>
                      <a:rPr lang="en-US"/>
                      <a:t>7.19</a:t>
                    </a:r>
                    <a:r>
                      <a:rPr lang="en-US" baseline="0"/>
                      <a:t> WTE</a:t>
                    </a:r>
                    <a:endParaRPr lang="en-US"/>
                  </a:p>
                </c:rich>
              </c:tx>
              <c:showVal val="1"/>
            </c:dLbl>
            <c:spPr>
              <a:solidFill>
                <a:schemeClr val="bg1"/>
              </a:solidFill>
              <a:ln w="3175">
                <a:solidFill>
                  <a:schemeClr val="tx1"/>
                </a:solidFill>
              </a:ln>
            </c:spPr>
            <c:dLblPos val="ctr"/>
            <c:showVal val="1"/>
          </c:dLbls>
          <c:cat>
            <c:multiLvlStrRef>
              <c:f>('BANK &amp; AGENCY'!$C$26:$AQ$26,'BANK &amp; AGENCY'!$A$27:$A$31)</c:f>
              <c:multiLvlStrCache>
                <c:ptCount val="14"/>
                <c:lvl>
                  <c:pt idx="0">
                    <c:v>Sep</c:v>
                  </c:pt>
                  <c:pt idx="1">
                    <c:v>Oct</c:v>
                  </c:pt>
                  <c:pt idx="2">
                    <c:v>Nov</c:v>
                  </c:pt>
                  <c:pt idx="3">
                    <c:v>Dec</c:v>
                  </c:pt>
                  <c:pt idx="4">
                    <c:v>Jan</c:v>
                  </c:pt>
                  <c:pt idx="5">
                    <c:v>Feb</c:v>
                  </c:pt>
                  <c:pt idx="6">
                    <c:v>Mar</c:v>
                  </c:pt>
                  <c:pt idx="7">
                    <c:v>April </c:v>
                  </c:pt>
                  <c:pt idx="8">
                    <c:v>May</c:v>
                  </c:pt>
                  <c:pt idx="9">
                    <c:v>Jun</c:v>
                  </c:pt>
                  <c:pt idx="10">
                    <c:v>Jul</c:v>
                  </c:pt>
                  <c:pt idx="11">
                    <c:v>Aug</c:v>
                  </c:pt>
                  <c:pt idx="12">
                    <c:v>Sept</c:v>
                  </c:pt>
                  <c:pt idx="13">
                    <c:v>Winter </c:v>
                  </c:pt>
                </c:lvl>
                <c:lvl>
                  <c:pt idx="13">
                    <c:v>Medical Agency</c:v>
                  </c:pt>
                </c:lvl>
                <c:lvl>
                  <c:pt idx="13">
                    <c:v>Other Agency</c:v>
                  </c:pt>
                </c:lvl>
                <c:lvl>
                  <c:pt idx="13">
                    <c:v>Agency Nursing</c:v>
                  </c:pt>
                </c:lvl>
                <c:lvl>
                  <c:pt idx="13">
                    <c:v>Bank Nurses</c:v>
                  </c:pt>
                </c:lvl>
              </c:multiLvlStrCache>
            </c:multiLvlStrRef>
          </c:cat>
          <c:val>
            <c:numRef>
              <c:f>'BANK &amp; AGENCY'!$C$30:$AQ$30</c:f>
              <c:numCache>
                <c:formatCode>General</c:formatCode>
                <c:ptCount val="13"/>
                <c:pt idx="0">
                  <c:v>183.03300000000002</c:v>
                </c:pt>
                <c:pt idx="1">
                  <c:v>154</c:v>
                </c:pt>
                <c:pt idx="2" formatCode="#,##0.000">
                  <c:v>173.74299999999999</c:v>
                </c:pt>
                <c:pt idx="3">
                  <c:v>206.791</c:v>
                </c:pt>
                <c:pt idx="4">
                  <c:v>142.99</c:v>
                </c:pt>
                <c:pt idx="5" formatCode="#,##0.00">
                  <c:v>116.101</c:v>
                </c:pt>
                <c:pt idx="6">
                  <c:v>12</c:v>
                </c:pt>
                <c:pt idx="7">
                  <c:v>253.58</c:v>
                </c:pt>
                <c:pt idx="8">
                  <c:v>249.88000000000042</c:v>
                </c:pt>
                <c:pt idx="9" formatCode="0.00">
                  <c:v>250.23999999999998</c:v>
                </c:pt>
                <c:pt idx="10" formatCode="0.00">
                  <c:v>292.39</c:v>
                </c:pt>
                <c:pt idx="11" formatCode="0.00">
                  <c:v>304.3</c:v>
                </c:pt>
                <c:pt idx="12" formatCode="0.00">
                  <c:v>328.45</c:v>
                </c:pt>
              </c:numCache>
            </c:numRef>
          </c:val>
        </c:ser>
        <c:ser>
          <c:idx val="4"/>
          <c:order val="4"/>
          <c:tx>
            <c:strRef>
              <c:f>'BANK &amp; AGENCY'!$A$31:$B$31</c:f>
              <c:strCache>
                <c:ptCount val="1"/>
                <c:pt idx="0">
                  <c:v>Winter </c:v>
                </c:pt>
              </c:strCache>
            </c:strRef>
          </c:tx>
          <c:dLbls>
            <c:dLbl>
              <c:idx val="1"/>
              <c:tx>
                <c:rich>
                  <a:bodyPr/>
                  <a:lstStyle/>
                  <a:p>
                    <a:r>
                      <a:rPr lang="en-US"/>
                      <a:t>5.29 WTE</a:t>
                    </a:r>
                  </a:p>
                </c:rich>
              </c:tx>
              <c:dLblPos val="ctr"/>
              <c:showVal val="1"/>
            </c:dLbl>
            <c:dLbl>
              <c:idx val="2"/>
              <c:tx>
                <c:rich>
                  <a:bodyPr/>
                  <a:lstStyle/>
                  <a:p>
                    <a:r>
                      <a:rPr lang="en-US"/>
                      <a:t>13.18 WTE</a:t>
                    </a:r>
                  </a:p>
                </c:rich>
              </c:tx>
              <c:dLblPos val="ctr"/>
              <c:showVal val="1"/>
            </c:dLbl>
            <c:dLbl>
              <c:idx val="3"/>
              <c:tx>
                <c:rich>
                  <a:bodyPr/>
                  <a:lstStyle/>
                  <a:p>
                    <a:r>
                      <a:rPr lang="en-US" baseline="0"/>
                      <a:t>17.10 WTE</a:t>
                    </a:r>
                    <a:endParaRPr lang="en-US"/>
                  </a:p>
                </c:rich>
              </c:tx>
              <c:dLblPos val="ctr"/>
              <c:showVal val="1"/>
            </c:dLbl>
            <c:dLbl>
              <c:idx val="4"/>
              <c:tx>
                <c:rich>
                  <a:bodyPr/>
                  <a:lstStyle/>
                  <a:p>
                    <a:r>
                      <a:rPr lang="en-US" baseline="0"/>
                      <a:t>17.21 WTE</a:t>
                    </a:r>
                    <a:endParaRPr lang="en-US"/>
                  </a:p>
                </c:rich>
              </c:tx>
              <c:dLblPos val="ctr"/>
              <c:showVal val="1"/>
            </c:dLbl>
            <c:dLbl>
              <c:idx val="5"/>
              <c:tx>
                <c:rich>
                  <a:bodyPr/>
                  <a:lstStyle/>
                  <a:p>
                    <a:r>
                      <a:rPr lang="en-US" baseline="0"/>
                      <a:t>13.94 WTE</a:t>
                    </a:r>
                    <a:endParaRPr lang="en-US"/>
                  </a:p>
                </c:rich>
              </c:tx>
              <c:dLblPos val="ctr"/>
              <c:showVal val="1"/>
            </c:dLbl>
            <c:dLbl>
              <c:idx val="6"/>
              <c:tx>
                <c:rich>
                  <a:bodyPr/>
                  <a:lstStyle/>
                  <a:p>
                    <a:r>
                      <a:rPr lang="en-US" baseline="0"/>
                      <a:t>12.10 WTE</a:t>
                    </a:r>
                    <a:endParaRPr lang="en-US"/>
                  </a:p>
                </c:rich>
              </c:tx>
              <c:dLblPos val="ctr"/>
              <c:showVal val="1"/>
            </c:dLbl>
            <c:dLbl>
              <c:idx val="7"/>
              <c:delete val="1"/>
            </c:dLbl>
            <c:dLbl>
              <c:idx val="8"/>
              <c:delete val="1"/>
            </c:dLbl>
            <c:dLbl>
              <c:idx val="9"/>
              <c:delete val="1"/>
            </c:dLbl>
            <c:dLbl>
              <c:idx val="10"/>
              <c:delete val="1"/>
            </c:dLbl>
            <c:dLbl>
              <c:idx val="11"/>
              <c:delete val="1"/>
            </c:dLbl>
            <c:dLbl>
              <c:idx val="12"/>
              <c:delete val="1"/>
            </c:dLbl>
            <c:dLbl>
              <c:idx val="13"/>
              <c:delete val="1"/>
            </c:dLbl>
            <c:dLbl>
              <c:idx val="14"/>
              <c:tx>
                <c:rich>
                  <a:bodyPr/>
                  <a:lstStyle/>
                  <a:p>
                    <a:r>
                      <a:rPr lang="en-US"/>
                      <a:t>7.10</a:t>
                    </a:r>
                    <a:r>
                      <a:rPr lang="en-US" baseline="0"/>
                      <a:t> WTE</a:t>
                    </a:r>
                    <a:endParaRPr lang="en-US"/>
                  </a:p>
                </c:rich>
              </c:tx>
              <c:showVal val="1"/>
            </c:dLbl>
            <c:spPr>
              <a:solidFill>
                <a:schemeClr val="bg1"/>
              </a:solidFill>
              <a:ln>
                <a:solidFill>
                  <a:schemeClr val="tx1"/>
                </a:solidFill>
              </a:ln>
            </c:spPr>
            <c:dLblPos val="ctr"/>
            <c:showVal val="1"/>
          </c:dLbls>
          <c:cat>
            <c:multiLvlStrRef>
              <c:f>('BANK &amp; AGENCY'!$C$26:$AQ$26,'BANK &amp; AGENCY'!$A$27:$A$31)</c:f>
              <c:multiLvlStrCache>
                <c:ptCount val="14"/>
                <c:lvl>
                  <c:pt idx="0">
                    <c:v>Sep</c:v>
                  </c:pt>
                  <c:pt idx="1">
                    <c:v>Oct</c:v>
                  </c:pt>
                  <c:pt idx="2">
                    <c:v>Nov</c:v>
                  </c:pt>
                  <c:pt idx="3">
                    <c:v>Dec</c:v>
                  </c:pt>
                  <c:pt idx="4">
                    <c:v>Jan</c:v>
                  </c:pt>
                  <c:pt idx="5">
                    <c:v>Feb</c:v>
                  </c:pt>
                  <c:pt idx="6">
                    <c:v>Mar</c:v>
                  </c:pt>
                  <c:pt idx="7">
                    <c:v>April </c:v>
                  </c:pt>
                  <c:pt idx="8">
                    <c:v>May</c:v>
                  </c:pt>
                  <c:pt idx="9">
                    <c:v>Jun</c:v>
                  </c:pt>
                  <c:pt idx="10">
                    <c:v>Jul</c:v>
                  </c:pt>
                  <c:pt idx="11">
                    <c:v>Aug</c:v>
                  </c:pt>
                  <c:pt idx="12">
                    <c:v>Sept</c:v>
                  </c:pt>
                  <c:pt idx="13">
                    <c:v>Winter </c:v>
                  </c:pt>
                </c:lvl>
                <c:lvl>
                  <c:pt idx="13">
                    <c:v>Medical Agency</c:v>
                  </c:pt>
                </c:lvl>
                <c:lvl>
                  <c:pt idx="13">
                    <c:v>Other Agency</c:v>
                  </c:pt>
                </c:lvl>
                <c:lvl>
                  <c:pt idx="13">
                    <c:v>Agency Nursing</c:v>
                  </c:pt>
                </c:lvl>
                <c:lvl>
                  <c:pt idx="13">
                    <c:v>Bank Nurses</c:v>
                  </c:pt>
                </c:lvl>
              </c:multiLvlStrCache>
            </c:multiLvlStrRef>
          </c:cat>
          <c:val>
            <c:numRef>
              <c:f>'BANK &amp; AGENCY'!$C$31:$AQ$31</c:f>
              <c:numCache>
                <c:formatCode>General</c:formatCode>
                <c:ptCount val="13"/>
                <c:pt idx="1">
                  <c:v>81</c:v>
                </c:pt>
                <c:pt idx="2">
                  <c:v>187.756</c:v>
                </c:pt>
                <c:pt idx="3">
                  <c:v>272.28500000000003</c:v>
                </c:pt>
                <c:pt idx="4">
                  <c:v>288.77099999999916</c:v>
                </c:pt>
                <c:pt idx="5" formatCode="#,##0.000">
                  <c:v>149.721</c:v>
                </c:pt>
                <c:pt idx="6" formatCode="#,##0.00">
                  <c:v>181.036</c:v>
                </c:pt>
                <c:pt idx="7">
                  <c:v>0</c:v>
                </c:pt>
                <c:pt idx="8">
                  <c:v>0</c:v>
                </c:pt>
                <c:pt idx="9" formatCode="0.00">
                  <c:v>0</c:v>
                </c:pt>
                <c:pt idx="10" formatCode="0.00">
                  <c:v>0</c:v>
                </c:pt>
                <c:pt idx="11" formatCode="0.00">
                  <c:v>0</c:v>
                </c:pt>
                <c:pt idx="12" formatCode="0.00">
                  <c:v>0</c:v>
                </c:pt>
              </c:numCache>
            </c:numRef>
          </c:val>
        </c:ser>
        <c:overlap val="100"/>
        <c:axId val="84465536"/>
        <c:axId val="84926464"/>
      </c:barChart>
      <c:catAx>
        <c:axId val="84465536"/>
        <c:scaling>
          <c:orientation val="minMax"/>
        </c:scaling>
        <c:axPos val="b"/>
        <c:title>
          <c:tx>
            <c:rich>
              <a:bodyPr/>
              <a:lstStyle/>
              <a:p>
                <a:pPr>
                  <a:defRPr/>
                </a:pPr>
                <a:r>
                  <a:rPr lang="en-US"/>
                  <a:t>Months</a:t>
                </a:r>
              </a:p>
            </c:rich>
          </c:tx>
        </c:title>
        <c:numFmt formatCode="General" sourceLinked="1"/>
        <c:tickLblPos val="nextTo"/>
        <c:crossAx val="84926464"/>
        <c:crosses val="autoZero"/>
        <c:auto val="1"/>
        <c:lblAlgn val="ctr"/>
        <c:lblOffset val="100"/>
      </c:catAx>
      <c:valAx>
        <c:axId val="84926464"/>
        <c:scaling>
          <c:orientation val="minMax"/>
        </c:scaling>
        <c:axPos val="l"/>
        <c:majorGridlines/>
        <c:title>
          <c:tx>
            <c:rich>
              <a:bodyPr rot="-5400000" vert="horz"/>
              <a:lstStyle/>
              <a:p>
                <a:pPr>
                  <a:defRPr/>
                </a:pPr>
                <a:r>
                  <a:rPr lang="en-US"/>
                  <a:t>£000's</a:t>
                </a:r>
              </a:p>
            </c:rich>
          </c:tx>
        </c:title>
        <c:numFmt formatCode="General" sourceLinked="1"/>
        <c:tickLblPos val="nextTo"/>
        <c:crossAx val="84465536"/>
        <c:crosses val="autoZero"/>
        <c:crossBetween val="between"/>
      </c:valAx>
      <c:spPr>
        <a:ln w="381" cmpd="dbl"/>
      </c:spPr>
    </c:plotArea>
    <c:legend>
      <c:legendPos val="t"/>
      <c:layout>
        <c:manualLayout>
          <c:xMode val="edge"/>
          <c:yMode val="edge"/>
          <c:x val="0.2037837563044782"/>
          <c:y val="0.12305225140622121"/>
          <c:w val="0.62414223790529921"/>
          <c:h val="4.2780932284074126E-2"/>
        </c:manualLayout>
      </c:layout>
    </c:legend>
    <c:plotVisOnly val="1"/>
  </c:chart>
  <c:spPr>
    <a:solidFill>
      <a:schemeClr val="lt1"/>
    </a:solidFill>
    <a:ln w="55000" cap="flat" cmpd="thickThin" algn="ctr">
      <a:solidFill>
        <a:schemeClr val="accent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style val="26"/>
  <c:chart>
    <c:title>
      <c:tx>
        <c:rich>
          <a:bodyPr/>
          <a:lstStyle/>
          <a:p>
            <a:pPr>
              <a:defRPr/>
            </a:pPr>
            <a:r>
              <a:rPr lang="en-GB"/>
              <a:t>Sickness Absence Rates</a:t>
            </a:r>
          </a:p>
        </c:rich>
      </c:tx>
    </c:title>
    <c:plotArea>
      <c:layout/>
      <c:lineChart>
        <c:grouping val="standard"/>
        <c:ser>
          <c:idx val="0"/>
          <c:order val="0"/>
          <c:tx>
            <c:strRef>
              <c:f>'Sickness Absence Table'!$A$3</c:f>
              <c:strCache>
                <c:ptCount val="1"/>
                <c:pt idx="0">
                  <c:v>Sept 12 - Sept 13</c:v>
                </c:pt>
              </c:strCache>
            </c:strRef>
          </c:tx>
          <c:marker>
            <c:symbol val="none"/>
          </c:marker>
          <c:cat>
            <c:strRef>
              <c:f>'Sickness Absence Table'!$B$2:$O$2</c:f>
              <c:strCache>
                <c:ptCount val="13"/>
                <c:pt idx="0">
                  <c:v>Sep</c:v>
                </c:pt>
                <c:pt idx="1">
                  <c:v>Oct</c:v>
                </c:pt>
                <c:pt idx="2">
                  <c:v>Nov</c:v>
                </c:pt>
                <c:pt idx="3">
                  <c:v>Dec</c:v>
                </c:pt>
                <c:pt idx="4">
                  <c:v>Jan</c:v>
                </c:pt>
                <c:pt idx="5">
                  <c:v>Feb </c:v>
                </c:pt>
                <c:pt idx="6">
                  <c:v>Mar</c:v>
                </c:pt>
                <c:pt idx="7">
                  <c:v>Apr</c:v>
                </c:pt>
                <c:pt idx="8">
                  <c:v>May</c:v>
                </c:pt>
                <c:pt idx="9">
                  <c:v>June</c:v>
                </c:pt>
                <c:pt idx="10">
                  <c:v>July</c:v>
                </c:pt>
                <c:pt idx="11">
                  <c:v>August</c:v>
                </c:pt>
                <c:pt idx="12">
                  <c:v>Sept</c:v>
                </c:pt>
              </c:strCache>
            </c:strRef>
          </c:cat>
          <c:val>
            <c:numRef>
              <c:f>'Sickness Absence Table'!$B$3:$O$3</c:f>
              <c:numCache>
                <c:formatCode>0.00%</c:formatCode>
                <c:ptCount val="13"/>
                <c:pt idx="0">
                  <c:v>3.5799999999999998E-2</c:v>
                </c:pt>
                <c:pt idx="1">
                  <c:v>3.7700000000000011E-2</c:v>
                </c:pt>
                <c:pt idx="2">
                  <c:v>3.9000000000000014E-2</c:v>
                </c:pt>
                <c:pt idx="3">
                  <c:v>4.7600000000000003E-2</c:v>
                </c:pt>
                <c:pt idx="4">
                  <c:v>4.7600000000000003E-2</c:v>
                </c:pt>
                <c:pt idx="5">
                  <c:v>4.3400000000000001E-2</c:v>
                </c:pt>
                <c:pt idx="6">
                  <c:v>4.0000000000000022E-2</c:v>
                </c:pt>
                <c:pt idx="7">
                  <c:v>3.670000000000001E-2</c:v>
                </c:pt>
                <c:pt idx="8">
                  <c:v>3.0000000000000002E-2</c:v>
                </c:pt>
                <c:pt idx="9">
                  <c:v>3.1100000000000006E-2</c:v>
                </c:pt>
                <c:pt idx="10">
                  <c:v>3.1000000000000052E-2</c:v>
                </c:pt>
                <c:pt idx="11">
                  <c:v>3.4700000000000002E-2</c:v>
                </c:pt>
                <c:pt idx="12">
                  <c:v>4.0599999999999997E-2</c:v>
                </c:pt>
              </c:numCache>
            </c:numRef>
          </c:val>
        </c:ser>
        <c:ser>
          <c:idx val="1"/>
          <c:order val="1"/>
          <c:tx>
            <c:strRef>
              <c:f>'Sickness Absence Table'!$A$4</c:f>
              <c:strCache>
                <c:ptCount val="1"/>
                <c:pt idx="0">
                  <c:v>Sept 13 - Sept 14</c:v>
                </c:pt>
              </c:strCache>
            </c:strRef>
          </c:tx>
          <c:marker>
            <c:symbol val="none"/>
          </c:marker>
          <c:cat>
            <c:strRef>
              <c:f>'Sickness Absence Table'!$B$2:$O$2</c:f>
              <c:strCache>
                <c:ptCount val="13"/>
                <c:pt idx="0">
                  <c:v>Sep</c:v>
                </c:pt>
                <c:pt idx="1">
                  <c:v>Oct</c:v>
                </c:pt>
                <c:pt idx="2">
                  <c:v>Nov</c:v>
                </c:pt>
                <c:pt idx="3">
                  <c:v>Dec</c:v>
                </c:pt>
                <c:pt idx="4">
                  <c:v>Jan</c:v>
                </c:pt>
                <c:pt idx="5">
                  <c:v>Feb </c:v>
                </c:pt>
                <c:pt idx="6">
                  <c:v>Mar</c:v>
                </c:pt>
                <c:pt idx="7">
                  <c:v>Apr</c:v>
                </c:pt>
                <c:pt idx="8">
                  <c:v>May</c:v>
                </c:pt>
                <c:pt idx="9">
                  <c:v>June</c:v>
                </c:pt>
                <c:pt idx="10">
                  <c:v>July</c:v>
                </c:pt>
                <c:pt idx="11">
                  <c:v>August</c:v>
                </c:pt>
                <c:pt idx="12">
                  <c:v>Sept</c:v>
                </c:pt>
              </c:strCache>
            </c:strRef>
          </c:cat>
          <c:val>
            <c:numRef>
              <c:f>'Sickness Absence Table'!$B$4:$O$4</c:f>
              <c:numCache>
                <c:formatCode>0.00%</c:formatCode>
                <c:ptCount val="13"/>
                <c:pt idx="0">
                  <c:v>4.0599999999999997E-2</c:v>
                </c:pt>
                <c:pt idx="1">
                  <c:v>3.7300000000000041E-2</c:v>
                </c:pt>
                <c:pt idx="2">
                  <c:v>3.9699999999999999E-2</c:v>
                </c:pt>
                <c:pt idx="3">
                  <c:v>4.3199999999999995E-2</c:v>
                </c:pt>
                <c:pt idx="4">
                  <c:v>4.3900000000000002E-2</c:v>
                </c:pt>
                <c:pt idx="5">
                  <c:v>4.3400000000000001E-2</c:v>
                </c:pt>
                <c:pt idx="6">
                  <c:v>4.1800000000000004E-2</c:v>
                </c:pt>
                <c:pt idx="7">
                  <c:v>3.9300000000000002E-2</c:v>
                </c:pt>
                <c:pt idx="8">
                  <c:v>4.2600000000000013E-2</c:v>
                </c:pt>
                <c:pt idx="9">
                  <c:v>3.8800000000000001E-2</c:v>
                </c:pt>
                <c:pt idx="10">
                  <c:v>4.5300000000000014E-2</c:v>
                </c:pt>
                <c:pt idx="11">
                  <c:v>4.36E-2</c:v>
                </c:pt>
                <c:pt idx="12">
                  <c:v>4.5200000000000004E-2</c:v>
                </c:pt>
              </c:numCache>
            </c:numRef>
          </c:val>
        </c:ser>
        <c:ser>
          <c:idx val="2"/>
          <c:order val="2"/>
          <c:tx>
            <c:strRef>
              <c:f>'Sickness Absence Table'!$A$5</c:f>
              <c:strCache>
                <c:ptCount val="1"/>
                <c:pt idx="0">
                  <c:v>Nat Avg Sept 13 - June 14</c:v>
                </c:pt>
              </c:strCache>
            </c:strRef>
          </c:tx>
          <c:marker>
            <c:symbol val="none"/>
          </c:marker>
          <c:cat>
            <c:strRef>
              <c:f>'Sickness Absence Table'!$B$2:$O$2</c:f>
              <c:strCache>
                <c:ptCount val="13"/>
                <c:pt idx="0">
                  <c:v>Sep</c:v>
                </c:pt>
                <c:pt idx="1">
                  <c:v>Oct</c:v>
                </c:pt>
                <c:pt idx="2">
                  <c:v>Nov</c:v>
                </c:pt>
                <c:pt idx="3">
                  <c:v>Dec</c:v>
                </c:pt>
                <c:pt idx="4">
                  <c:v>Jan</c:v>
                </c:pt>
                <c:pt idx="5">
                  <c:v>Feb </c:v>
                </c:pt>
                <c:pt idx="6">
                  <c:v>Mar</c:v>
                </c:pt>
                <c:pt idx="7">
                  <c:v>Apr</c:v>
                </c:pt>
                <c:pt idx="8">
                  <c:v>May</c:v>
                </c:pt>
                <c:pt idx="9">
                  <c:v>June</c:v>
                </c:pt>
                <c:pt idx="10">
                  <c:v>July</c:v>
                </c:pt>
                <c:pt idx="11">
                  <c:v>August</c:v>
                </c:pt>
                <c:pt idx="12">
                  <c:v>Sept</c:v>
                </c:pt>
              </c:strCache>
            </c:strRef>
          </c:cat>
          <c:val>
            <c:numRef>
              <c:f>'Sickness Absence Table'!$B$5:$O$5</c:f>
              <c:numCache>
                <c:formatCode>0.00%</c:formatCode>
                <c:ptCount val="13"/>
                <c:pt idx="0">
                  <c:v>4.02E-2</c:v>
                </c:pt>
                <c:pt idx="1">
                  <c:v>4.2500000000000003E-2</c:v>
                </c:pt>
                <c:pt idx="2">
                  <c:v>4.3199999999999995E-2</c:v>
                </c:pt>
                <c:pt idx="3">
                  <c:v>4.4299999999999999E-2</c:v>
                </c:pt>
                <c:pt idx="4">
                  <c:v>4.5300000000000014E-2</c:v>
                </c:pt>
                <c:pt idx="5">
                  <c:v>4.3800000000000013E-2</c:v>
                </c:pt>
                <c:pt idx="6">
                  <c:v>4.1199999999999987E-2</c:v>
                </c:pt>
                <c:pt idx="7">
                  <c:v>4.0400000000000012E-2</c:v>
                </c:pt>
                <c:pt idx="8">
                  <c:v>3.9300000000000002E-2</c:v>
                </c:pt>
                <c:pt idx="9">
                  <c:v>4.0300000000000023E-2</c:v>
                </c:pt>
              </c:numCache>
            </c:numRef>
          </c:val>
        </c:ser>
        <c:marker val="1"/>
        <c:axId val="85216256"/>
        <c:axId val="85238528"/>
      </c:lineChart>
      <c:catAx>
        <c:axId val="85216256"/>
        <c:scaling>
          <c:orientation val="minMax"/>
        </c:scaling>
        <c:axPos val="b"/>
        <c:numFmt formatCode="mmm\-yy" sourceLinked="1"/>
        <c:tickLblPos val="nextTo"/>
        <c:txPr>
          <a:bodyPr rot="0" vert="horz"/>
          <a:lstStyle/>
          <a:p>
            <a:pPr>
              <a:defRPr/>
            </a:pPr>
            <a:endParaRPr lang="en-US"/>
          </a:p>
        </c:txPr>
        <c:crossAx val="85238528"/>
        <c:crosses val="autoZero"/>
        <c:auto val="1"/>
        <c:lblAlgn val="ctr"/>
        <c:lblOffset val="100"/>
      </c:catAx>
      <c:valAx>
        <c:axId val="85238528"/>
        <c:scaling>
          <c:orientation val="minMax"/>
        </c:scaling>
        <c:axPos val="l"/>
        <c:majorGridlines/>
        <c:numFmt formatCode="0.00%" sourceLinked="1"/>
        <c:tickLblPos val="nextTo"/>
        <c:txPr>
          <a:bodyPr rot="0" vert="horz"/>
          <a:lstStyle/>
          <a:p>
            <a:pPr>
              <a:defRPr/>
            </a:pPr>
            <a:endParaRPr lang="en-US"/>
          </a:p>
        </c:txPr>
        <c:crossAx val="85216256"/>
        <c:crosses val="autoZero"/>
        <c:crossBetween val="between"/>
      </c:valAx>
      <c:dTable>
        <c:showHorzBorder val="1"/>
        <c:showVertBorder val="1"/>
        <c:showOutline val="1"/>
        <c:showKeys val="1"/>
      </c:dTable>
    </c:plotArea>
    <c:plotVisOnly val="1"/>
    <c:dispBlanksAs val="gap"/>
  </c:chart>
  <c:spPr>
    <a:solidFill>
      <a:schemeClr val="lt1"/>
    </a:solidFill>
    <a:ln w="55000" cap="flat" cmpd="thickThin" algn="ctr">
      <a:solidFill>
        <a:schemeClr val="accent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theme/_rels/theme1.xml.rels><?xml version="1.0" encoding="UTF-8" standalone="yes"?>
<Relationships xmlns="http://schemas.openxmlformats.org/package/2006/relationships"><Relationship Id="rId1" Type="http://schemas.openxmlformats.org/officeDocument/2006/relationships/image" Target="../media/image50.jpeg"/></Relationships>
</file>

<file path=word/theme/theme1.xml><?xml version="1.0" encoding="utf-8"?>
<a:theme xmlns:a="http://schemas.openxmlformats.org/drawingml/2006/main" name="Concours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Concourse">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inorFont>
    </a:fontScheme>
    <a:fmtScheme name="Concours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55000"/>
                <a:satMod val="300000"/>
              </a:schemeClr>
            </a:gs>
            <a:gs pos="40000">
              <a:schemeClr val="phClr">
                <a:tint val="65000"/>
                <a:satMod val="300000"/>
              </a:schemeClr>
            </a:gs>
            <a:gs pos="100000">
              <a:schemeClr val="phClr">
                <a:shade val="65000"/>
                <a:satMod val="300000"/>
              </a:schemeClr>
            </a:gs>
          </a:gsLst>
          <a:path path="circle">
            <a:fillToRect l="65000" b="98000"/>
          </a:path>
        </a:gradFill>
        <a:blipFill>
          <a:blip xmlns:r="http://schemas.openxmlformats.org/officeDocument/2006/relationships" r:embed="rId1">
            <a:duotone>
              <a:schemeClr val="phClr">
                <a:shade val="60000"/>
                <a:satMod val="110000"/>
              </a:schemeClr>
              <a:schemeClr val="phClr">
                <a:tint val="95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89F245-428D-452B-A028-F0453BB78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79</Pages>
  <Words>10957</Words>
  <Characters>62455</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Weston Area Health NHS Trust</vt:lpstr>
    </vt:vector>
  </TitlesOfParts>
  <Company>Weston Area Health Trust</Company>
  <LinksUpToDate>false</LinksUpToDate>
  <CharactersWithSpaces>73266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Weston Area Health NHS Trust</dc:title>
  <dc:subject>Integrated Performance Report</dc:subject>
  <dc:creator>higginbottomk</dc:creator>
  <cp:lastModifiedBy>fisherj</cp:lastModifiedBy>
  <cp:revision>5</cp:revision>
  <cp:lastPrinted>2014-11-03T09:49:00Z</cp:lastPrinted>
  <dcterms:created xsi:type="dcterms:W3CDTF">2014-10-28T14:31:00Z</dcterms:created>
  <dcterms:modified xsi:type="dcterms:W3CDTF">2014-11-03T10:37:00Z</dcterms:modified>
</cp:coreProperties>
</file>