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93ABB" w:rsidRDefault="00F93ABB">
      <w:pPr>
        <w:jc w:val="right"/>
        <w:rPr>
          <w:rFonts w:cs="Arial"/>
          <w:b/>
          <w:bCs/>
          <w:sz w:val="20"/>
          <w:szCs w:val="20"/>
        </w:rPr>
      </w:pPr>
      <w:bookmarkStart w:id="0" w:name="_GoBack"/>
      <w:bookmarkEnd w:id="0"/>
    </w:p>
    <w:p w:rsidR="00F93ABB" w:rsidRDefault="00CE528B" w:rsidP="009D6CE0">
      <w:r>
        <w:rPr>
          <w:noProof/>
          <w:lang w:val="en-GB" w:eastAsia="en-GB"/>
        </w:rPr>
        <w:drawing>
          <wp:anchor distT="0" distB="4572" distL="114300" distR="114300" simplePos="0" relativeHeight="251658752" behindDoc="0" locked="0" layoutInCell="1" allowOverlap="1">
            <wp:simplePos x="0" y="0"/>
            <wp:positionH relativeFrom="column">
              <wp:posOffset>-167894</wp:posOffset>
            </wp:positionH>
            <wp:positionV relativeFrom="paragraph">
              <wp:posOffset>4213860</wp:posOffset>
            </wp:positionV>
            <wp:extent cx="1648968" cy="1181227"/>
            <wp:effectExtent l="19050" t="0" r="8382" b="0"/>
            <wp:wrapNone/>
            <wp:docPr id="27" name="Picture 4" descr="K:\eCommunications\Hearing Services\HearingAid.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K:\eCommunications\Hearing Services\HearingAid.gif"/>
                    <pic:cNvPicPr>
                      <a:picLocks noChangeAspect="1" noChangeArrowheads="1"/>
                    </pic:cNvPicPr>
                  </pic:nvPicPr>
                  <pic:blipFill>
                    <a:blip r:embed="rId8" cstate="print"/>
                    <a:srcRect/>
                    <a:stretch>
                      <a:fillRect/>
                    </a:stretch>
                  </pic:blipFill>
                  <pic:spPr bwMode="auto">
                    <a:xfrm>
                      <a:off x="0" y="0"/>
                      <a:ext cx="1648968" cy="1181227"/>
                    </a:xfrm>
                    <a:prstGeom prst="roundRect">
                      <a:avLst/>
                    </a:prstGeom>
                    <a:noFill/>
                    <a:ln w="9525">
                      <a:noFill/>
                      <a:miter lim="800000"/>
                      <a:headEnd/>
                      <a:tailEnd/>
                    </a:ln>
                  </pic:spPr>
                </pic:pic>
              </a:graphicData>
            </a:graphic>
          </wp:anchor>
        </w:drawing>
      </w:r>
      <w:r w:rsidR="000558FF">
        <w:rPr>
          <w:noProof/>
          <w:lang w:val="en-GB" w:eastAsia="en-GB"/>
        </w:rPr>
        <w:pict>
          <v:rect id="_x0000_s1723" style="position:absolute;left:0;text-align:left;margin-left:-11.85pt;margin-top:29.7pt;width:513.75pt;height:423.6pt;z-index:-251662848;mso-position-horizontal-relative:text;mso-position-vertical-relative:text" fillcolor="#369" strokecolor="#36f">
            <v:fill color2="#c9f" rotate="t"/>
            <v:shadow on="t" opacity=".5" offset="-6pt,6pt"/>
            <o:extrusion v:ext="view" color="#ddd"/>
          </v:rect>
        </w:pict>
      </w:r>
    </w:p>
    <w:p w:rsidR="00F93ABB" w:rsidRDefault="00CE528B" w:rsidP="009D6CE0">
      <w:r>
        <w:rPr>
          <w:noProof/>
          <w:lang w:val="en-GB" w:eastAsia="en-GB"/>
        </w:rPr>
        <w:drawing>
          <wp:anchor distT="0" distB="4572" distL="114300" distR="114300" simplePos="0" relativeHeight="251655680" behindDoc="0" locked="0" layoutInCell="1" allowOverlap="1">
            <wp:simplePos x="0" y="0"/>
            <wp:positionH relativeFrom="column">
              <wp:posOffset>-378714</wp:posOffset>
            </wp:positionH>
            <wp:positionV relativeFrom="paragraph">
              <wp:posOffset>91440</wp:posOffset>
            </wp:positionV>
            <wp:extent cx="1638300" cy="1181227"/>
            <wp:effectExtent l="19050" t="0" r="0" b="0"/>
            <wp:wrapNone/>
            <wp:docPr id="26" name="Picture 10" descr="K:\eCommunications\UCC\ED Opening - April 11\ED - April 11 0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K:\eCommunications\UCC\ED Opening - April 11\ED - April 11 016.jpg"/>
                    <pic:cNvPicPr>
                      <a:picLocks noChangeAspect="1" noChangeArrowheads="1"/>
                    </pic:cNvPicPr>
                  </pic:nvPicPr>
                  <pic:blipFill>
                    <a:blip r:embed="rId9" cstate="print">
                      <a:lum bright="10000"/>
                    </a:blip>
                    <a:srcRect/>
                    <a:stretch>
                      <a:fillRect/>
                    </a:stretch>
                  </pic:blipFill>
                  <pic:spPr bwMode="auto">
                    <a:xfrm>
                      <a:off x="0" y="0"/>
                      <a:ext cx="1638300" cy="1181227"/>
                    </a:xfrm>
                    <a:prstGeom prst="roundRect">
                      <a:avLst/>
                    </a:prstGeom>
                    <a:noFill/>
                    <a:ln w="9525">
                      <a:noFill/>
                      <a:miter lim="800000"/>
                      <a:headEnd/>
                      <a:tailEnd/>
                    </a:ln>
                  </pic:spPr>
                </pic:pic>
              </a:graphicData>
            </a:graphic>
          </wp:anchor>
        </w:drawing>
      </w:r>
      <w:r>
        <w:rPr>
          <w:noProof/>
          <w:lang w:val="en-GB" w:eastAsia="en-GB"/>
        </w:rPr>
        <w:drawing>
          <wp:anchor distT="0" distB="0" distL="114300" distR="114300" simplePos="0" relativeHeight="251651584" behindDoc="0" locked="0" layoutInCell="1" allowOverlap="1">
            <wp:simplePos x="0" y="0"/>
            <wp:positionH relativeFrom="margin">
              <wp:posOffset>3061335</wp:posOffset>
            </wp:positionH>
            <wp:positionV relativeFrom="margin">
              <wp:posOffset>-358140</wp:posOffset>
            </wp:positionV>
            <wp:extent cx="3291840" cy="504825"/>
            <wp:effectExtent l="19050" t="0" r="3810" b="0"/>
            <wp:wrapSquare wrapText="bothSides"/>
            <wp:docPr id="25" name="Picture 17" descr="WAH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AHT logo.JPG"/>
                    <pic:cNvPicPr>
                      <a:picLocks noChangeAspect="1" noChangeArrowheads="1"/>
                    </pic:cNvPicPr>
                  </pic:nvPicPr>
                  <pic:blipFill>
                    <a:blip r:embed="rId10"/>
                    <a:srcRect/>
                    <a:stretch>
                      <a:fillRect/>
                    </a:stretch>
                  </pic:blipFill>
                  <pic:spPr bwMode="auto">
                    <a:xfrm>
                      <a:off x="0" y="0"/>
                      <a:ext cx="3291840" cy="504825"/>
                    </a:xfrm>
                    <a:prstGeom prst="rect">
                      <a:avLst/>
                    </a:prstGeom>
                    <a:noFill/>
                    <a:ln w="9525">
                      <a:noFill/>
                      <a:miter lim="800000"/>
                      <a:headEnd/>
                      <a:tailEnd/>
                    </a:ln>
                  </pic:spPr>
                </pic:pic>
              </a:graphicData>
            </a:graphic>
          </wp:anchor>
        </w:drawing>
      </w:r>
    </w:p>
    <w:p w:rsidR="00F93ABB" w:rsidRDefault="00F93ABB" w:rsidP="009D6CE0"/>
    <w:p w:rsidR="00F93ABB" w:rsidRDefault="00F93ABB" w:rsidP="009D6CE0">
      <w:pPr>
        <w:autoSpaceDE w:val="0"/>
        <w:autoSpaceDN w:val="0"/>
        <w:adjustRightInd w:val="0"/>
        <w:ind w:left="3969"/>
        <w:jc w:val="center"/>
        <w:rPr>
          <w:rFonts w:ascii="Calibri" w:hAnsi="Calibri"/>
          <w:b/>
          <w:bCs/>
          <w:color w:val="FFFFFF"/>
          <w:sz w:val="72"/>
          <w:szCs w:val="72"/>
          <w:lang w:eastAsia="en-GB"/>
        </w:rPr>
      </w:pPr>
    </w:p>
    <w:p w:rsidR="00F93ABB" w:rsidRDefault="000558FF" w:rsidP="006358CA">
      <w:pPr>
        <w:autoSpaceDE w:val="0"/>
        <w:autoSpaceDN w:val="0"/>
        <w:adjustRightInd w:val="0"/>
        <w:ind w:left="2835" w:right="904"/>
        <w:jc w:val="center"/>
        <w:rPr>
          <w:rFonts w:ascii="Calibri" w:hAnsi="Calibri"/>
          <w:b/>
          <w:bCs/>
          <w:color w:val="FFFFFF"/>
          <w:sz w:val="72"/>
          <w:szCs w:val="72"/>
          <w:lang w:eastAsia="en-GB"/>
        </w:rPr>
      </w:pPr>
      <w:r w:rsidRPr="000558FF">
        <w:rPr>
          <w:noProof/>
          <w:lang w:val="en-GB" w:eastAsia="en-GB"/>
        </w:rPr>
        <w:pict>
          <v:roundrect id="_x0000_s1725" style="position:absolute;left:0;text-align:left;margin-left:-29.35pt;margin-top:43.15pt;width:129.8pt;height:92.95pt;z-index:251656704" arcsize="10923f" stroked="f">
            <v:fill r:id="rId11" o:title="" size="0,0" aspect="atLeast" origin="-32767f,-32767f" position="-32767f,-32767f" recolor="t" rotate="t" type="frame"/>
          </v:roundrect>
        </w:pict>
      </w:r>
      <w:r w:rsidR="00F93ABB">
        <w:rPr>
          <w:rFonts w:ascii="Calibri" w:hAnsi="Calibri"/>
          <w:b/>
          <w:bCs/>
          <w:color w:val="FFFFFF"/>
          <w:sz w:val="72"/>
          <w:szCs w:val="72"/>
          <w:lang w:eastAsia="en-GB"/>
        </w:rPr>
        <w:t xml:space="preserve">Annual Report </w:t>
      </w:r>
    </w:p>
    <w:p w:rsidR="00F93ABB" w:rsidRDefault="00F93ABB" w:rsidP="00394B35">
      <w:pPr>
        <w:autoSpaceDE w:val="0"/>
        <w:autoSpaceDN w:val="0"/>
        <w:adjustRightInd w:val="0"/>
        <w:ind w:left="2835" w:right="904"/>
        <w:jc w:val="center"/>
      </w:pPr>
      <w:proofErr w:type="gramStart"/>
      <w:r>
        <w:rPr>
          <w:rFonts w:ascii="Calibri" w:hAnsi="Calibri"/>
          <w:b/>
          <w:bCs/>
          <w:color w:val="FFFFFF"/>
          <w:sz w:val="72"/>
          <w:szCs w:val="72"/>
          <w:lang w:eastAsia="en-GB"/>
        </w:rPr>
        <w:t>a</w:t>
      </w:r>
      <w:r w:rsidRPr="001B2DAA">
        <w:rPr>
          <w:rFonts w:ascii="Calibri" w:hAnsi="Calibri"/>
          <w:b/>
          <w:bCs/>
          <w:color w:val="FFFFFF"/>
          <w:sz w:val="72"/>
          <w:szCs w:val="72"/>
          <w:lang w:eastAsia="en-GB"/>
        </w:rPr>
        <w:t>nd</w:t>
      </w:r>
      <w:proofErr w:type="gramEnd"/>
      <w:r w:rsidRPr="001B2DAA">
        <w:rPr>
          <w:rFonts w:ascii="Calibri" w:hAnsi="Calibri"/>
          <w:b/>
          <w:bCs/>
          <w:color w:val="FFFFFF"/>
          <w:sz w:val="72"/>
          <w:szCs w:val="72"/>
          <w:lang w:eastAsia="en-GB"/>
        </w:rPr>
        <w:t xml:space="preserve"> Accounts</w:t>
      </w:r>
      <w:r>
        <w:rPr>
          <w:rFonts w:ascii="Calibri" w:hAnsi="Calibri"/>
          <w:b/>
          <w:bCs/>
          <w:color w:val="FFFFFF"/>
          <w:sz w:val="72"/>
          <w:szCs w:val="72"/>
          <w:lang w:eastAsia="en-GB"/>
        </w:rPr>
        <w:t xml:space="preserve"> </w:t>
      </w:r>
      <w:r w:rsidR="001E11A6" w:rsidRPr="001B2DAA">
        <w:rPr>
          <w:rFonts w:ascii="Calibri" w:hAnsi="Calibri"/>
          <w:b/>
          <w:bCs/>
          <w:color w:val="FFFFFF"/>
          <w:sz w:val="72"/>
          <w:szCs w:val="72"/>
          <w:lang w:eastAsia="en-GB"/>
        </w:rPr>
        <w:t>201</w:t>
      </w:r>
      <w:r w:rsidR="00D566FA">
        <w:rPr>
          <w:rFonts w:ascii="Calibri" w:hAnsi="Calibri"/>
          <w:b/>
          <w:bCs/>
          <w:color w:val="FFFFFF"/>
          <w:sz w:val="72"/>
          <w:szCs w:val="72"/>
          <w:lang w:eastAsia="en-GB"/>
        </w:rPr>
        <w:t>4</w:t>
      </w:r>
      <w:r w:rsidRPr="001B2DAA">
        <w:rPr>
          <w:rFonts w:ascii="Calibri" w:hAnsi="Calibri"/>
          <w:b/>
          <w:bCs/>
          <w:color w:val="FFFFFF"/>
          <w:sz w:val="72"/>
          <w:szCs w:val="72"/>
          <w:lang w:eastAsia="en-GB"/>
        </w:rPr>
        <w:t>/</w:t>
      </w:r>
      <w:r w:rsidR="000558FF">
        <w:rPr>
          <w:noProof/>
          <w:lang w:val="en-GB" w:eastAsia="en-GB"/>
        </w:rPr>
        <w:pict>
          <v:shapetype id="_x0000_t202" coordsize="21600,21600" o:spt="202" path="m,l,21600r21600,l21600,xe">
            <v:stroke joinstyle="miter"/>
            <v:path gradientshapeok="t" o:connecttype="rect"/>
          </v:shapetype>
          <v:shape id="_x0000_s1722" type="#_x0000_t202" style="position:absolute;left:0;text-align:left;margin-left:10762.75pt;margin-top:0;width:150.95pt;height:121.05pt;z-index:251652608;mso-height-percent:200;mso-position-horizontal:right;mso-position-horizontal-relative:margin;mso-position-vertical:bottom;mso-position-vertical-relative:margin;mso-height-percent:200;mso-width-relative:margin;mso-height-relative:margin" filled="f" stroked="f">
            <v:textbox style="mso-next-textbox:#_x0000_s1722;mso-fit-shape-to-text:t">
              <w:txbxContent>
                <w:p w:rsidR="00FA6212" w:rsidRPr="00D97A22" w:rsidRDefault="00FA6212" w:rsidP="009D6CE0">
                  <w:r w:rsidRPr="00D97A22">
                    <w:t>Weston General Hospital</w:t>
                  </w:r>
                </w:p>
                <w:p w:rsidR="00FA6212" w:rsidRPr="00D97A22" w:rsidRDefault="00FA6212" w:rsidP="009D6CE0">
                  <w:r w:rsidRPr="00D97A22">
                    <w:t>Grange Road</w:t>
                  </w:r>
                </w:p>
                <w:p w:rsidR="00FA6212" w:rsidRPr="00D97A22" w:rsidRDefault="00FA6212" w:rsidP="009D6CE0">
                  <w:r w:rsidRPr="00D97A22">
                    <w:t>Uphill</w:t>
                  </w:r>
                </w:p>
                <w:p w:rsidR="00FA6212" w:rsidRPr="00D97A22" w:rsidRDefault="00FA6212" w:rsidP="009D6CE0">
                  <w:r w:rsidRPr="00D97A22">
                    <w:t xml:space="preserve">Weston-super-Mare </w:t>
                  </w:r>
                </w:p>
                <w:p w:rsidR="00FA6212" w:rsidRPr="00D97A22" w:rsidRDefault="00FA6212" w:rsidP="009D6CE0">
                  <w:r w:rsidRPr="00D97A22">
                    <w:t>BS23 4TQ</w:t>
                  </w:r>
                </w:p>
                <w:p w:rsidR="00FA6212" w:rsidRPr="00D97A22" w:rsidRDefault="00FA6212" w:rsidP="009D6CE0"/>
                <w:p w:rsidR="00FA6212" w:rsidRPr="00D97A22" w:rsidRDefault="00FA6212" w:rsidP="009D6CE0">
                  <w:r w:rsidRPr="00D97A22">
                    <w:t xml:space="preserve">Tel: 01934 </w:t>
                  </w:r>
                  <w:r>
                    <w:t>636363</w:t>
                  </w:r>
                </w:p>
                <w:p w:rsidR="00FA6212" w:rsidRPr="00D97A22" w:rsidRDefault="00FA6212" w:rsidP="009D6CE0"/>
                <w:p w:rsidR="00FA6212" w:rsidRPr="00D97A22" w:rsidRDefault="00FA6212" w:rsidP="009D6CE0">
                  <w:r w:rsidRPr="00D97A22">
                    <w:t>www.waht.nhs.uk</w:t>
                  </w:r>
                </w:p>
              </w:txbxContent>
            </v:textbox>
            <w10:wrap type="square" anchorx="margin" anchory="margin"/>
          </v:shape>
        </w:pict>
      </w:r>
      <w:r w:rsidR="001E11A6">
        <w:rPr>
          <w:rFonts w:ascii="Calibri" w:hAnsi="Calibri"/>
          <w:b/>
          <w:bCs/>
          <w:color w:val="FFFFFF"/>
          <w:sz w:val="72"/>
          <w:szCs w:val="72"/>
          <w:lang w:eastAsia="en-GB"/>
        </w:rPr>
        <w:t>1</w:t>
      </w:r>
      <w:r w:rsidR="00D566FA">
        <w:rPr>
          <w:rFonts w:ascii="Calibri" w:hAnsi="Calibri"/>
          <w:b/>
          <w:bCs/>
          <w:color w:val="FFFFFF"/>
          <w:sz w:val="72"/>
          <w:szCs w:val="72"/>
          <w:lang w:eastAsia="en-GB"/>
        </w:rPr>
        <w:t>5</w:t>
      </w:r>
    </w:p>
    <w:p w:rsidR="00F93ABB" w:rsidRDefault="00F93ABB" w:rsidP="009D6CE0"/>
    <w:p w:rsidR="00F93ABB" w:rsidRDefault="00CE528B" w:rsidP="009D6CE0">
      <w:pPr>
        <w:jc w:val="center"/>
        <w:rPr>
          <w:color w:val="4F81BD"/>
          <w:spacing w:val="5"/>
          <w:kern w:val="28"/>
          <w:sz w:val="28"/>
          <w:szCs w:val="52"/>
        </w:rPr>
      </w:pPr>
      <w:r>
        <w:rPr>
          <w:noProof/>
          <w:lang w:val="en-GB" w:eastAsia="en-GB"/>
        </w:rPr>
        <w:drawing>
          <wp:anchor distT="0" distB="4572" distL="114300" distR="116967" simplePos="0" relativeHeight="251662848" behindDoc="0" locked="0" layoutInCell="1" allowOverlap="1">
            <wp:simplePos x="0" y="0"/>
            <wp:positionH relativeFrom="column">
              <wp:posOffset>4964811</wp:posOffset>
            </wp:positionH>
            <wp:positionV relativeFrom="paragraph">
              <wp:posOffset>2639695</wp:posOffset>
            </wp:positionV>
            <wp:extent cx="1666621" cy="1181227"/>
            <wp:effectExtent l="19050" t="0" r="0" b="0"/>
            <wp:wrapNone/>
            <wp:docPr id="24" name="Picture 3" descr="K:\eCommunications\CT Scanner and staff.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K:\eCommunications\CT Scanner and staff.gif"/>
                    <pic:cNvPicPr>
                      <a:picLocks noChangeAspect="1" noChangeArrowheads="1"/>
                    </pic:cNvPicPr>
                  </pic:nvPicPr>
                  <pic:blipFill>
                    <a:blip r:embed="rId12" cstate="print"/>
                    <a:srcRect/>
                    <a:stretch>
                      <a:fillRect/>
                    </a:stretch>
                  </pic:blipFill>
                  <pic:spPr bwMode="auto">
                    <a:xfrm>
                      <a:off x="0" y="0"/>
                      <a:ext cx="1666621" cy="1181227"/>
                    </a:xfrm>
                    <a:prstGeom prst="roundRect">
                      <a:avLst/>
                    </a:prstGeom>
                    <a:noFill/>
                    <a:ln w="9525">
                      <a:noFill/>
                      <a:miter lim="800000"/>
                      <a:headEnd/>
                      <a:tailEnd/>
                    </a:ln>
                  </pic:spPr>
                </pic:pic>
              </a:graphicData>
            </a:graphic>
          </wp:anchor>
        </w:drawing>
      </w:r>
      <w:r w:rsidR="000558FF" w:rsidRPr="000558FF">
        <w:rPr>
          <w:noProof/>
          <w:lang w:val="en-GB" w:eastAsia="en-GB"/>
        </w:rPr>
        <w:pict>
          <v:roundrect id="_x0000_s1728" style="position:absolute;left:0;text-align:left;margin-left:251.85pt;margin-top:208.55pt;width:129.85pt;height:93pt;z-index:251661824;mso-position-horizontal-relative:text;mso-position-vertical-relative:text" arcsize="10923f" stroked="f">
            <v:fill r:id="rId13" o:title="" size="0,0" aspect="atLeast" origin="-32767f,-32767f" position="-32767f,-32767f" recolor="t" rotate="t" type="frame"/>
          </v:roundrect>
        </w:pict>
      </w:r>
      <w:r w:rsidR="000558FF" w:rsidRPr="000558FF">
        <w:rPr>
          <w:noProof/>
          <w:lang w:val="en-GB" w:eastAsia="en-GB"/>
        </w:rPr>
        <w:pict>
          <v:roundrect id="_x0000_s1727" style="position:absolute;left:0;text-align:left;margin-left:115pt;margin-top:208.55pt;width:129.8pt;height:92.95pt;z-index:251660800;mso-position-horizontal-relative:text;mso-position-vertical-relative:text" arcsize="10923f" stroked="f">
            <v:fill r:id="rId14" o:title="" size="0,0" aspect="atLeast" origin="-32767f,-32767f" position="-32767f,-32767f" recolor="t" rotate="t" type="frame"/>
          </v:roundrect>
        </w:pict>
      </w:r>
      <w:r>
        <w:rPr>
          <w:noProof/>
          <w:lang w:val="en-GB" w:eastAsia="en-GB"/>
        </w:rPr>
        <w:drawing>
          <wp:anchor distT="0" distB="4572" distL="114300" distR="115697" simplePos="0" relativeHeight="251659776" behindDoc="0" locked="0" layoutInCell="1" allowOverlap="1">
            <wp:simplePos x="0" y="0"/>
            <wp:positionH relativeFrom="column">
              <wp:posOffset>-292989</wp:posOffset>
            </wp:positionH>
            <wp:positionV relativeFrom="paragraph">
              <wp:posOffset>2640965</wp:posOffset>
            </wp:positionV>
            <wp:extent cx="1634871" cy="1181227"/>
            <wp:effectExtent l="19050" t="0" r="3429" b="0"/>
            <wp:wrapNone/>
            <wp:docPr id="23" name="Picture 7" descr="K:\eCommunications\nurses.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K:\eCommunications\nurses.gif"/>
                    <pic:cNvPicPr>
                      <a:picLocks noChangeAspect="1" noChangeArrowheads="1"/>
                    </pic:cNvPicPr>
                  </pic:nvPicPr>
                  <pic:blipFill>
                    <a:blip r:embed="rId15" cstate="print"/>
                    <a:srcRect/>
                    <a:stretch>
                      <a:fillRect/>
                    </a:stretch>
                  </pic:blipFill>
                  <pic:spPr bwMode="auto">
                    <a:xfrm>
                      <a:off x="0" y="0"/>
                      <a:ext cx="1634871" cy="1181227"/>
                    </a:xfrm>
                    <a:prstGeom prst="roundRect">
                      <a:avLst/>
                    </a:prstGeom>
                    <a:noFill/>
                    <a:ln w="9525">
                      <a:noFill/>
                      <a:miter lim="800000"/>
                      <a:headEnd/>
                      <a:tailEnd/>
                    </a:ln>
                  </pic:spPr>
                </pic:pic>
              </a:graphicData>
            </a:graphic>
          </wp:anchor>
        </w:drawing>
      </w:r>
      <w:r>
        <w:rPr>
          <w:noProof/>
          <w:lang w:val="en-GB" w:eastAsia="en-GB"/>
        </w:rPr>
        <w:drawing>
          <wp:anchor distT="0" distB="4572" distL="114300" distR="114300" simplePos="0" relativeHeight="251663872" behindDoc="0" locked="0" layoutInCell="1" allowOverlap="1">
            <wp:simplePos x="0" y="0"/>
            <wp:positionH relativeFrom="column">
              <wp:posOffset>-378714</wp:posOffset>
            </wp:positionH>
            <wp:positionV relativeFrom="paragraph">
              <wp:posOffset>1336040</wp:posOffset>
            </wp:positionV>
            <wp:extent cx="1648968" cy="1181227"/>
            <wp:effectExtent l="19050" t="0" r="8382" b="0"/>
            <wp:wrapNone/>
            <wp:docPr id="22" name="Picture 4" descr="K:\eCommunications\Hearing Services\HearingAid.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K:\eCommunications\Hearing Services\HearingAid.gif"/>
                    <pic:cNvPicPr>
                      <a:picLocks noChangeAspect="1" noChangeArrowheads="1"/>
                    </pic:cNvPicPr>
                  </pic:nvPicPr>
                  <pic:blipFill>
                    <a:blip r:embed="rId8" cstate="print"/>
                    <a:srcRect/>
                    <a:stretch>
                      <a:fillRect/>
                    </a:stretch>
                  </pic:blipFill>
                  <pic:spPr bwMode="auto">
                    <a:xfrm>
                      <a:off x="0" y="0"/>
                      <a:ext cx="1648968" cy="1181227"/>
                    </a:xfrm>
                    <a:prstGeom prst="roundRect">
                      <a:avLst/>
                    </a:prstGeom>
                    <a:noFill/>
                    <a:ln w="9525">
                      <a:noFill/>
                      <a:miter lim="800000"/>
                      <a:headEnd/>
                      <a:tailEnd/>
                    </a:ln>
                  </pic:spPr>
                </pic:pic>
              </a:graphicData>
            </a:graphic>
          </wp:anchor>
        </w:drawing>
      </w:r>
      <w:r w:rsidR="000558FF" w:rsidRPr="000558FF">
        <w:rPr>
          <w:noProof/>
          <w:lang w:val="en-GB" w:eastAsia="en-GB"/>
        </w:rPr>
        <w:pict>
          <v:roundrect id="_x0000_s1726" style="position:absolute;left:0;text-align:left;margin-left:-29.35pt;margin-top:2.9pt;width:129.8pt;height:92.95pt;z-index:251657728;mso-position-horizontal-relative:text;mso-position-vertical-relative:text" arcsize="10923f" stroked="f">
            <v:fill r:id="rId16" o:title="" size="0,0" aspect="atLeast" origin="-32767f,-32767f" position="-32767f,-32767f" recolor="t" rotate="t" type="frame"/>
          </v:roundrect>
        </w:pict>
      </w:r>
      <w:r w:rsidR="000558FF" w:rsidRPr="000558FF">
        <w:rPr>
          <w:noProof/>
          <w:lang w:val="en-GB" w:eastAsia="en-GB"/>
        </w:rPr>
        <w:pict>
          <v:roundrect id="_x0000_s1724" style="position:absolute;left:0;text-align:left;margin-left:-11.85pt;margin-top:554.3pt;width:256.65pt;height:153.2pt;z-index:251654656;mso-position-horizontal-relative:margin;mso-position-vertical-relative:margin;mso-width-relative:margin;mso-height-relative:margin;v-text-anchor:middle" arcsize="6811f" o:allowincell="f" fillcolor="#4f81bd" strokecolor="#4f81bd">
            <v:shadow type="perspective" color="#bfbfbf" opacity=".5" origin="-.5,-.5" offset="51pt,-10pt" offset2="114pt,-8pt" matrix=".75,,,.75"/>
            <v:textbox style="mso-next-textbox:#_x0000_s1724" inset="0,2.4mm,0,2.4mm">
              <w:txbxContent>
                <w:p w:rsidR="00FA6212" w:rsidRPr="009A201E" w:rsidRDefault="00FA6212" w:rsidP="009D6CE0">
                  <w:pPr>
                    <w:pStyle w:val="ListParagraph"/>
                    <w:ind w:left="142" w:right="66"/>
                    <w:jc w:val="center"/>
                    <w:rPr>
                      <w:b/>
                      <w:i/>
                      <w:color w:val="FF0000"/>
                    </w:rPr>
                  </w:pPr>
                  <w:r>
                    <w:rPr>
                      <w:b/>
                      <w:i/>
                      <w:color w:val="FF0000"/>
                    </w:rPr>
                    <w:t xml:space="preserve">Final </w:t>
                  </w:r>
                  <w:r w:rsidRPr="009A201E">
                    <w:rPr>
                      <w:b/>
                      <w:i/>
                      <w:color w:val="FF0000"/>
                    </w:rPr>
                    <w:t xml:space="preserve">DRAFT </w:t>
                  </w:r>
                  <w:r>
                    <w:rPr>
                      <w:b/>
                      <w:i/>
                      <w:color w:val="FF0000"/>
                    </w:rPr>
                    <w:t>May</w:t>
                  </w:r>
                  <w:r w:rsidRPr="009A201E">
                    <w:rPr>
                      <w:b/>
                      <w:i/>
                      <w:color w:val="FF0000"/>
                    </w:rPr>
                    <w:t xml:space="preserve"> 201</w:t>
                  </w:r>
                  <w:r>
                    <w:rPr>
                      <w:b/>
                      <w:i/>
                      <w:color w:val="FF0000"/>
                    </w:rPr>
                    <w:t>5</w:t>
                  </w:r>
                </w:p>
                <w:p w:rsidR="00FA6212" w:rsidRPr="008270E0" w:rsidRDefault="00FA6212" w:rsidP="001B2DAA">
                  <w:pPr>
                    <w:pStyle w:val="ListParagraph"/>
                    <w:ind w:left="142" w:right="66"/>
                    <w:jc w:val="center"/>
                    <w:rPr>
                      <w:b/>
                      <w:color w:val="FFFFFF"/>
                    </w:rPr>
                  </w:pPr>
                  <w:r w:rsidRPr="008270E0">
                    <w:rPr>
                      <w:b/>
                      <w:color w:val="FFFFFF"/>
                    </w:rPr>
                    <w:t>The Annual Report consists of:</w:t>
                  </w:r>
                </w:p>
                <w:p w:rsidR="00FA6212" w:rsidRPr="008270E0" w:rsidRDefault="00FA6212" w:rsidP="001B2DAA">
                  <w:pPr>
                    <w:pStyle w:val="ListParagraph"/>
                    <w:ind w:left="142" w:right="66"/>
                    <w:jc w:val="center"/>
                    <w:rPr>
                      <w:b/>
                      <w:color w:val="FFFFFF"/>
                    </w:rPr>
                  </w:pPr>
                </w:p>
                <w:p w:rsidR="00FA6212" w:rsidRPr="008270E0" w:rsidRDefault="00FA6212" w:rsidP="001B2DAA">
                  <w:pPr>
                    <w:pStyle w:val="ListParagraph"/>
                    <w:ind w:left="142" w:right="66"/>
                    <w:jc w:val="center"/>
                    <w:rPr>
                      <w:b/>
                      <w:color w:val="FFFFFF"/>
                    </w:rPr>
                  </w:pPr>
                  <w:r w:rsidRPr="008270E0">
                    <w:rPr>
                      <w:b/>
                      <w:color w:val="FFFFFF"/>
                    </w:rPr>
                    <w:t>A Directors’ Report, based on the requirements of Chapter 5 of Part 15 of the Companies Act 2006, and;</w:t>
                  </w:r>
                </w:p>
                <w:p w:rsidR="00FA6212" w:rsidRPr="008270E0" w:rsidRDefault="00FA6212" w:rsidP="001B2DAA">
                  <w:pPr>
                    <w:pStyle w:val="ListParagraph"/>
                    <w:ind w:left="142" w:right="66"/>
                    <w:jc w:val="center"/>
                    <w:rPr>
                      <w:b/>
                      <w:color w:val="FFFFFF"/>
                    </w:rPr>
                  </w:pPr>
                </w:p>
                <w:p w:rsidR="00FA6212" w:rsidRPr="008270E0" w:rsidRDefault="00FA6212" w:rsidP="001B2DAA">
                  <w:pPr>
                    <w:pStyle w:val="ListParagraph"/>
                    <w:ind w:left="142" w:right="66"/>
                    <w:jc w:val="center"/>
                    <w:rPr>
                      <w:b/>
                      <w:color w:val="FFFFFF"/>
                    </w:rPr>
                  </w:pPr>
                  <w:r w:rsidRPr="008270E0">
                    <w:rPr>
                      <w:b/>
                      <w:color w:val="FFFFFF"/>
                    </w:rPr>
                    <w:t>A Remuneration Report based on Chapter 6 of Part 15 of the Companies Act 2006</w:t>
                  </w:r>
                </w:p>
              </w:txbxContent>
            </v:textbox>
            <w10:wrap type="square" anchorx="margin" anchory="margin"/>
          </v:roundrect>
        </w:pict>
      </w:r>
      <w:r w:rsidR="00F93ABB">
        <w:br w:type="page"/>
      </w:r>
    </w:p>
    <w:p w:rsidR="00F93ABB" w:rsidRDefault="00F93ABB">
      <w:pPr>
        <w:pStyle w:val="TOCHeading"/>
      </w:pPr>
      <w:r>
        <w:lastRenderedPageBreak/>
        <w:t>Contents</w:t>
      </w:r>
    </w:p>
    <w:p w:rsidR="00E3637E" w:rsidRDefault="00E3637E" w:rsidP="00E3637E"/>
    <w:p w:rsidR="00E3637E" w:rsidRDefault="00E3637E" w:rsidP="00E3637E"/>
    <w:tbl>
      <w:tblPr>
        <w:tblStyle w:val="TableGrid"/>
        <w:tblW w:w="0" w:type="auto"/>
        <w:tblInd w:w="251" w:type="dxa"/>
        <w:tblLook w:val="04A0"/>
      </w:tblPr>
      <w:tblGrid>
        <w:gridCol w:w="851"/>
        <w:gridCol w:w="8220"/>
        <w:gridCol w:w="993"/>
      </w:tblGrid>
      <w:tr w:rsidR="002C035A" w:rsidTr="002E0C8A">
        <w:tc>
          <w:tcPr>
            <w:tcW w:w="851" w:type="dxa"/>
          </w:tcPr>
          <w:p w:rsidR="002C035A" w:rsidRDefault="002C035A" w:rsidP="00E3637E"/>
        </w:tc>
        <w:tc>
          <w:tcPr>
            <w:tcW w:w="8220" w:type="dxa"/>
          </w:tcPr>
          <w:p w:rsidR="002C035A" w:rsidRPr="00E3637E" w:rsidRDefault="002C035A" w:rsidP="00E3637E"/>
        </w:tc>
        <w:tc>
          <w:tcPr>
            <w:tcW w:w="993" w:type="dxa"/>
          </w:tcPr>
          <w:p w:rsidR="002C035A" w:rsidRDefault="002C035A" w:rsidP="00E3637E">
            <w:r>
              <w:t>Page</w:t>
            </w:r>
          </w:p>
        </w:tc>
      </w:tr>
      <w:tr w:rsidR="00E3637E" w:rsidTr="002E0C8A">
        <w:tc>
          <w:tcPr>
            <w:tcW w:w="851" w:type="dxa"/>
          </w:tcPr>
          <w:p w:rsidR="00E3637E" w:rsidRDefault="00AB6B85" w:rsidP="00E3637E">
            <w:r>
              <w:t>1.1</w:t>
            </w:r>
          </w:p>
        </w:tc>
        <w:tc>
          <w:tcPr>
            <w:tcW w:w="8220" w:type="dxa"/>
          </w:tcPr>
          <w:p w:rsidR="00E3637E" w:rsidRDefault="00E3637E" w:rsidP="00E3637E">
            <w:r w:rsidRPr="00E3637E">
              <w:t>Details of the Directors</w:t>
            </w:r>
          </w:p>
        </w:tc>
        <w:tc>
          <w:tcPr>
            <w:tcW w:w="993" w:type="dxa"/>
          </w:tcPr>
          <w:p w:rsidR="00E3637E" w:rsidRDefault="00E3637E" w:rsidP="00E3637E"/>
        </w:tc>
      </w:tr>
      <w:tr w:rsidR="00E3637E" w:rsidTr="002E0C8A">
        <w:tc>
          <w:tcPr>
            <w:tcW w:w="851" w:type="dxa"/>
          </w:tcPr>
          <w:p w:rsidR="00E3637E" w:rsidRDefault="00AB6B85" w:rsidP="00E3637E">
            <w:r>
              <w:t>1.2</w:t>
            </w:r>
          </w:p>
        </w:tc>
        <w:tc>
          <w:tcPr>
            <w:tcW w:w="8220" w:type="dxa"/>
          </w:tcPr>
          <w:p w:rsidR="00E3637E" w:rsidRDefault="00E3637E" w:rsidP="00E3637E">
            <w:r w:rsidRPr="00E3637E">
              <w:t>Audit and Assurance Committee</w:t>
            </w:r>
          </w:p>
        </w:tc>
        <w:tc>
          <w:tcPr>
            <w:tcW w:w="993" w:type="dxa"/>
          </w:tcPr>
          <w:p w:rsidR="00E3637E" w:rsidRDefault="00E3637E" w:rsidP="00E3637E"/>
        </w:tc>
      </w:tr>
      <w:tr w:rsidR="00E3637E" w:rsidTr="002E0C8A">
        <w:tc>
          <w:tcPr>
            <w:tcW w:w="851" w:type="dxa"/>
          </w:tcPr>
          <w:p w:rsidR="00E3637E" w:rsidRDefault="00AB6B85" w:rsidP="00E3637E">
            <w:r>
              <w:t>1.3</w:t>
            </w:r>
          </w:p>
        </w:tc>
        <w:tc>
          <w:tcPr>
            <w:tcW w:w="8220" w:type="dxa"/>
          </w:tcPr>
          <w:p w:rsidR="00E3637E" w:rsidRDefault="00E3637E" w:rsidP="00E3637E">
            <w:r w:rsidRPr="00E3637E">
              <w:t>Remuneration Committee</w:t>
            </w:r>
          </w:p>
        </w:tc>
        <w:tc>
          <w:tcPr>
            <w:tcW w:w="993" w:type="dxa"/>
          </w:tcPr>
          <w:p w:rsidR="00E3637E" w:rsidRDefault="00E3637E" w:rsidP="00E3637E"/>
        </w:tc>
      </w:tr>
      <w:tr w:rsidR="00E3637E" w:rsidTr="002E0C8A">
        <w:tc>
          <w:tcPr>
            <w:tcW w:w="851" w:type="dxa"/>
          </w:tcPr>
          <w:p w:rsidR="00E3637E" w:rsidRDefault="00AB6B85" w:rsidP="00E3637E">
            <w:r>
              <w:t>1.4</w:t>
            </w:r>
          </w:p>
        </w:tc>
        <w:tc>
          <w:tcPr>
            <w:tcW w:w="8220" w:type="dxa"/>
          </w:tcPr>
          <w:p w:rsidR="00E3637E" w:rsidRDefault="00E3637E" w:rsidP="00E3637E">
            <w:r w:rsidRPr="00E3637E">
              <w:t>Declaration of Interests</w:t>
            </w:r>
          </w:p>
        </w:tc>
        <w:tc>
          <w:tcPr>
            <w:tcW w:w="993" w:type="dxa"/>
          </w:tcPr>
          <w:p w:rsidR="00E3637E" w:rsidRDefault="00E3637E" w:rsidP="00E3637E"/>
        </w:tc>
      </w:tr>
      <w:tr w:rsidR="00E3637E" w:rsidTr="002E0C8A">
        <w:tc>
          <w:tcPr>
            <w:tcW w:w="851" w:type="dxa"/>
          </w:tcPr>
          <w:p w:rsidR="00E3637E" w:rsidRDefault="00AB6B85" w:rsidP="00E3637E">
            <w:r>
              <w:t>2.1</w:t>
            </w:r>
          </w:p>
        </w:tc>
        <w:tc>
          <w:tcPr>
            <w:tcW w:w="8220" w:type="dxa"/>
          </w:tcPr>
          <w:p w:rsidR="00E3637E" w:rsidRDefault="00E3637E" w:rsidP="00E3637E">
            <w:r>
              <w:t>Nature, o</w:t>
            </w:r>
            <w:r w:rsidRPr="00E3637E">
              <w:t>bjectives and strategies of the Trust</w:t>
            </w:r>
          </w:p>
        </w:tc>
        <w:tc>
          <w:tcPr>
            <w:tcW w:w="993" w:type="dxa"/>
          </w:tcPr>
          <w:p w:rsidR="00E3637E" w:rsidRDefault="00E3637E" w:rsidP="00E3637E"/>
        </w:tc>
      </w:tr>
      <w:tr w:rsidR="00E3637E" w:rsidTr="002E0C8A">
        <w:tc>
          <w:tcPr>
            <w:tcW w:w="851" w:type="dxa"/>
          </w:tcPr>
          <w:p w:rsidR="00E3637E" w:rsidRDefault="00AB6B85" w:rsidP="00E3637E">
            <w:r>
              <w:t>2.1.1</w:t>
            </w:r>
          </w:p>
        </w:tc>
        <w:tc>
          <w:tcPr>
            <w:tcW w:w="8220" w:type="dxa"/>
          </w:tcPr>
          <w:p w:rsidR="00E3637E" w:rsidRDefault="00E3637E" w:rsidP="00E3637E">
            <w:r w:rsidRPr="00E3637E">
              <w:t>What we do</w:t>
            </w:r>
          </w:p>
        </w:tc>
        <w:tc>
          <w:tcPr>
            <w:tcW w:w="993" w:type="dxa"/>
          </w:tcPr>
          <w:p w:rsidR="00E3637E" w:rsidRDefault="00E3637E" w:rsidP="00E3637E"/>
        </w:tc>
      </w:tr>
      <w:tr w:rsidR="00E3637E" w:rsidTr="002E0C8A">
        <w:tc>
          <w:tcPr>
            <w:tcW w:w="851" w:type="dxa"/>
          </w:tcPr>
          <w:p w:rsidR="00E3637E" w:rsidRDefault="00AB6B85" w:rsidP="00E3637E">
            <w:r>
              <w:t>2.1.2</w:t>
            </w:r>
          </w:p>
        </w:tc>
        <w:tc>
          <w:tcPr>
            <w:tcW w:w="8220" w:type="dxa"/>
          </w:tcPr>
          <w:p w:rsidR="00E3637E" w:rsidRDefault="00E3637E" w:rsidP="00E3637E">
            <w:r w:rsidRPr="00E3637E">
              <w:t>Our vision and values</w:t>
            </w:r>
          </w:p>
        </w:tc>
        <w:tc>
          <w:tcPr>
            <w:tcW w:w="993" w:type="dxa"/>
          </w:tcPr>
          <w:p w:rsidR="00E3637E" w:rsidRDefault="00E3637E" w:rsidP="00E3637E"/>
        </w:tc>
      </w:tr>
      <w:tr w:rsidR="00E3637E" w:rsidTr="002E0C8A">
        <w:tc>
          <w:tcPr>
            <w:tcW w:w="851" w:type="dxa"/>
          </w:tcPr>
          <w:p w:rsidR="00E3637E" w:rsidRDefault="00AB6B85" w:rsidP="00E3637E">
            <w:r>
              <w:t>2.1.3</w:t>
            </w:r>
          </w:p>
        </w:tc>
        <w:tc>
          <w:tcPr>
            <w:tcW w:w="8220" w:type="dxa"/>
          </w:tcPr>
          <w:p w:rsidR="00E3637E" w:rsidRDefault="00E3637E" w:rsidP="00E3637E">
            <w:r w:rsidRPr="00E3637E">
              <w:t>Development and perf</w:t>
            </w:r>
            <w:r w:rsidR="009F749B">
              <w:t>ormance of the Trust during 2014/15</w:t>
            </w:r>
            <w:r w:rsidRPr="00E3637E">
              <w:t xml:space="preserve"> and in the future</w:t>
            </w:r>
          </w:p>
        </w:tc>
        <w:tc>
          <w:tcPr>
            <w:tcW w:w="993" w:type="dxa"/>
          </w:tcPr>
          <w:p w:rsidR="00E3637E" w:rsidRDefault="00E3637E" w:rsidP="00E3637E"/>
        </w:tc>
      </w:tr>
      <w:tr w:rsidR="00E3637E" w:rsidTr="002E0C8A">
        <w:tc>
          <w:tcPr>
            <w:tcW w:w="851" w:type="dxa"/>
          </w:tcPr>
          <w:p w:rsidR="00E3637E" w:rsidRPr="001C2EAF" w:rsidRDefault="00AB6B85" w:rsidP="00E3637E">
            <w:r w:rsidRPr="001C2EAF">
              <w:t>2.2.1</w:t>
            </w:r>
          </w:p>
        </w:tc>
        <w:tc>
          <w:tcPr>
            <w:tcW w:w="8220" w:type="dxa"/>
          </w:tcPr>
          <w:p w:rsidR="00E3637E" w:rsidRDefault="00E3637E" w:rsidP="00E3637E">
            <w:r w:rsidRPr="00E3637E">
              <w:t>Improving Financial Standing</w:t>
            </w:r>
          </w:p>
        </w:tc>
        <w:tc>
          <w:tcPr>
            <w:tcW w:w="993" w:type="dxa"/>
          </w:tcPr>
          <w:p w:rsidR="00E3637E" w:rsidRDefault="00E3637E" w:rsidP="00E3637E"/>
        </w:tc>
      </w:tr>
      <w:tr w:rsidR="00E3637E" w:rsidTr="002E0C8A">
        <w:tc>
          <w:tcPr>
            <w:tcW w:w="851" w:type="dxa"/>
          </w:tcPr>
          <w:p w:rsidR="00E3637E" w:rsidRPr="001C2EAF" w:rsidRDefault="00AB6B85" w:rsidP="00E3637E">
            <w:r w:rsidRPr="001C2EAF">
              <w:t>2.2.2</w:t>
            </w:r>
          </w:p>
        </w:tc>
        <w:tc>
          <w:tcPr>
            <w:tcW w:w="8220" w:type="dxa"/>
          </w:tcPr>
          <w:p w:rsidR="00E3637E" w:rsidRDefault="00AB6B85" w:rsidP="00E3637E">
            <w:r>
              <w:t>Meeting national performance o</w:t>
            </w:r>
            <w:r w:rsidR="00E3637E" w:rsidRPr="00E3637E">
              <w:t>bjectives</w:t>
            </w:r>
          </w:p>
        </w:tc>
        <w:tc>
          <w:tcPr>
            <w:tcW w:w="993" w:type="dxa"/>
          </w:tcPr>
          <w:p w:rsidR="00E3637E" w:rsidRDefault="00E3637E" w:rsidP="00E3637E"/>
        </w:tc>
      </w:tr>
      <w:tr w:rsidR="00E3637E" w:rsidTr="002E0C8A">
        <w:tc>
          <w:tcPr>
            <w:tcW w:w="851" w:type="dxa"/>
          </w:tcPr>
          <w:p w:rsidR="00E3637E" w:rsidRDefault="00AB6B85" w:rsidP="00E3637E">
            <w:r w:rsidRPr="00E36823">
              <w:t>2.2.3</w:t>
            </w:r>
          </w:p>
        </w:tc>
        <w:tc>
          <w:tcPr>
            <w:tcW w:w="8220" w:type="dxa"/>
          </w:tcPr>
          <w:p w:rsidR="00E3637E" w:rsidRDefault="00AB6B85" w:rsidP="00E3637E">
            <w:r>
              <w:t>Improving service quality and patient s</w:t>
            </w:r>
            <w:r w:rsidR="00E3637E" w:rsidRPr="00E3637E">
              <w:t>atisfaction</w:t>
            </w:r>
          </w:p>
        </w:tc>
        <w:tc>
          <w:tcPr>
            <w:tcW w:w="993" w:type="dxa"/>
          </w:tcPr>
          <w:p w:rsidR="00E3637E" w:rsidRDefault="00E3637E" w:rsidP="00E3637E"/>
        </w:tc>
      </w:tr>
      <w:tr w:rsidR="00E3637E" w:rsidTr="002E0C8A">
        <w:tc>
          <w:tcPr>
            <w:tcW w:w="851" w:type="dxa"/>
          </w:tcPr>
          <w:p w:rsidR="00E3637E" w:rsidRDefault="00AB6B85" w:rsidP="00E3637E">
            <w:r>
              <w:t>2.2.4</w:t>
            </w:r>
          </w:p>
        </w:tc>
        <w:tc>
          <w:tcPr>
            <w:tcW w:w="8220" w:type="dxa"/>
          </w:tcPr>
          <w:p w:rsidR="00E3637E" w:rsidRDefault="00E3637E" w:rsidP="00E3637E">
            <w:r w:rsidRPr="00E3637E">
              <w:t>Annual Quality Account</w:t>
            </w:r>
          </w:p>
        </w:tc>
        <w:tc>
          <w:tcPr>
            <w:tcW w:w="993" w:type="dxa"/>
          </w:tcPr>
          <w:p w:rsidR="00E3637E" w:rsidRDefault="00E3637E" w:rsidP="00E3637E"/>
        </w:tc>
      </w:tr>
      <w:tr w:rsidR="00E3637E" w:rsidTr="002E0C8A">
        <w:tc>
          <w:tcPr>
            <w:tcW w:w="851" w:type="dxa"/>
          </w:tcPr>
          <w:p w:rsidR="00E3637E" w:rsidRDefault="00AB6B85" w:rsidP="00E3637E">
            <w:r w:rsidRPr="007761F4">
              <w:t>2.3</w:t>
            </w:r>
          </w:p>
        </w:tc>
        <w:tc>
          <w:tcPr>
            <w:tcW w:w="8220" w:type="dxa"/>
          </w:tcPr>
          <w:p w:rsidR="00E3637E" w:rsidRDefault="002C035A" w:rsidP="00E3637E">
            <w:r>
              <w:t>The resources, principal risks and uncertainties and relationships that may affect the Trust’s long-term v</w:t>
            </w:r>
            <w:r w:rsidR="00E3637E" w:rsidRPr="00E3637E">
              <w:t>alue</w:t>
            </w:r>
          </w:p>
        </w:tc>
        <w:tc>
          <w:tcPr>
            <w:tcW w:w="993" w:type="dxa"/>
          </w:tcPr>
          <w:p w:rsidR="00E3637E" w:rsidRDefault="00E3637E" w:rsidP="00E3637E"/>
        </w:tc>
      </w:tr>
      <w:tr w:rsidR="002C035A" w:rsidTr="002E0C8A">
        <w:tc>
          <w:tcPr>
            <w:tcW w:w="851" w:type="dxa"/>
          </w:tcPr>
          <w:p w:rsidR="002C035A" w:rsidRPr="001C2EAF" w:rsidRDefault="002C035A" w:rsidP="00E3637E">
            <w:r w:rsidRPr="001C2EAF">
              <w:t>2.4</w:t>
            </w:r>
          </w:p>
        </w:tc>
        <w:tc>
          <w:tcPr>
            <w:tcW w:w="8220" w:type="dxa"/>
          </w:tcPr>
          <w:p w:rsidR="002C035A" w:rsidRPr="002A22CA" w:rsidRDefault="002C035A" w:rsidP="00E3637E">
            <w:r w:rsidRPr="002A22CA">
              <w:t>Financial position of the Trust</w:t>
            </w:r>
          </w:p>
        </w:tc>
        <w:tc>
          <w:tcPr>
            <w:tcW w:w="993" w:type="dxa"/>
          </w:tcPr>
          <w:p w:rsidR="002C035A" w:rsidRDefault="002C035A" w:rsidP="00E3637E"/>
        </w:tc>
      </w:tr>
      <w:tr w:rsidR="002C035A" w:rsidTr="002E0C8A">
        <w:tc>
          <w:tcPr>
            <w:tcW w:w="851" w:type="dxa"/>
          </w:tcPr>
          <w:p w:rsidR="002C035A" w:rsidRPr="001C2EAF" w:rsidRDefault="00BF3B5A" w:rsidP="00E3637E">
            <w:r w:rsidRPr="001C2EAF">
              <w:t>2.4.1</w:t>
            </w:r>
          </w:p>
        </w:tc>
        <w:tc>
          <w:tcPr>
            <w:tcW w:w="8220" w:type="dxa"/>
          </w:tcPr>
          <w:p w:rsidR="002C035A" w:rsidRPr="002A22CA" w:rsidRDefault="002C035A" w:rsidP="00E3637E">
            <w:r w:rsidRPr="002A22CA">
              <w:t>Financial position</w:t>
            </w:r>
          </w:p>
        </w:tc>
        <w:tc>
          <w:tcPr>
            <w:tcW w:w="993" w:type="dxa"/>
          </w:tcPr>
          <w:p w:rsidR="002C035A" w:rsidRDefault="002C035A" w:rsidP="00E3637E"/>
        </w:tc>
      </w:tr>
      <w:tr w:rsidR="002C035A" w:rsidTr="002E0C8A">
        <w:tc>
          <w:tcPr>
            <w:tcW w:w="851" w:type="dxa"/>
          </w:tcPr>
          <w:p w:rsidR="002C035A" w:rsidRPr="001C2EAF" w:rsidRDefault="00BF3B5A" w:rsidP="00E3637E">
            <w:r w:rsidRPr="001C2EAF">
              <w:t>2.4.2</w:t>
            </w:r>
          </w:p>
        </w:tc>
        <w:tc>
          <w:tcPr>
            <w:tcW w:w="8220" w:type="dxa"/>
          </w:tcPr>
          <w:p w:rsidR="002C035A" w:rsidRPr="002A22CA" w:rsidRDefault="002C035A" w:rsidP="00E3637E">
            <w:r w:rsidRPr="002A22CA">
              <w:t>Financial position 2014/15</w:t>
            </w:r>
          </w:p>
        </w:tc>
        <w:tc>
          <w:tcPr>
            <w:tcW w:w="993" w:type="dxa"/>
          </w:tcPr>
          <w:p w:rsidR="002C035A" w:rsidRDefault="002C035A" w:rsidP="00E3637E"/>
        </w:tc>
      </w:tr>
      <w:tr w:rsidR="002C035A" w:rsidTr="002E0C8A">
        <w:tc>
          <w:tcPr>
            <w:tcW w:w="851" w:type="dxa"/>
          </w:tcPr>
          <w:p w:rsidR="002C035A" w:rsidRPr="001C2EAF" w:rsidRDefault="00BF3B5A" w:rsidP="00E3637E">
            <w:r w:rsidRPr="001C2EAF">
              <w:t>2.4.3</w:t>
            </w:r>
          </w:p>
        </w:tc>
        <w:tc>
          <w:tcPr>
            <w:tcW w:w="8220" w:type="dxa"/>
          </w:tcPr>
          <w:p w:rsidR="002C035A" w:rsidRPr="002A22CA" w:rsidRDefault="002C035A" w:rsidP="00E3637E">
            <w:r w:rsidRPr="002A22CA">
              <w:t>Financial recovery</w:t>
            </w:r>
          </w:p>
        </w:tc>
        <w:tc>
          <w:tcPr>
            <w:tcW w:w="993" w:type="dxa"/>
          </w:tcPr>
          <w:p w:rsidR="002C035A" w:rsidRDefault="002C035A" w:rsidP="00E3637E"/>
        </w:tc>
      </w:tr>
      <w:tr w:rsidR="002C035A" w:rsidTr="002E0C8A">
        <w:tc>
          <w:tcPr>
            <w:tcW w:w="851" w:type="dxa"/>
          </w:tcPr>
          <w:p w:rsidR="002C035A" w:rsidRPr="001C2EAF" w:rsidRDefault="00BF3B5A" w:rsidP="00E3637E">
            <w:r w:rsidRPr="001C2EAF">
              <w:t>2.4.4</w:t>
            </w:r>
          </w:p>
        </w:tc>
        <w:tc>
          <w:tcPr>
            <w:tcW w:w="8220" w:type="dxa"/>
          </w:tcPr>
          <w:p w:rsidR="002C035A" w:rsidRPr="002A22CA" w:rsidRDefault="002C035A" w:rsidP="00E3637E">
            <w:r w:rsidRPr="002A22CA">
              <w:t>Accounting policies</w:t>
            </w:r>
          </w:p>
        </w:tc>
        <w:tc>
          <w:tcPr>
            <w:tcW w:w="993" w:type="dxa"/>
          </w:tcPr>
          <w:p w:rsidR="002C035A" w:rsidRDefault="002C035A" w:rsidP="00E3637E"/>
        </w:tc>
      </w:tr>
      <w:tr w:rsidR="001403F9" w:rsidTr="002E0C8A">
        <w:tc>
          <w:tcPr>
            <w:tcW w:w="851" w:type="dxa"/>
          </w:tcPr>
          <w:p w:rsidR="001403F9" w:rsidRDefault="001403F9" w:rsidP="00E3637E">
            <w:r>
              <w:t xml:space="preserve">2.5 </w:t>
            </w:r>
          </w:p>
        </w:tc>
        <w:tc>
          <w:tcPr>
            <w:tcW w:w="8220" w:type="dxa"/>
          </w:tcPr>
          <w:p w:rsidR="001403F9" w:rsidRDefault="001403F9" w:rsidP="00E3637E">
            <w:r>
              <w:t>Emergency preparedness</w:t>
            </w:r>
          </w:p>
        </w:tc>
        <w:tc>
          <w:tcPr>
            <w:tcW w:w="993" w:type="dxa"/>
          </w:tcPr>
          <w:p w:rsidR="001403F9" w:rsidRDefault="001403F9" w:rsidP="00E3637E"/>
        </w:tc>
      </w:tr>
      <w:tr w:rsidR="002A22CA" w:rsidTr="002E0C8A">
        <w:tc>
          <w:tcPr>
            <w:tcW w:w="851" w:type="dxa"/>
          </w:tcPr>
          <w:p w:rsidR="002A22CA" w:rsidRPr="001C2EAF" w:rsidRDefault="002A22CA" w:rsidP="00E3637E">
            <w:r w:rsidRPr="001C2EAF">
              <w:t>2.6</w:t>
            </w:r>
          </w:p>
        </w:tc>
        <w:tc>
          <w:tcPr>
            <w:tcW w:w="8220" w:type="dxa"/>
          </w:tcPr>
          <w:p w:rsidR="002A22CA" w:rsidRDefault="002A22CA" w:rsidP="00E3637E">
            <w:r>
              <w:t>The Trust and the Environment</w:t>
            </w:r>
          </w:p>
        </w:tc>
        <w:tc>
          <w:tcPr>
            <w:tcW w:w="993" w:type="dxa"/>
          </w:tcPr>
          <w:p w:rsidR="002A22CA" w:rsidRDefault="002A22CA" w:rsidP="00E3637E"/>
        </w:tc>
      </w:tr>
      <w:tr w:rsidR="002C035A" w:rsidTr="002E0C8A">
        <w:tc>
          <w:tcPr>
            <w:tcW w:w="851" w:type="dxa"/>
          </w:tcPr>
          <w:p w:rsidR="002C035A" w:rsidRPr="001C2EAF" w:rsidRDefault="002A22CA" w:rsidP="00E3637E">
            <w:r w:rsidRPr="001C2EAF">
              <w:t>2.6.1</w:t>
            </w:r>
          </w:p>
        </w:tc>
        <w:tc>
          <w:tcPr>
            <w:tcW w:w="8220" w:type="dxa"/>
          </w:tcPr>
          <w:p w:rsidR="002C035A" w:rsidRDefault="002C035A" w:rsidP="00E3637E">
            <w:r>
              <w:t>Environmental p</w:t>
            </w:r>
            <w:r w:rsidRPr="002C035A">
              <w:t>olicy</w:t>
            </w:r>
          </w:p>
        </w:tc>
        <w:tc>
          <w:tcPr>
            <w:tcW w:w="993" w:type="dxa"/>
          </w:tcPr>
          <w:p w:rsidR="002C035A" w:rsidRDefault="002C035A" w:rsidP="00E3637E"/>
        </w:tc>
      </w:tr>
      <w:tr w:rsidR="002C035A" w:rsidTr="002E0C8A">
        <w:tc>
          <w:tcPr>
            <w:tcW w:w="851" w:type="dxa"/>
          </w:tcPr>
          <w:p w:rsidR="002C035A" w:rsidRPr="001C2EAF" w:rsidRDefault="002A22CA" w:rsidP="00E3637E">
            <w:r w:rsidRPr="001C2EAF">
              <w:t>2.6.2</w:t>
            </w:r>
          </w:p>
        </w:tc>
        <w:tc>
          <w:tcPr>
            <w:tcW w:w="8220" w:type="dxa"/>
          </w:tcPr>
          <w:p w:rsidR="002C035A" w:rsidRDefault="002C035A" w:rsidP="00E3637E">
            <w:r>
              <w:t>Carbon f</w:t>
            </w:r>
            <w:r w:rsidRPr="002C035A">
              <w:t>ootprint</w:t>
            </w:r>
          </w:p>
        </w:tc>
        <w:tc>
          <w:tcPr>
            <w:tcW w:w="993" w:type="dxa"/>
          </w:tcPr>
          <w:p w:rsidR="002C035A" w:rsidRDefault="002C035A" w:rsidP="00E3637E"/>
        </w:tc>
      </w:tr>
      <w:tr w:rsidR="002C035A" w:rsidTr="002E0C8A">
        <w:tc>
          <w:tcPr>
            <w:tcW w:w="851" w:type="dxa"/>
          </w:tcPr>
          <w:p w:rsidR="002C035A" w:rsidRPr="001C2EAF" w:rsidRDefault="002A22CA" w:rsidP="00E3637E">
            <w:r w:rsidRPr="001C2EAF">
              <w:t>2.6.3</w:t>
            </w:r>
          </w:p>
        </w:tc>
        <w:tc>
          <w:tcPr>
            <w:tcW w:w="8220" w:type="dxa"/>
          </w:tcPr>
          <w:p w:rsidR="002C035A" w:rsidRDefault="002C035A" w:rsidP="00E3637E">
            <w:r>
              <w:t>Building u</w:t>
            </w:r>
            <w:r w:rsidRPr="002C035A">
              <w:t>se</w:t>
            </w:r>
          </w:p>
        </w:tc>
        <w:tc>
          <w:tcPr>
            <w:tcW w:w="993" w:type="dxa"/>
          </w:tcPr>
          <w:p w:rsidR="002C035A" w:rsidRDefault="002C035A" w:rsidP="00E3637E"/>
        </w:tc>
      </w:tr>
      <w:tr w:rsidR="002C035A" w:rsidTr="002E0C8A">
        <w:tc>
          <w:tcPr>
            <w:tcW w:w="851" w:type="dxa"/>
          </w:tcPr>
          <w:p w:rsidR="002C035A" w:rsidRPr="001C2EAF" w:rsidRDefault="002A22CA" w:rsidP="00E3637E">
            <w:r w:rsidRPr="001C2EAF">
              <w:t>2.6.4</w:t>
            </w:r>
          </w:p>
        </w:tc>
        <w:tc>
          <w:tcPr>
            <w:tcW w:w="8220" w:type="dxa"/>
          </w:tcPr>
          <w:p w:rsidR="002C035A" w:rsidRDefault="002C035A" w:rsidP="00E3637E">
            <w:r>
              <w:t>Staff i</w:t>
            </w:r>
            <w:r w:rsidRPr="002C035A">
              <w:t>nvolvement</w:t>
            </w:r>
          </w:p>
        </w:tc>
        <w:tc>
          <w:tcPr>
            <w:tcW w:w="993" w:type="dxa"/>
          </w:tcPr>
          <w:p w:rsidR="002C035A" w:rsidRDefault="002C035A" w:rsidP="00E3637E"/>
        </w:tc>
      </w:tr>
      <w:tr w:rsidR="002C035A" w:rsidTr="002E0C8A">
        <w:tc>
          <w:tcPr>
            <w:tcW w:w="851" w:type="dxa"/>
          </w:tcPr>
          <w:p w:rsidR="002C035A" w:rsidRPr="001C2EAF" w:rsidRDefault="002A22CA" w:rsidP="00E3637E">
            <w:r w:rsidRPr="001C2EAF">
              <w:t>2.6.5</w:t>
            </w:r>
          </w:p>
        </w:tc>
        <w:tc>
          <w:tcPr>
            <w:tcW w:w="8220" w:type="dxa"/>
          </w:tcPr>
          <w:p w:rsidR="002C035A" w:rsidRDefault="002C035A" w:rsidP="00E3637E">
            <w:r w:rsidRPr="002C035A">
              <w:t>Travel</w:t>
            </w:r>
          </w:p>
        </w:tc>
        <w:tc>
          <w:tcPr>
            <w:tcW w:w="993" w:type="dxa"/>
          </w:tcPr>
          <w:p w:rsidR="002C035A" w:rsidRDefault="002C035A" w:rsidP="00E3637E"/>
        </w:tc>
      </w:tr>
      <w:tr w:rsidR="002C035A" w:rsidTr="002E0C8A">
        <w:tc>
          <w:tcPr>
            <w:tcW w:w="851" w:type="dxa"/>
          </w:tcPr>
          <w:p w:rsidR="002C035A" w:rsidRPr="001C2EAF" w:rsidRDefault="002A22CA" w:rsidP="00E3637E">
            <w:r w:rsidRPr="001C2EAF">
              <w:t>2.6.6</w:t>
            </w:r>
          </w:p>
        </w:tc>
        <w:tc>
          <w:tcPr>
            <w:tcW w:w="8220" w:type="dxa"/>
          </w:tcPr>
          <w:p w:rsidR="002C035A" w:rsidRDefault="002C035A" w:rsidP="00E3637E">
            <w:r w:rsidRPr="002C035A">
              <w:t>Purchasing</w:t>
            </w:r>
          </w:p>
        </w:tc>
        <w:tc>
          <w:tcPr>
            <w:tcW w:w="993" w:type="dxa"/>
          </w:tcPr>
          <w:p w:rsidR="002C035A" w:rsidRDefault="002C035A" w:rsidP="00E3637E"/>
        </w:tc>
      </w:tr>
      <w:tr w:rsidR="002C035A" w:rsidTr="002E0C8A">
        <w:tc>
          <w:tcPr>
            <w:tcW w:w="851" w:type="dxa"/>
          </w:tcPr>
          <w:p w:rsidR="002C035A" w:rsidRPr="001C2EAF" w:rsidRDefault="002A22CA" w:rsidP="00E3637E">
            <w:r w:rsidRPr="001C2EAF">
              <w:t>2.6.7</w:t>
            </w:r>
          </w:p>
        </w:tc>
        <w:tc>
          <w:tcPr>
            <w:tcW w:w="8220" w:type="dxa"/>
          </w:tcPr>
          <w:p w:rsidR="002C035A" w:rsidRDefault="002C035A" w:rsidP="00E3637E">
            <w:r>
              <w:t>Waste and r</w:t>
            </w:r>
            <w:r w:rsidRPr="002C035A">
              <w:t>ecycling</w:t>
            </w:r>
          </w:p>
        </w:tc>
        <w:tc>
          <w:tcPr>
            <w:tcW w:w="993" w:type="dxa"/>
          </w:tcPr>
          <w:p w:rsidR="002C035A" w:rsidRDefault="002C035A" w:rsidP="00E3637E"/>
        </w:tc>
      </w:tr>
      <w:tr w:rsidR="002C035A" w:rsidTr="002E0C8A">
        <w:tc>
          <w:tcPr>
            <w:tcW w:w="851" w:type="dxa"/>
          </w:tcPr>
          <w:p w:rsidR="002C035A" w:rsidRDefault="002A22CA" w:rsidP="00E3637E">
            <w:r>
              <w:t>2.7</w:t>
            </w:r>
          </w:p>
        </w:tc>
        <w:tc>
          <w:tcPr>
            <w:tcW w:w="8220" w:type="dxa"/>
          </w:tcPr>
          <w:p w:rsidR="002C035A" w:rsidRDefault="002C035A" w:rsidP="00E3637E">
            <w:r>
              <w:t>Working with s</w:t>
            </w:r>
            <w:r w:rsidRPr="002C035A">
              <w:t>taff</w:t>
            </w:r>
          </w:p>
        </w:tc>
        <w:tc>
          <w:tcPr>
            <w:tcW w:w="993" w:type="dxa"/>
          </w:tcPr>
          <w:p w:rsidR="002C035A" w:rsidRDefault="002C035A" w:rsidP="00E3637E"/>
        </w:tc>
      </w:tr>
      <w:tr w:rsidR="002C035A" w:rsidTr="002E0C8A">
        <w:tc>
          <w:tcPr>
            <w:tcW w:w="851" w:type="dxa"/>
          </w:tcPr>
          <w:p w:rsidR="002C035A" w:rsidRDefault="002A22CA" w:rsidP="00E3637E">
            <w:r>
              <w:t>2.7.1</w:t>
            </w:r>
          </w:p>
        </w:tc>
        <w:tc>
          <w:tcPr>
            <w:tcW w:w="8220" w:type="dxa"/>
          </w:tcPr>
          <w:p w:rsidR="002C035A" w:rsidRDefault="002C035A" w:rsidP="00E3637E">
            <w:r>
              <w:t>Staff e</w:t>
            </w:r>
            <w:r w:rsidRPr="002C035A">
              <w:t>ngagement</w:t>
            </w:r>
          </w:p>
        </w:tc>
        <w:tc>
          <w:tcPr>
            <w:tcW w:w="993" w:type="dxa"/>
          </w:tcPr>
          <w:p w:rsidR="002C035A" w:rsidRDefault="002C035A" w:rsidP="00E3637E"/>
        </w:tc>
      </w:tr>
      <w:tr w:rsidR="002C035A" w:rsidTr="002E0C8A">
        <w:tc>
          <w:tcPr>
            <w:tcW w:w="851" w:type="dxa"/>
          </w:tcPr>
          <w:p w:rsidR="002C035A" w:rsidRDefault="002A22CA" w:rsidP="00E3637E">
            <w:r>
              <w:t>2.7.2</w:t>
            </w:r>
          </w:p>
        </w:tc>
        <w:tc>
          <w:tcPr>
            <w:tcW w:w="8220" w:type="dxa"/>
          </w:tcPr>
          <w:p w:rsidR="002C035A" w:rsidRDefault="002C035A" w:rsidP="00E3637E">
            <w:r w:rsidRPr="002C035A">
              <w:t>Equality and Diversity</w:t>
            </w:r>
          </w:p>
        </w:tc>
        <w:tc>
          <w:tcPr>
            <w:tcW w:w="993" w:type="dxa"/>
          </w:tcPr>
          <w:p w:rsidR="002C035A" w:rsidRDefault="002C035A" w:rsidP="00E3637E"/>
        </w:tc>
      </w:tr>
      <w:tr w:rsidR="002C035A" w:rsidTr="002E0C8A">
        <w:tc>
          <w:tcPr>
            <w:tcW w:w="851" w:type="dxa"/>
          </w:tcPr>
          <w:p w:rsidR="002C035A" w:rsidRDefault="002A22CA" w:rsidP="00E3637E">
            <w:r>
              <w:t>2.7.3</w:t>
            </w:r>
          </w:p>
        </w:tc>
        <w:tc>
          <w:tcPr>
            <w:tcW w:w="8220" w:type="dxa"/>
          </w:tcPr>
          <w:p w:rsidR="002C035A" w:rsidRDefault="00AB6B85" w:rsidP="00E3637E">
            <w:r>
              <w:t>Workplace h</w:t>
            </w:r>
            <w:r w:rsidRPr="00AB6B85">
              <w:t>ealth</w:t>
            </w:r>
          </w:p>
        </w:tc>
        <w:tc>
          <w:tcPr>
            <w:tcW w:w="993" w:type="dxa"/>
          </w:tcPr>
          <w:p w:rsidR="002C035A" w:rsidRDefault="002C035A" w:rsidP="00E3637E"/>
        </w:tc>
      </w:tr>
      <w:tr w:rsidR="002C035A" w:rsidTr="002E0C8A">
        <w:tc>
          <w:tcPr>
            <w:tcW w:w="851" w:type="dxa"/>
          </w:tcPr>
          <w:p w:rsidR="002C035A" w:rsidRDefault="002A22CA" w:rsidP="00E3637E">
            <w:r>
              <w:t>2.7.4</w:t>
            </w:r>
          </w:p>
        </w:tc>
        <w:tc>
          <w:tcPr>
            <w:tcW w:w="8220" w:type="dxa"/>
          </w:tcPr>
          <w:p w:rsidR="002C035A" w:rsidRDefault="00864628" w:rsidP="00E3637E">
            <w:r>
              <w:t>Developing the skills of our w</w:t>
            </w:r>
            <w:r w:rsidRPr="00864628">
              <w:t>orkforce</w:t>
            </w:r>
          </w:p>
        </w:tc>
        <w:tc>
          <w:tcPr>
            <w:tcW w:w="993" w:type="dxa"/>
          </w:tcPr>
          <w:p w:rsidR="002C035A" w:rsidRDefault="002C035A" w:rsidP="00E3637E"/>
        </w:tc>
      </w:tr>
      <w:tr w:rsidR="00864628" w:rsidTr="002E0C8A">
        <w:tc>
          <w:tcPr>
            <w:tcW w:w="851" w:type="dxa"/>
          </w:tcPr>
          <w:p w:rsidR="00864628" w:rsidRPr="001C2EAF" w:rsidRDefault="002A22CA" w:rsidP="00E3637E">
            <w:r w:rsidRPr="001C2EAF">
              <w:t>2.8</w:t>
            </w:r>
          </w:p>
        </w:tc>
        <w:tc>
          <w:tcPr>
            <w:tcW w:w="8220" w:type="dxa"/>
          </w:tcPr>
          <w:p w:rsidR="00864628" w:rsidRPr="00864628" w:rsidRDefault="00864628" w:rsidP="00E3637E">
            <w:r>
              <w:t>Paying our bills p</w:t>
            </w:r>
            <w:r w:rsidRPr="00864628">
              <w:t>romptly</w:t>
            </w:r>
          </w:p>
        </w:tc>
        <w:tc>
          <w:tcPr>
            <w:tcW w:w="993" w:type="dxa"/>
          </w:tcPr>
          <w:p w:rsidR="00864628" w:rsidRDefault="00864628" w:rsidP="00E3637E"/>
        </w:tc>
      </w:tr>
      <w:tr w:rsidR="00864628" w:rsidTr="002E0C8A">
        <w:tc>
          <w:tcPr>
            <w:tcW w:w="851" w:type="dxa"/>
          </w:tcPr>
          <w:p w:rsidR="00864628" w:rsidRPr="001C2EAF" w:rsidRDefault="002A22CA" w:rsidP="00E3637E">
            <w:r w:rsidRPr="001C2EAF">
              <w:t>2.9</w:t>
            </w:r>
          </w:p>
        </w:tc>
        <w:tc>
          <w:tcPr>
            <w:tcW w:w="8220" w:type="dxa"/>
          </w:tcPr>
          <w:p w:rsidR="00864628" w:rsidRPr="00864628" w:rsidRDefault="00864628" w:rsidP="00E3637E">
            <w:r>
              <w:t>Land v</w:t>
            </w:r>
            <w:r w:rsidRPr="00864628">
              <w:t>aluations</w:t>
            </w:r>
          </w:p>
        </w:tc>
        <w:tc>
          <w:tcPr>
            <w:tcW w:w="993" w:type="dxa"/>
          </w:tcPr>
          <w:p w:rsidR="00864628" w:rsidRDefault="00864628" w:rsidP="00E3637E"/>
        </w:tc>
      </w:tr>
      <w:tr w:rsidR="00864628" w:rsidTr="002E0C8A">
        <w:tc>
          <w:tcPr>
            <w:tcW w:w="851" w:type="dxa"/>
          </w:tcPr>
          <w:p w:rsidR="00864628" w:rsidRPr="001C2EAF" w:rsidRDefault="002A22CA" w:rsidP="00E3637E">
            <w:r w:rsidRPr="001C2EAF">
              <w:t>2.10</w:t>
            </w:r>
          </w:p>
        </w:tc>
        <w:tc>
          <w:tcPr>
            <w:tcW w:w="8220" w:type="dxa"/>
          </w:tcPr>
          <w:p w:rsidR="00864628" w:rsidRPr="00864628" w:rsidRDefault="00EA3077" w:rsidP="00E3637E">
            <w:r>
              <w:t>Pension l</w:t>
            </w:r>
            <w:r w:rsidRPr="00EA3077">
              <w:t>iabilities</w:t>
            </w:r>
          </w:p>
        </w:tc>
        <w:tc>
          <w:tcPr>
            <w:tcW w:w="993" w:type="dxa"/>
          </w:tcPr>
          <w:p w:rsidR="00864628" w:rsidRDefault="00864628" w:rsidP="00E3637E"/>
        </w:tc>
      </w:tr>
      <w:tr w:rsidR="00864628" w:rsidTr="002E0C8A">
        <w:tc>
          <w:tcPr>
            <w:tcW w:w="851" w:type="dxa"/>
          </w:tcPr>
          <w:p w:rsidR="00864628" w:rsidRPr="002A22CA" w:rsidRDefault="002A22CA" w:rsidP="00E3637E">
            <w:pPr>
              <w:rPr>
                <w:highlight w:val="yellow"/>
              </w:rPr>
            </w:pPr>
            <w:r w:rsidRPr="00A4447B">
              <w:t>2.11</w:t>
            </w:r>
          </w:p>
        </w:tc>
        <w:tc>
          <w:tcPr>
            <w:tcW w:w="8220" w:type="dxa"/>
          </w:tcPr>
          <w:p w:rsidR="00864628" w:rsidRPr="00864628" w:rsidRDefault="00EA3077" w:rsidP="00E3637E">
            <w:r w:rsidRPr="00EA3077">
              <w:t>Auditors</w:t>
            </w:r>
          </w:p>
        </w:tc>
        <w:tc>
          <w:tcPr>
            <w:tcW w:w="993" w:type="dxa"/>
          </w:tcPr>
          <w:p w:rsidR="00864628" w:rsidRDefault="00864628" w:rsidP="00E3637E"/>
        </w:tc>
      </w:tr>
      <w:tr w:rsidR="00864628" w:rsidTr="002E0C8A">
        <w:tc>
          <w:tcPr>
            <w:tcW w:w="851" w:type="dxa"/>
          </w:tcPr>
          <w:p w:rsidR="00864628" w:rsidRPr="001C2EAF" w:rsidRDefault="002A22CA" w:rsidP="00E3637E">
            <w:r w:rsidRPr="001C2EAF">
              <w:t>2.12</w:t>
            </w:r>
          </w:p>
        </w:tc>
        <w:tc>
          <w:tcPr>
            <w:tcW w:w="8220" w:type="dxa"/>
          </w:tcPr>
          <w:p w:rsidR="00864628" w:rsidRPr="00864628" w:rsidRDefault="00EA3077" w:rsidP="00E3637E">
            <w:r>
              <w:t>Protecting i</w:t>
            </w:r>
            <w:r w:rsidRPr="00EA3077">
              <w:t>nformation</w:t>
            </w:r>
          </w:p>
        </w:tc>
        <w:tc>
          <w:tcPr>
            <w:tcW w:w="993" w:type="dxa"/>
          </w:tcPr>
          <w:p w:rsidR="00864628" w:rsidRDefault="00864628" w:rsidP="00E3637E"/>
        </w:tc>
      </w:tr>
      <w:tr w:rsidR="00864628" w:rsidTr="002E0C8A">
        <w:tc>
          <w:tcPr>
            <w:tcW w:w="851" w:type="dxa"/>
          </w:tcPr>
          <w:p w:rsidR="00864628" w:rsidRPr="001C2EAF" w:rsidRDefault="002A22CA" w:rsidP="00E3637E">
            <w:r w:rsidRPr="001C2EAF">
              <w:t>2.13</w:t>
            </w:r>
          </w:p>
        </w:tc>
        <w:tc>
          <w:tcPr>
            <w:tcW w:w="8220" w:type="dxa"/>
          </w:tcPr>
          <w:p w:rsidR="00864628" w:rsidRPr="00864628" w:rsidRDefault="00EA3077" w:rsidP="00E3637E">
            <w:r w:rsidRPr="00EA3077">
              <w:t>Compliance w</w:t>
            </w:r>
            <w:r>
              <w:t>ith charges for i</w:t>
            </w:r>
            <w:r w:rsidRPr="00EA3077">
              <w:t>nformation</w:t>
            </w:r>
          </w:p>
        </w:tc>
        <w:tc>
          <w:tcPr>
            <w:tcW w:w="993" w:type="dxa"/>
          </w:tcPr>
          <w:p w:rsidR="00864628" w:rsidRDefault="00864628" w:rsidP="00E3637E"/>
        </w:tc>
      </w:tr>
      <w:tr w:rsidR="00864628" w:rsidTr="002E0C8A">
        <w:tc>
          <w:tcPr>
            <w:tcW w:w="851" w:type="dxa"/>
          </w:tcPr>
          <w:p w:rsidR="00864628" w:rsidRPr="001C2EAF" w:rsidRDefault="002A22CA" w:rsidP="00E3637E">
            <w:r w:rsidRPr="001C2EAF">
              <w:t>3.1</w:t>
            </w:r>
          </w:p>
        </w:tc>
        <w:tc>
          <w:tcPr>
            <w:tcW w:w="8220" w:type="dxa"/>
          </w:tcPr>
          <w:p w:rsidR="00864628" w:rsidRPr="00864628" w:rsidRDefault="00EA3077" w:rsidP="00E3637E">
            <w:r>
              <w:t>Remuneration report 2014</w:t>
            </w:r>
            <w:r w:rsidRPr="00EA3077">
              <w:t>/1</w:t>
            </w:r>
            <w:r>
              <w:t>5</w:t>
            </w:r>
          </w:p>
        </w:tc>
        <w:tc>
          <w:tcPr>
            <w:tcW w:w="993" w:type="dxa"/>
          </w:tcPr>
          <w:p w:rsidR="00864628" w:rsidRDefault="00864628" w:rsidP="00E3637E"/>
        </w:tc>
      </w:tr>
      <w:tr w:rsidR="00864628" w:rsidTr="002E0C8A">
        <w:tc>
          <w:tcPr>
            <w:tcW w:w="851" w:type="dxa"/>
          </w:tcPr>
          <w:p w:rsidR="00864628" w:rsidRPr="001C2EAF" w:rsidRDefault="002A22CA" w:rsidP="00E3637E">
            <w:r w:rsidRPr="001C2EAF">
              <w:t>3.2</w:t>
            </w:r>
          </w:p>
        </w:tc>
        <w:tc>
          <w:tcPr>
            <w:tcW w:w="8220" w:type="dxa"/>
          </w:tcPr>
          <w:p w:rsidR="00864628" w:rsidRPr="00864628" w:rsidRDefault="00EA3077" w:rsidP="00E3637E">
            <w:r>
              <w:t>Salaries and a</w:t>
            </w:r>
            <w:r w:rsidRPr="00EA3077">
              <w:t>llowances</w:t>
            </w:r>
          </w:p>
        </w:tc>
        <w:tc>
          <w:tcPr>
            <w:tcW w:w="993" w:type="dxa"/>
          </w:tcPr>
          <w:p w:rsidR="00864628" w:rsidRDefault="00864628" w:rsidP="00E3637E"/>
        </w:tc>
      </w:tr>
      <w:tr w:rsidR="00EA3077" w:rsidTr="002E0C8A">
        <w:tc>
          <w:tcPr>
            <w:tcW w:w="851" w:type="dxa"/>
          </w:tcPr>
          <w:p w:rsidR="00EA3077" w:rsidRPr="001C2EAF" w:rsidRDefault="001F4DDB" w:rsidP="00E3637E">
            <w:r w:rsidRPr="001C2EAF">
              <w:t>3.2.1</w:t>
            </w:r>
          </w:p>
        </w:tc>
        <w:tc>
          <w:tcPr>
            <w:tcW w:w="8220" w:type="dxa"/>
          </w:tcPr>
          <w:p w:rsidR="00EA3077" w:rsidRDefault="00EA3077" w:rsidP="00E3637E">
            <w:r>
              <w:t>Salaries and allowances comparative y</w:t>
            </w:r>
            <w:r w:rsidRPr="00EA3077">
              <w:t>ear</w:t>
            </w:r>
          </w:p>
        </w:tc>
        <w:tc>
          <w:tcPr>
            <w:tcW w:w="993" w:type="dxa"/>
          </w:tcPr>
          <w:p w:rsidR="00EA3077" w:rsidRDefault="00EA3077" w:rsidP="00E3637E"/>
        </w:tc>
      </w:tr>
      <w:tr w:rsidR="00EA3077" w:rsidTr="002E0C8A">
        <w:tc>
          <w:tcPr>
            <w:tcW w:w="851" w:type="dxa"/>
          </w:tcPr>
          <w:p w:rsidR="00EA3077" w:rsidRPr="001C2EAF" w:rsidRDefault="001F4DDB" w:rsidP="00E3637E">
            <w:r w:rsidRPr="001C2EAF">
              <w:t>3.2.2</w:t>
            </w:r>
          </w:p>
        </w:tc>
        <w:tc>
          <w:tcPr>
            <w:tcW w:w="8220" w:type="dxa"/>
          </w:tcPr>
          <w:p w:rsidR="00EA3077" w:rsidRDefault="00EA3077" w:rsidP="00E3637E">
            <w:r>
              <w:t>Salaries and allowances n</w:t>
            </w:r>
            <w:r w:rsidRPr="00EA3077">
              <w:t>otes</w:t>
            </w:r>
          </w:p>
        </w:tc>
        <w:tc>
          <w:tcPr>
            <w:tcW w:w="993" w:type="dxa"/>
          </w:tcPr>
          <w:p w:rsidR="00EA3077" w:rsidRDefault="00EA3077" w:rsidP="00E3637E"/>
        </w:tc>
      </w:tr>
      <w:tr w:rsidR="00EA3077" w:rsidTr="002E0C8A">
        <w:tc>
          <w:tcPr>
            <w:tcW w:w="851" w:type="dxa"/>
          </w:tcPr>
          <w:p w:rsidR="00EA3077" w:rsidRPr="001C2EAF" w:rsidRDefault="002A22CA" w:rsidP="00E3637E">
            <w:r w:rsidRPr="001C2EAF">
              <w:t>3.3</w:t>
            </w:r>
          </w:p>
        </w:tc>
        <w:tc>
          <w:tcPr>
            <w:tcW w:w="8220" w:type="dxa"/>
          </w:tcPr>
          <w:p w:rsidR="00EA3077" w:rsidRDefault="00EA3077" w:rsidP="00E3637E">
            <w:r>
              <w:t>Pension b</w:t>
            </w:r>
            <w:r w:rsidRPr="00EA3077">
              <w:t>enefits</w:t>
            </w:r>
          </w:p>
        </w:tc>
        <w:tc>
          <w:tcPr>
            <w:tcW w:w="993" w:type="dxa"/>
          </w:tcPr>
          <w:p w:rsidR="00EA3077" w:rsidRDefault="00EA3077" w:rsidP="00E3637E"/>
        </w:tc>
      </w:tr>
      <w:tr w:rsidR="00EA3077" w:rsidTr="002E0C8A">
        <w:tc>
          <w:tcPr>
            <w:tcW w:w="851" w:type="dxa"/>
          </w:tcPr>
          <w:p w:rsidR="00EA3077" w:rsidRPr="001C2EAF" w:rsidRDefault="001F4DDB" w:rsidP="00E3637E">
            <w:r w:rsidRPr="001C2EAF">
              <w:t>3.3.1</w:t>
            </w:r>
          </w:p>
        </w:tc>
        <w:tc>
          <w:tcPr>
            <w:tcW w:w="8220" w:type="dxa"/>
          </w:tcPr>
          <w:p w:rsidR="00EA3077" w:rsidRDefault="00EA3077" w:rsidP="00E3637E">
            <w:r>
              <w:t>Guide to pension b</w:t>
            </w:r>
            <w:r w:rsidRPr="00EA3077">
              <w:t>enefits</w:t>
            </w:r>
          </w:p>
        </w:tc>
        <w:tc>
          <w:tcPr>
            <w:tcW w:w="993" w:type="dxa"/>
          </w:tcPr>
          <w:p w:rsidR="00EA3077" w:rsidRDefault="00EA3077" w:rsidP="00E3637E"/>
        </w:tc>
      </w:tr>
      <w:tr w:rsidR="00EA3077" w:rsidTr="002E0C8A">
        <w:tc>
          <w:tcPr>
            <w:tcW w:w="851" w:type="dxa"/>
          </w:tcPr>
          <w:p w:rsidR="00EA3077" w:rsidRPr="001C2EAF" w:rsidRDefault="002A22CA" w:rsidP="00E3637E">
            <w:r w:rsidRPr="001C2EAF">
              <w:t>3.4</w:t>
            </w:r>
          </w:p>
        </w:tc>
        <w:tc>
          <w:tcPr>
            <w:tcW w:w="8220" w:type="dxa"/>
          </w:tcPr>
          <w:p w:rsidR="00EA3077" w:rsidRDefault="00EA3077" w:rsidP="00E3637E">
            <w:r w:rsidRPr="00EA3077">
              <w:t>For all off-payroll</w:t>
            </w:r>
            <w:r>
              <w:t xml:space="preserve"> engagements as of 31 March 2015</w:t>
            </w:r>
            <w:r w:rsidRPr="00EA3077">
              <w:t>, for more than £220 per day and that last longer than six months</w:t>
            </w:r>
          </w:p>
        </w:tc>
        <w:tc>
          <w:tcPr>
            <w:tcW w:w="993" w:type="dxa"/>
          </w:tcPr>
          <w:p w:rsidR="00EA3077" w:rsidRDefault="00EA3077" w:rsidP="00E3637E"/>
        </w:tc>
      </w:tr>
      <w:tr w:rsidR="00EA3077" w:rsidTr="002E0C8A">
        <w:tc>
          <w:tcPr>
            <w:tcW w:w="851" w:type="dxa"/>
          </w:tcPr>
          <w:p w:rsidR="00EA3077" w:rsidRPr="001C2EAF" w:rsidRDefault="001F4DDB" w:rsidP="00E3637E">
            <w:r w:rsidRPr="001C2EAF">
              <w:lastRenderedPageBreak/>
              <w:t>3.4.1</w:t>
            </w:r>
          </w:p>
        </w:tc>
        <w:tc>
          <w:tcPr>
            <w:tcW w:w="8220" w:type="dxa"/>
          </w:tcPr>
          <w:p w:rsidR="00EA3077" w:rsidRDefault="00EA3077" w:rsidP="00E3637E">
            <w:r w:rsidRPr="00EA3077">
              <w:t xml:space="preserve">For all new off-payroll </w:t>
            </w:r>
            <w:r>
              <w:t>engagements between 1 April 2014 and 31 March 2015</w:t>
            </w:r>
            <w:r w:rsidRPr="00EA3077">
              <w:t>, for more than £220 per day and that last longer than six months</w:t>
            </w:r>
          </w:p>
        </w:tc>
        <w:tc>
          <w:tcPr>
            <w:tcW w:w="993" w:type="dxa"/>
          </w:tcPr>
          <w:p w:rsidR="00EA3077" w:rsidRDefault="00EA3077" w:rsidP="00E3637E"/>
        </w:tc>
      </w:tr>
      <w:tr w:rsidR="00EA3077" w:rsidTr="002E0C8A">
        <w:tc>
          <w:tcPr>
            <w:tcW w:w="851" w:type="dxa"/>
          </w:tcPr>
          <w:p w:rsidR="00EA3077" w:rsidRDefault="00EA3077" w:rsidP="00E3637E">
            <w:r>
              <w:t>4</w:t>
            </w:r>
          </w:p>
        </w:tc>
        <w:tc>
          <w:tcPr>
            <w:tcW w:w="8220" w:type="dxa"/>
          </w:tcPr>
          <w:p w:rsidR="00EA3077" w:rsidRPr="00EA3077" w:rsidRDefault="00EA3077" w:rsidP="00E3637E">
            <w:r>
              <w:t>Annual Governance Statement 2014</w:t>
            </w:r>
            <w:r w:rsidRPr="00EA3077">
              <w:t>/1</w:t>
            </w:r>
            <w:r>
              <w:t>5</w:t>
            </w:r>
          </w:p>
        </w:tc>
        <w:tc>
          <w:tcPr>
            <w:tcW w:w="993" w:type="dxa"/>
          </w:tcPr>
          <w:p w:rsidR="00EA3077" w:rsidRDefault="00EA3077" w:rsidP="00E3637E"/>
        </w:tc>
      </w:tr>
      <w:tr w:rsidR="001F4DDB" w:rsidTr="002E0C8A">
        <w:tc>
          <w:tcPr>
            <w:tcW w:w="851" w:type="dxa"/>
          </w:tcPr>
          <w:p w:rsidR="001F4DDB" w:rsidRPr="001C2EAF" w:rsidRDefault="001F4DDB" w:rsidP="00E3637E">
            <w:r w:rsidRPr="001C2EAF">
              <w:t>4.1</w:t>
            </w:r>
          </w:p>
        </w:tc>
        <w:tc>
          <w:tcPr>
            <w:tcW w:w="8220" w:type="dxa"/>
          </w:tcPr>
          <w:p w:rsidR="001F4DDB" w:rsidRPr="00EA3077" w:rsidRDefault="001F4DDB" w:rsidP="00E3637E">
            <w:r>
              <w:t>Statement of the CEO’s responsibilities as the Accountable Officer of the Trust</w:t>
            </w:r>
          </w:p>
        </w:tc>
        <w:tc>
          <w:tcPr>
            <w:tcW w:w="993" w:type="dxa"/>
          </w:tcPr>
          <w:p w:rsidR="001F4DDB" w:rsidRDefault="001F4DDB" w:rsidP="00E3637E"/>
        </w:tc>
      </w:tr>
      <w:tr w:rsidR="001F4DDB" w:rsidTr="002E0C8A">
        <w:tc>
          <w:tcPr>
            <w:tcW w:w="851" w:type="dxa"/>
          </w:tcPr>
          <w:p w:rsidR="001F4DDB" w:rsidRPr="001C2EAF" w:rsidRDefault="002E0C8A" w:rsidP="00E3637E">
            <w:r w:rsidRPr="001C2EAF">
              <w:t>4.2</w:t>
            </w:r>
          </w:p>
        </w:tc>
        <w:tc>
          <w:tcPr>
            <w:tcW w:w="8220" w:type="dxa"/>
          </w:tcPr>
          <w:p w:rsidR="001F4DDB" w:rsidRPr="00EA3077" w:rsidRDefault="001F4DDB" w:rsidP="00E3637E">
            <w:r>
              <w:t>Statement of Director’s responsibilities in respect of the accounts</w:t>
            </w:r>
          </w:p>
        </w:tc>
        <w:tc>
          <w:tcPr>
            <w:tcW w:w="993" w:type="dxa"/>
          </w:tcPr>
          <w:p w:rsidR="001F4DDB" w:rsidRDefault="001F4DDB" w:rsidP="00E3637E"/>
        </w:tc>
      </w:tr>
      <w:tr w:rsidR="001F4DDB" w:rsidTr="002E0C8A">
        <w:tc>
          <w:tcPr>
            <w:tcW w:w="851" w:type="dxa"/>
          </w:tcPr>
          <w:p w:rsidR="001F4DDB" w:rsidRPr="007761F4" w:rsidRDefault="002E0C8A" w:rsidP="00E3637E">
            <w:pPr>
              <w:rPr>
                <w:highlight w:val="yellow"/>
              </w:rPr>
            </w:pPr>
            <w:r w:rsidRPr="007761F4">
              <w:rPr>
                <w:highlight w:val="yellow"/>
              </w:rPr>
              <w:t>4.3</w:t>
            </w:r>
          </w:p>
        </w:tc>
        <w:tc>
          <w:tcPr>
            <w:tcW w:w="8220" w:type="dxa"/>
          </w:tcPr>
          <w:p w:rsidR="001F4DDB" w:rsidRDefault="001F4DDB" w:rsidP="00E3637E">
            <w:r>
              <w:t>Independent auditor’s report to the Trust Board of Weston Area Health Trust</w:t>
            </w:r>
          </w:p>
        </w:tc>
        <w:tc>
          <w:tcPr>
            <w:tcW w:w="993" w:type="dxa"/>
          </w:tcPr>
          <w:p w:rsidR="001F4DDB" w:rsidRDefault="001F4DDB" w:rsidP="00E3637E"/>
        </w:tc>
      </w:tr>
      <w:tr w:rsidR="00EA3077" w:rsidTr="002E0C8A">
        <w:tc>
          <w:tcPr>
            <w:tcW w:w="851" w:type="dxa"/>
          </w:tcPr>
          <w:p w:rsidR="00EA3077" w:rsidRPr="007761F4" w:rsidRDefault="00EA3077" w:rsidP="00E3637E">
            <w:pPr>
              <w:rPr>
                <w:highlight w:val="yellow"/>
              </w:rPr>
            </w:pPr>
            <w:r w:rsidRPr="007761F4">
              <w:rPr>
                <w:highlight w:val="yellow"/>
              </w:rPr>
              <w:t>5</w:t>
            </w:r>
          </w:p>
        </w:tc>
        <w:tc>
          <w:tcPr>
            <w:tcW w:w="8220" w:type="dxa"/>
          </w:tcPr>
          <w:p w:rsidR="00EA3077" w:rsidRPr="00EA3077" w:rsidRDefault="00EA3077" w:rsidP="00E3637E">
            <w:r w:rsidRPr="00EA3077">
              <w:t>Annual accounts</w:t>
            </w:r>
            <w:r w:rsidR="001F4DDB">
              <w:t xml:space="preserve"> 2014/15</w:t>
            </w:r>
          </w:p>
        </w:tc>
        <w:tc>
          <w:tcPr>
            <w:tcW w:w="993" w:type="dxa"/>
          </w:tcPr>
          <w:p w:rsidR="00EA3077" w:rsidRDefault="00EA3077" w:rsidP="00E3637E"/>
        </w:tc>
      </w:tr>
      <w:tr w:rsidR="002E0C8A" w:rsidTr="002E0C8A">
        <w:tc>
          <w:tcPr>
            <w:tcW w:w="851" w:type="dxa"/>
          </w:tcPr>
          <w:p w:rsidR="002E0C8A" w:rsidRPr="007761F4" w:rsidRDefault="002E0C8A" w:rsidP="00E3637E">
            <w:pPr>
              <w:rPr>
                <w:highlight w:val="yellow"/>
              </w:rPr>
            </w:pPr>
            <w:r w:rsidRPr="007761F4">
              <w:rPr>
                <w:highlight w:val="yellow"/>
              </w:rPr>
              <w:t>6</w:t>
            </w:r>
          </w:p>
        </w:tc>
        <w:tc>
          <w:tcPr>
            <w:tcW w:w="8220" w:type="dxa"/>
          </w:tcPr>
          <w:p w:rsidR="002E0C8A" w:rsidRPr="00EA3077" w:rsidRDefault="002E0C8A" w:rsidP="00E3637E">
            <w:r>
              <w:t>Letter of representation June 2015</w:t>
            </w:r>
          </w:p>
        </w:tc>
        <w:tc>
          <w:tcPr>
            <w:tcW w:w="993" w:type="dxa"/>
          </w:tcPr>
          <w:p w:rsidR="002E0C8A" w:rsidRDefault="002E0C8A" w:rsidP="00E3637E"/>
        </w:tc>
      </w:tr>
      <w:tr w:rsidR="00EA3077" w:rsidTr="002E0C8A">
        <w:tc>
          <w:tcPr>
            <w:tcW w:w="851" w:type="dxa"/>
          </w:tcPr>
          <w:p w:rsidR="00EA3077" w:rsidRDefault="002E0C8A" w:rsidP="00E3637E">
            <w:r>
              <w:t>7</w:t>
            </w:r>
          </w:p>
        </w:tc>
        <w:tc>
          <w:tcPr>
            <w:tcW w:w="8220" w:type="dxa"/>
          </w:tcPr>
          <w:p w:rsidR="00EA3077" w:rsidRPr="00EA3077" w:rsidRDefault="00EA3077" w:rsidP="00E3637E">
            <w:r>
              <w:t>Glossary of financial t</w:t>
            </w:r>
            <w:r w:rsidRPr="00EA3077">
              <w:t>erms</w:t>
            </w:r>
          </w:p>
        </w:tc>
        <w:tc>
          <w:tcPr>
            <w:tcW w:w="993" w:type="dxa"/>
          </w:tcPr>
          <w:p w:rsidR="00EA3077" w:rsidRDefault="00EA3077" w:rsidP="00E3637E"/>
        </w:tc>
      </w:tr>
      <w:tr w:rsidR="00EA3077" w:rsidTr="002E0C8A">
        <w:tc>
          <w:tcPr>
            <w:tcW w:w="851" w:type="dxa"/>
          </w:tcPr>
          <w:p w:rsidR="00EA3077" w:rsidRDefault="002E0C8A" w:rsidP="00E3637E">
            <w:r>
              <w:t>8</w:t>
            </w:r>
          </w:p>
        </w:tc>
        <w:tc>
          <w:tcPr>
            <w:tcW w:w="8220" w:type="dxa"/>
          </w:tcPr>
          <w:p w:rsidR="00EA3077" w:rsidRPr="00EA3077" w:rsidRDefault="00EA3077" w:rsidP="00E3637E">
            <w:r>
              <w:t>Glossary of a</w:t>
            </w:r>
            <w:r w:rsidRPr="00EA3077">
              <w:t>bbreviations</w:t>
            </w:r>
          </w:p>
        </w:tc>
        <w:tc>
          <w:tcPr>
            <w:tcW w:w="993" w:type="dxa"/>
          </w:tcPr>
          <w:p w:rsidR="00EA3077" w:rsidRDefault="00EA3077" w:rsidP="00E3637E"/>
        </w:tc>
      </w:tr>
    </w:tbl>
    <w:p w:rsidR="00E3637E" w:rsidRDefault="00E3637E" w:rsidP="00E3637E"/>
    <w:p w:rsidR="00E3637E" w:rsidRPr="00E3637E" w:rsidRDefault="00E3637E" w:rsidP="00E3637E"/>
    <w:p w:rsidR="00F93ABB" w:rsidRDefault="00F93ABB">
      <w:pPr>
        <w:ind w:firstLine="360"/>
        <w:jc w:val="left"/>
      </w:pPr>
      <w:r>
        <w:br w:type="page"/>
      </w:r>
    </w:p>
    <w:p w:rsidR="00F93ABB" w:rsidRDefault="00F93ABB" w:rsidP="00636EB5">
      <w:pPr>
        <w:pStyle w:val="Title"/>
      </w:pPr>
      <w:bookmarkStart w:id="1" w:name="_Toc293583969"/>
      <w:bookmarkStart w:id="2" w:name="_Toc325024731"/>
      <w:r w:rsidRPr="00F36E46">
        <w:lastRenderedPageBreak/>
        <w:t>Section 1: Companies Act Requirements</w:t>
      </w:r>
      <w:bookmarkEnd w:id="1"/>
      <w:bookmarkEnd w:id="2"/>
    </w:p>
    <w:p w:rsidR="00CF5E74" w:rsidRPr="00CF5E74" w:rsidRDefault="00CF5E74" w:rsidP="00CF5E74">
      <w:pPr>
        <w:pStyle w:val="Heading1"/>
        <w:rPr>
          <w:color w:val="4F81BD"/>
        </w:rPr>
      </w:pPr>
      <w:bookmarkStart w:id="3" w:name="_Toc293583970"/>
      <w:bookmarkStart w:id="4" w:name="_Toc325024732"/>
      <w:bookmarkStart w:id="5" w:name="_Toc326061938"/>
      <w:bookmarkStart w:id="6" w:name="_Toc387747638"/>
      <w:r w:rsidRPr="00CF5E74">
        <w:rPr>
          <w:color w:val="4F81BD"/>
        </w:rPr>
        <w:t>1.1 Details of the Directors</w:t>
      </w:r>
      <w:bookmarkEnd w:id="3"/>
      <w:bookmarkEnd w:id="4"/>
      <w:bookmarkEnd w:id="5"/>
      <w:bookmarkEnd w:id="6"/>
      <w:r w:rsidRPr="00CF5E74">
        <w:rPr>
          <w:color w:val="4F81BD"/>
        </w:rPr>
        <w:t xml:space="preserve"> </w:t>
      </w:r>
    </w:p>
    <w:p w:rsidR="00CF5E74" w:rsidRPr="00715117" w:rsidRDefault="00CF5E74" w:rsidP="00CF5E74">
      <w:pPr>
        <w:rPr>
          <w:rFonts w:cs="Arial"/>
          <w:color w:val="FF0000"/>
        </w:rPr>
      </w:pPr>
    </w:p>
    <w:p w:rsidR="00CF5E74" w:rsidRPr="0033429D" w:rsidRDefault="006C26FF" w:rsidP="00CF5E74">
      <w:pPr>
        <w:rPr>
          <w:rFonts w:cs="Arial"/>
        </w:rPr>
      </w:pPr>
      <w:r>
        <w:rPr>
          <w:rFonts w:cs="Arial"/>
        </w:rPr>
        <w:t>During 2014/15</w:t>
      </w:r>
      <w:r w:rsidR="00CF5E74" w:rsidRPr="0033429D">
        <w:rPr>
          <w:rFonts w:cs="Arial"/>
        </w:rPr>
        <w:t xml:space="preserve"> the Weston Area Health NHS Trust Board was </w:t>
      </w:r>
      <w:r w:rsidR="00810289">
        <w:rPr>
          <w:rFonts w:cs="Arial"/>
        </w:rPr>
        <w:t>made up of 11</w:t>
      </w:r>
      <w:r w:rsidR="00CF5E74" w:rsidRPr="0033429D">
        <w:rPr>
          <w:rFonts w:cs="Arial"/>
        </w:rPr>
        <w:t xml:space="preserve"> members comprising Executive and Non-Executive Directors. </w:t>
      </w:r>
      <w:r w:rsidR="006B45BA">
        <w:rPr>
          <w:rFonts w:cs="Arial"/>
        </w:rPr>
        <w:t>5 of the Executive Directors and 5 of the Non Executive Directors are voting members.</w:t>
      </w:r>
      <w:r w:rsidR="00CF5E74" w:rsidRPr="0033429D">
        <w:rPr>
          <w:rFonts w:cs="Arial"/>
        </w:rPr>
        <w:t xml:space="preserve"> The Board was led </w:t>
      </w:r>
      <w:r>
        <w:rPr>
          <w:rFonts w:cs="Arial"/>
        </w:rPr>
        <w:t xml:space="preserve">by the Chairman, </w:t>
      </w:r>
      <w:proofErr w:type="spellStart"/>
      <w:r w:rsidR="00CF5E74" w:rsidRPr="0033429D">
        <w:rPr>
          <w:rFonts w:cs="Arial"/>
        </w:rPr>
        <w:t>Mr</w:t>
      </w:r>
      <w:proofErr w:type="spellEnd"/>
      <w:r w:rsidR="00CF5E74" w:rsidRPr="0033429D">
        <w:rPr>
          <w:rFonts w:cs="Arial"/>
        </w:rPr>
        <w:t xml:space="preserve"> </w:t>
      </w:r>
      <w:r>
        <w:rPr>
          <w:rFonts w:cs="Arial"/>
        </w:rPr>
        <w:t>P. Carr</w:t>
      </w:r>
      <w:r w:rsidR="00CF5E74" w:rsidRPr="0033429D">
        <w:rPr>
          <w:rFonts w:cs="Arial"/>
        </w:rPr>
        <w:t>. The Chief Executive has re</w:t>
      </w:r>
      <w:r>
        <w:rPr>
          <w:rFonts w:cs="Arial"/>
        </w:rPr>
        <w:t>mained Mr N Wood throughout 2014/15</w:t>
      </w:r>
      <w:r w:rsidR="00CF5E74" w:rsidRPr="0033429D">
        <w:rPr>
          <w:rFonts w:cs="Arial"/>
        </w:rPr>
        <w:t>.</w:t>
      </w:r>
    </w:p>
    <w:p w:rsidR="00CF5E74" w:rsidRPr="0033429D" w:rsidRDefault="00CF5E74" w:rsidP="00CF5E74">
      <w:pPr>
        <w:rPr>
          <w:rFonts w:cs="Arial"/>
        </w:rPr>
      </w:pPr>
    </w:p>
    <w:p w:rsidR="00CF5E74" w:rsidRPr="0033429D" w:rsidRDefault="00CF5E74" w:rsidP="00CF5E74">
      <w:pPr>
        <w:rPr>
          <w:rFonts w:cs="Arial"/>
        </w:rPr>
      </w:pPr>
      <w:r w:rsidRPr="0033429D">
        <w:rPr>
          <w:rFonts w:cs="Arial"/>
        </w:rPr>
        <w:t xml:space="preserve">The Trust Board met on </w:t>
      </w:r>
      <w:r w:rsidR="006C26FF" w:rsidRPr="006C26FF">
        <w:rPr>
          <w:rFonts w:cs="Arial"/>
        </w:rPr>
        <w:t xml:space="preserve">8 </w:t>
      </w:r>
      <w:r w:rsidR="006C26FF">
        <w:rPr>
          <w:rFonts w:cs="Arial"/>
        </w:rPr>
        <w:t>occasions in public during 2014/15</w:t>
      </w:r>
      <w:r w:rsidRPr="0033429D">
        <w:rPr>
          <w:rFonts w:cs="Arial"/>
        </w:rPr>
        <w:t xml:space="preserve"> and the agenda and papers for these meetings were sent out in advance of the meeting and are made available through the Trust’s website.</w:t>
      </w:r>
    </w:p>
    <w:p w:rsidR="00CF5E74" w:rsidRPr="0033429D" w:rsidRDefault="00CF5E74" w:rsidP="00CF5E74">
      <w:pPr>
        <w:rPr>
          <w:rFonts w:cs="Arial"/>
        </w:rPr>
      </w:pPr>
    </w:p>
    <w:p w:rsidR="00CF5E74" w:rsidRPr="0033429D" w:rsidRDefault="00CF5E74" w:rsidP="00CF5E74">
      <w:pPr>
        <w:rPr>
          <w:rFonts w:cs="Arial"/>
          <w:b/>
          <w:bCs/>
        </w:rPr>
      </w:pPr>
      <w:r w:rsidRPr="0033429D">
        <w:rPr>
          <w:rFonts w:cs="Arial"/>
        </w:rPr>
        <w:t>Members of the public are invited to attend board meetings and dates of meetings are published in the local press.</w:t>
      </w:r>
    </w:p>
    <w:p w:rsidR="00CF5E74" w:rsidRPr="0033429D" w:rsidRDefault="00CF5E74" w:rsidP="00CF5E74">
      <w:pPr>
        <w:rPr>
          <w:rFonts w:cs="Arial"/>
          <w:b/>
          <w:bCs/>
        </w:rPr>
      </w:pPr>
    </w:p>
    <w:p w:rsidR="00CF5E74" w:rsidRPr="0033429D" w:rsidRDefault="00CF5E74" w:rsidP="00CF5E74">
      <w:pPr>
        <w:rPr>
          <w:rFonts w:cs="Arial"/>
          <w:bCs/>
        </w:rPr>
      </w:pPr>
      <w:r w:rsidRPr="0033429D">
        <w:rPr>
          <w:rFonts w:cs="Arial"/>
          <w:bCs/>
        </w:rPr>
        <w:t xml:space="preserve">The details of the Trust’s Directors are included within the Remuneration </w:t>
      </w:r>
      <w:r w:rsidRPr="00230357">
        <w:rPr>
          <w:rFonts w:cs="Arial"/>
          <w:bCs/>
        </w:rPr>
        <w:t xml:space="preserve">Report </w:t>
      </w:r>
      <w:r w:rsidRPr="00603E60">
        <w:rPr>
          <w:rFonts w:cs="Arial"/>
          <w:bCs/>
        </w:rPr>
        <w:t>(page</w:t>
      </w:r>
      <w:r w:rsidR="006C26FF" w:rsidRPr="00603E60">
        <w:rPr>
          <w:rFonts w:cs="Arial"/>
          <w:bCs/>
        </w:rPr>
        <w:t xml:space="preserve"> </w:t>
      </w:r>
      <w:r w:rsidR="00603E60" w:rsidRPr="00603E60">
        <w:rPr>
          <w:rFonts w:cs="Arial"/>
          <w:bCs/>
        </w:rPr>
        <w:t>43</w:t>
      </w:r>
      <w:r w:rsidRPr="00603E60">
        <w:rPr>
          <w:rFonts w:cs="Arial"/>
          <w:bCs/>
        </w:rPr>
        <w:t>).</w:t>
      </w:r>
    </w:p>
    <w:p w:rsidR="00CF5E74" w:rsidRPr="00CF5E74" w:rsidRDefault="00CF5E74" w:rsidP="00CF5E74">
      <w:pPr>
        <w:pStyle w:val="Heading1"/>
        <w:rPr>
          <w:color w:val="4F81BD"/>
        </w:rPr>
      </w:pPr>
      <w:bookmarkStart w:id="7" w:name="_Toc293583971"/>
      <w:bookmarkStart w:id="8" w:name="_Toc325024733"/>
      <w:bookmarkStart w:id="9" w:name="_Toc326061939"/>
      <w:bookmarkStart w:id="10" w:name="_Toc387747639"/>
      <w:r w:rsidRPr="00CF5E74">
        <w:rPr>
          <w:color w:val="4F81BD"/>
        </w:rPr>
        <w:t>1.2 Audit and Assurance Committee</w:t>
      </w:r>
      <w:bookmarkEnd w:id="7"/>
      <w:bookmarkEnd w:id="8"/>
      <w:bookmarkEnd w:id="9"/>
      <w:bookmarkEnd w:id="10"/>
    </w:p>
    <w:p w:rsidR="00CF5E74" w:rsidRPr="00715117" w:rsidRDefault="00CF5E74" w:rsidP="00CF5E74">
      <w:pPr>
        <w:rPr>
          <w:rFonts w:cs="Arial"/>
          <w:b/>
          <w:color w:val="FF0000"/>
        </w:rPr>
      </w:pPr>
    </w:p>
    <w:p w:rsidR="00CF5E74" w:rsidRPr="0033429D" w:rsidRDefault="00CF5E74" w:rsidP="00CF5E74">
      <w:pPr>
        <w:rPr>
          <w:rFonts w:cs="Arial"/>
        </w:rPr>
      </w:pPr>
      <w:r w:rsidRPr="0033429D">
        <w:rPr>
          <w:rFonts w:cs="Arial"/>
        </w:rPr>
        <w:t xml:space="preserve">The Trust Audit and Assurance Committee </w:t>
      </w:r>
      <w:proofErr w:type="gramStart"/>
      <w:r w:rsidRPr="0033429D">
        <w:rPr>
          <w:rFonts w:cs="Arial"/>
        </w:rPr>
        <w:t>comprises</w:t>
      </w:r>
      <w:proofErr w:type="gramEnd"/>
      <w:r w:rsidRPr="0033429D">
        <w:rPr>
          <w:rFonts w:cs="Arial"/>
        </w:rPr>
        <w:t xml:space="preserve"> four Non-E</w:t>
      </w:r>
      <w:r w:rsidR="0050064A">
        <w:rPr>
          <w:rFonts w:cs="Arial"/>
        </w:rPr>
        <w:t>xecutive Directors of the Trust</w:t>
      </w:r>
      <w:r w:rsidR="003E2186">
        <w:rPr>
          <w:rFonts w:cs="Arial"/>
        </w:rPr>
        <w:t>.</w:t>
      </w:r>
      <w:r w:rsidRPr="0033429D">
        <w:rPr>
          <w:rFonts w:cs="Arial"/>
        </w:rPr>
        <w:t xml:space="preserve"> </w:t>
      </w:r>
      <w:proofErr w:type="gramStart"/>
      <w:r w:rsidRPr="0033429D">
        <w:rPr>
          <w:rFonts w:cs="Arial"/>
        </w:rPr>
        <w:t>It</w:t>
      </w:r>
      <w:r w:rsidR="00603E60">
        <w:rPr>
          <w:rFonts w:cs="Arial"/>
        </w:rPr>
        <w:t>’</w:t>
      </w:r>
      <w:r w:rsidRPr="0033429D">
        <w:rPr>
          <w:rFonts w:cs="Arial"/>
        </w:rPr>
        <w:t>s</w:t>
      </w:r>
      <w:proofErr w:type="gramEnd"/>
      <w:r w:rsidRPr="0033429D">
        <w:rPr>
          <w:rFonts w:cs="Arial"/>
        </w:rPr>
        <w:t xml:space="preserve"> primary role is to conclude upon the adequacy and effective operation of the</w:t>
      </w:r>
      <w:r w:rsidRPr="0033429D">
        <w:rPr>
          <w:rFonts w:cs="Arial"/>
          <w:lang w:val="en-GB"/>
        </w:rPr>
        <w:t xml:space="preserve"> organisation’s</w:t>
      </w:r>
      <w:r w:rsidRPr="0033429D">
        <w:rPr>
          <w:rFonts w:cs="Arial"/>
        </w:rPr>
        <w:t xml:space="preserve"> overall internal control system. </w:t>
      </w:r>
    </w:p>
    <w:p w:rsidR="00CF5E74" w:rsidRPr="0033429D" w:rsidRDefault="00CF5E74" w:rsidP="00CF5E74">
      <w:pPr>
        <w:rPr>
          <w:rFonts w:cs="Arial"/>
        </w:rPr>
      </w:pPr>
    </w:p>
    <w:p w:rsidR="00CF5E74" w:rsidRPr="0033429D" w:rsidRDefault="00CF5E74" w:rsidP="00CF5E74">
      <w:pPr>
        <w:rPr>
          <w:rFonts w:cs="Arial"/>
        </w:rPr>
      </w:pPr>
      <w:r w:rsidRPr="0033429D">
        <w:rPr>
          <w:rFonts w:cs="Arial"/>
        </w:rPr>
        <w:t>In performing that role the Committee’s work is predominantly focused upon the framework of risks, controls and related assurances that underpin the delivery of the</w:t>
      </w:r>
      <w:r w:rsidRPr="0033429D">
        <w:rPr>
          <w:rFonts w:cs="Arial"/>
          <w:lang w:val="en-GB"/>
        </w:rPr>
        <w:t xml:space="preserve"> organisation’s</w:t>
      </w:r>
      <w:r w:rsidRPr="0033429D">
        <w:rPr>
          <w:rFonts w:cs="Arial"/>
        </w:rPr>
        <w:t xml:space="preserve"> objectives (the Assurance Framework).  </w:t>
      </w:r>
    </w:p>
    <w:p w:rsidR="00CF5E74" w:rsidRPr="0033429D" w:rsidRDefault="00CF5E74" w:rsidP="00CF5E74">
      <w:pPr>
        <w:rPr>
          <w:rFonts w:cs="Arial"/>
        </w:rPr>
      </w:pPr>
    </w:p>
    <w:p w:rsidR="00CF5E74" w:rsidRPr="0033429D" w:rsidRDefault="00CF5E74" w:rsidP="00CF5E74">
      <w:pPr>
        <w:rPr>
          <w:rFonts w:cs="Arial"/>
        </w:rPr>
      </w:pPr>
      <w:r w:rsidRPr="0033429D">
        <w:rPr>
          <w:rFonts w:cs="Arial"/>
        </w:rPr>
        <w:t>As a result, the Committee has a pivotal role in reviewing the disclosure statements that flow from the</w:t>
      </w:r>
      <w:r w:rsidRPr="0033429D">
        <w:rPr>
          <w:rFonts w:cs="Arial"/>
          <w:lang w:val="en-GB"/>
        </w:rPr>
        <w:t xml:space="preserve"> organisation’s</w:t>
      </w:r>
      <w:r w:rsidRPr="0033429D">
        <w:rPr>
          <w:rFonts w:cs="Arial"/>
        </w:rPr>
        <w:t xml:space="preserve"> assurance processes.  Membe</w:t>
      </w:r>
      <w:r w:rsidR="00CE0F5F">
        <w:rPr>
          <w:rFonts w:cs="Arial"/>
        </w:rPr>
        <w:t>rs of this Committee during 2014/15</w:t>
      </w:r>
      <w:r w:rsidRPr="0033429D">
        <w:rPr>
          <w:rFonts w:cs="Arial"/>
        </w:rPr>
        <w:t xml:space="preserve"> were I Turner (Chairm</w:t>
      </w:r>
      <w:r w:rsidR="00810289">
        <w:rPr>
          <w:rFonts w:cs="Arial"/>
        </w:rPr>
        <w:t xml:space="preserve">an), G Reah, G Paine and </w:t>
      </w:r>
      <w:r w:rsidR="006C26FF">
        <w:rPr>
          <w:rFonts w:cs="Arial"/>
        </w:rPr>
        <w:t>B. Musselwhite</w:t>
      </w:r>
      <w:r w:rsidRPr="0033429D">
        <w:rPr>
          <w:rFonts w:cs="Arial"/>
        </w:rPr>
        <w:t>.</w:t>
      </w:r>
      <w:r w:rsidR="00703B90">
        <w:rPr>
          <w:rFonts w:cs="Arial"/>
        </w:rPr>
        <w:t xml:space="preserve"> The committee reviewed </w:t>
      </w:r>
      <w:proofErr w:type="gramStart"/>
      <w:r w:rsidR="00703B90">
        <w:rPr>
          <w:rFonts w:cs="Arial"/>
        </w:rPr>
        <w:t>it</w:t>
      </w:r>
      <w:r w:rsidR="00603E60">
        <w:rPr>
          <w:rFonts w:cs="Arial"/>
        </w:rPr>
        <w:t>’</w:t>
      </w:r>
      <w:r w:rsidR="00703B90">
        <w:rPr>
          <w:rFonts w:cs="Arial"/>
        </w:rPr>
        <w:t>s</w:t>
      </w:r>
      <w:proofErr w:type="gramEnd"/>
      <w:r w:rsidR="00703B90">
        <w:rPr>
          <w:rFonts w:cs="Arial"/>
        </w:rPr>
        <w:t xml:space="preserve"> effectiveness us</w:t>
      </w:r>
      <w:r w:rsidR="0050064A">
        <w:rPr>
          <w:rFonts w:cs="Arial"/>
        </w:rPr>
        <w:t xml:space="preserve">ing the </w:t>
      </w:r>
      <w:r w:rsidR="00703B90">
        <w:rPr>
          <w:rFonts w:cs="Arial"/>
        </w:rPr>
        <w:t xml:space="preserve">Audit Committee Handbook </w:t>
      </w:r>
      <w:r w:rsidR="000C5939">
        <w:rPr>
          <w:rFonts w:cs="Arial"/>
        </w:rPr>
        <w:t>assessment tool</w:t>
      </w:r>
      <w:r w:rsidR="0050064A">
        <w:rPr>
          <w:rFonts w:cs="Arial"/>
        </w:rPr>
        <w:t xml:space="preserve"> </w:t>
      </w:r>
      <w:r w:rsidR="00703B90">
        <w:rPr>
          <w:rFonts w:cs="Arial"/>
        </w:rPr>
        <w:t>in June 2014.</w:t>
      </w:r>
    </w:p>
    <w:p w:rsidR="00CF5E74" w:rsidRPr="00CF5E74" w:rsidRDefault="00CF5E74" w:rsidP="00CF5E74">
      <w:pPr>
        <w:pStyle w:val="Heading1"/>
        <w:rPr>
          <w:color w:val="4F81BD"/>
        </w:rPr>
      </w:pPr>
      <w:bookmarkStart w:id="11" w:name="_Toc293583972"/>
      <w:bookmarkStart w:id="12" w:name="_Toc325024734"/>
      <w:bookmarkStart w:id="13" w:name="_Toc326061940"/>
      <w:bookmarkStart w:id="14" w:name="_Toc387747640"/>
      <w:r w:rsidRPr="00CF5E74">
        <w:rPr>
          <w:color w:val="4F81BD"/>
        </w:rPr>
        <w:t>1.3 Remuneration Committee</w:t>
      </w:r>
      <w:bookmarkEnd w:id="11"/>
      <w:bookmarkEnd w:id="12"/>
      <w:bookmarkEnd w:id="13"/>
      <w:bookmarkEnd w:id="14"/>
    </w:p>
    <w:p w:rsidR="00CF5E74" w:rsidRPr="00715117" w:rsidRDefault="00CF5E74" w:rsidP="00CF5E74">
      <w:pPr>
        <w:rPr>
          <w:rFonts w:cs="Arial"/>
          <w:b/>
          <w:color w:val="FF0000"/>
        </w:rPr>
      </w:pPr>
    </w:p>
    <w:p w:rsidR="00CF5E74" w:rsidRPr="0033429D" w:rsidRDefault="00CF5E74" w:rsidP="00CF5E74">
      <w:pPr>
        <w:rPr>
          <w:rFonts w:cs="Arial"/>
        </w:rPr>
      </w:pPr>
      <w:r w:rsidRPr="0033429D">
        <w:rPr>
          <w:rFonts w:cs="Arial"/>
        </w:rPr>
        <w:t xml:space="preserve">The Trust Remuneration Committee comprised the Chair and all of the Non Executive Directors of the Trust. </w:t>
      </w:r>
    </w:p>
    <w:p w:rsidR="00CF5E74" w:rsidRPr="0033429D" w:rsidRDefault="00CF5E74" w:rsidP="00CF5E74">
      <w:pPr>
        <w:rPr>
          <w:rFonts w:cs="Arial"/>
        </w:rPr>
      </w:pPr>
    </w:p>
    <w:p w:rsidR="00CF5E74" w:rsidRPr="0033429D" w:rsidRDefault="00CF5E74" w:rsidP="00CF5E74">
      <w:pPr>
        <w:rPr>
          <w:rFonts w:cs="Arial"/>
        </w:rPr>
      </w:pPr>
      <w:r w:rsidRPr="0033429D">
        <w:rPr>
          <w:rFonts w:cs="Arial"/>
        </w:rPr>
        <w:t>The Committee reviews the salaries of the Executive Directors of the Trust.  It also determines any annual performance bonuses in line with individual and corporate achievement of performance objectives, subject to the terms and conditions of the individual’s contract of employment.</w:t>
      </w:r>
    </w:p>
    <w:p w:rsidR="00CF5E74" w:rsidRPr="0033429D" w:rsidRDefault="00CF5E74" w:rsidP="00CF5E74">
      <w:pPr>
        <w:rPr>
          <w:rFonts w:cs="Arial"/>
        </w:rPr>
      </w:pPr>
    </w:p>
    <w:p w:rsidR="00CF5E74" w:rsidRPr="0033429D" w:rsidRDefault="00CF5E74" w:rsidP="00CF5E74">
      <w:pPr>
        <w:rPr>
          <w:rFonts w:cs="Arial"/>
        </w:rPr>
      </w:pPr>
      <w:r w:rsidRPr="0033429D">
        <w:rPr>
          <w:rFonts w:cs="Arial"/>
        </w:rPr>
        <w:t>The remuneration of the Chair and the Non Executive members of the Board is determined by the Secretary of State for Health.  Details of the remuneration paid to Trust Board members are repo</w:t>
      </w:r>
      <w:r w:rsidR="00603E60">
        <w:rPr>
          <w:rFonts w:cs="Arial"/>
        </w:rPr>
        <w:t>rted in the Remuneration Report</w:t>
      </w:r>
      <w:r w:rsidRPr="00E36823">
        <w:rPr>
          <w:rFonts w:cs="Arial"/>
        </w:rPr>
        <w:t>.</w:t>
      </w:r>
    </w:p>
    <w:p w:rsidR="00CF5E74" w:rsidRPr="00715117" w:rsidRDefault="00CF5E74" w:rsidP="00CF5E74">
      <w:pPr>
        <w:rPr>
          <w:rFonts w:cs="Arial"/>
          <w:color w:val="FF0000"/>
        </w:rPr>
      </w:pPr>
    </w:p>
    <w:p w:rsidR="00CF5E74" w:rsidRPr="00CF5E74" w:rsidRDefault="00CF5E74" w:rsidP="00CF5E74">
      <w:pPr>
        <w:pStyle w:val="Heading1"/>
        <w:rPr>
          <w:color w:val="4F81BD"/>
        </w:rPr>
      </w:pPr>
      <w:bookmarkStart w:id="15" w:name="_Toc293583973"/>
      <w:bookmarkStart w:id="16" w:name="_Toc325024735"/>
      <w:bookmarkStart w:id="17" w:name="_Toc326061941"/>
      <w:bookmarkStart w:id="18" w:name="_Toc387747641"/>
      <w:r w:rsidRPr="00CF5E74">
        <w:rPr>
          <w:color w:val="4F81BD"/>
        </w:rPr>
        <w:lastRenderedPageBreak/>
        <w:t>1.4 Declaration of Interests</w:t>
      </w:r>
      <w:bookmarkEnd w:id="15"/>
      <w:bookmarkEnd w:id="16"/>
      <w:bookmarkEnd w:id="17"/>
      <w:bookmarkEnd w:id="18"/>
    </w:p>
    <w:p w:rsidR="00CF5E74" w:rsidRPr="00715117" w:rsidRDefault="00CF5E74" w:rsidP="00CF5E74">
      <w:pPr>
        <w:rPr>
          <w:rFonts w:cs="Arial"/>
          <w:b/>
          <w:color w:val="FF0000"/>
        </w:rPr>
      </w:pPr>
    </w:p>
    <w:p w:rsidR="00CF5E74" w:rsidRPr="0033429D" w:rsidRDefault="00CF5E74" w:rsidP="00CF5E74">
      <w:pPr>
        <w:rPr>
          <w:rFonts w:cs="Arial"/>
        </w:rPr>
      </w:pPr>
      <w:r w:rsidRPr="0033429D">
        <w:rPr>
          <w:rFonts w:cs="Arial"/>
        </w:rPr>
        <w:t xml:space="preserve">Directors are required to declare details of any company directorships or other significant interests held where those companies do business or are seeking to do business with the NHS </w:t>
      </w:r>
      <w:r w:rsidR="00603E60">
        <w:rPr>
          <w:rFonts w:cs="Arial"/>
        </w:rPr>
        <w:t xml:space="preserve">- </w:t>
      </w:r>
      <w:r w:rsidRPr="0033429D">
        <w:rPr>
          <w:rFonts w:cs="Arial"/>
        </w:rPr>
        <w:t>where this may result in a conflict with their managerial responsibilities.  There were no directorship</w:t>
      </w:r>
      <w:r w:rsidR="00CE0F5F">
        <w:rPr>
          <w:rFonts w:cs="Arial"/>
        </w:rPr>
        <w:t>s or interests disclosed in 2014/15</w:t>
      </w:r>
      <w:r w:rsidRPr="0033429D">
        <w:rPr>
          <w:rFonts w:cs="Arial"/>
        </w:rPr>
        <w:t xml:space="preserve"> that would have resulted in significant conflict.</w:t>
      </w:r>
    </w:p>
    <w:p w:rsidR="00CF5E74" w:rsidRPr="0033429D" w:rsidRDefault="00CF5E74" w:rsidP="00CF5E74">
      <w:pPr>
        <w:rPr>
          <w:rFonts w:cs="Arial"/>
        </w:rPr>
      </w:pPr>
    </w:p>
    <w:p w:rsidR="009F0EDE" w:rsidRPr="0033429D" w:rsidRDefault="00CF5E74" w:rsidP="00CF5E74">
      <w:pPr>
        <w:rPr>
          <w:rFonts w:cs="Arial"/>
        </w:rPr>
      </w:pPr>
      <w:r w:rsidRPr="0033429D">
        <w:rPr>
          <w:rFonts w:cs="Arial"/>
        </w:rPr>
        <w:t>All the Directors have stated that</w:t>
      </w:r>
      <w:r w:rsidR="009F0EDE" w:rsidRPr="0033429D">
        <w:rPr>
          <w:rFonts w:cs="Arial"/>
        </w:rPr>
        <w:t>:</w:t>
      </w:r>
    </w:p>
    <w:p w:rsidR="009F0EDE" w:rsidRPr="0033429D" w:rsidRDefault="00CF5E74" w:rsidP="00CA6887">
      <w:pPr>
        <w:numPr>
          <w:ilvl w:val="0"/>
          <w:numId w:val="29"/>
        </w:numPr>
        <w:rPr>
          <w:rFonts w:cs="Arial"/>
        </w:rPr>
      </w:pPr>
      <w:r w:rsidRPr="0033429D">
        <w:rPr>
          <w:rFonts w:cs="Arial"/>
        </w:rPr>
        <w:t xml:space="preserve">as far as they are aware there is no relevant audit information of which the Trust’s auditors are unaware and </w:t>
      </w:r>
    </w:p>
    <w:p w:rsidR="00CF5E74" w:rsidRPr="0033429D" w:rsidRDefault="00CF5E74" w:rsidP="00CA6887">
      <w:pPr>
        <w:numPr>
          <w:ilvl w:val="0"/>
          <w:numId w:val="29"/>
        </w:numPr>
        <w:rPr>
          <w:rFonts w:cs="Arial"/>
        </w:rPr>
      </w:pPr>
      <w:proofErr w:type="gramStart"/>
      <w:r w:rsidRPr="0033429D">
        <w:rPr>
          <w:rFonts w:cs="Arial"/>
        </w:rPr>
        <w:t>they</w:t>
      </w:r>
      <w:proofErr w:type="gramEnd"/>
      <w:r w:rsidRPr="0033429D">
        <w:rPr>
          <w:rFonts w:cs="Arial"/>
        </w:rPr>
        <w:t xml:space="preserve"> have taken all the steps they ought to have taken as a Director in order to make themselves aware of any relevant audit information</w:t>
      </w:r>
      <w:r w:rsidR="009F0EDE" w:rsidRPr="0033429D">
        <w:rPr>
          <w:rFonts w:cs="Arial"/>
        </w:rPr>
        <w:t xml:space="preserve"> and to establish that the auditor is aware of that information</w:t>
      </w:r>
      <w:r w:rsidRPr="0033429D">
        <w:rPr>
          <w:rFonts w:cs="Arial"/>
        </w:rPr>
        <w:t>.</w:t>
      </w:r>
    </w:p>
    <w:p w:rsidR="00CF5E74" w:rsidRPr="00715117" w:rsidRDefault="00CF5E74" w:rsidP="00CF5E74">
      <w:pPr>
        <w:rPr>
          <w:rFonts w:cs="Arial"/>
          <w:b/>
          <w:bCs/>
          <w:color w:val="FF0000"/>
        </w:rPr>
      </w:pPr>
    </w:p>
    <w:p w:rsidR="00F93ABB" w:rsidRPr="00F36E46" w:rsidRDefault="00F93ABB" w:rsidP="00357F0F">
      <w:pPr>
        <w:rPr>
          <w:rFonts w:cs="Arial"/>
          <w:b/>
          <w:bCs/>
        </w:rPr>
      </w:pPr>
    </w:p>
    <w:p w:rsidR="00F93ABB" w:rsidRPr="00F36E46" w:rsidRDefault="00F93ABB" w:rsidP="00357F0F">
      <w:pPr>
        <w:rPr>
          <w:rFonts w:cs="Arial"/>
          <w:b/>
          <w:bCs/>
        </w:rPr>
      </w:pPr>
    </w:p>
    <w:p w:rsidR="00F93ABB" w:rsidRPr="00F36E46" w:rsidRDefault="00F93ABB" w:rsidP="00357F0F">
      <w:pPr>
        <w:rPr>
          <w:rFonts w:cs="Arial"/>
          <w:b/>
          <w:bCs/>
        </w:rPr>
      </w:pPr>
    </w:p>
    <w:p w:rsidR="00F93ABB" w:rsidRPr="00F36E46" w:rsidRDefault="00F93ABB" w:rsidP="00357F0F">
      <w:pPr>
        <w:rPr>
          <w:rFonts w:cs="Arial"/>
          <w:b/>
          <w:bCs/>
        </w:rPr>
      </w:pPr>
    </w:p>
    <w:p w:rsidR="00F93ABB" w:rsidRDefault="00F93ABB">
      <w:pPr>
        <w:rPr>
          <w:b/>
          <w:bCs/>
          <w:color w:val="365F91"/>
          <w:sz w:val="24"/>
          <w:szCs w:val="24"/>
        </w:rPr>
      </w:pPr>
      <w:r>
        <w:br w:type="page"/>
      </w:r>
    </w:p>
    <w:p w:rsidR="00CA6887" w:rsidRPr="00CE0F5F" w:rsidRDefault="00CA6887" w:rsidP="00CA6887">
      <w:pPr>
        <w:pStyle w:val="Title"/>
      </w:pPr>
      <w:bookmarkStart w:id="19" w:name="_Toc293583974"/>
      <w:bookmarkStart w:id="20" w:name="_Toc325024736"/>
      <w:r w:rsidRPr="00CE0F5F">
        <w:lastRenderedPageBreak/>
        <w:t>Section 2: Operating and Financial Review</w:t>
      </w:r>
    </w:p>
    <w:p w:rsidR="00CA6887" w:rsidRPr="00CE0F5F" w:rsidRDefault="00CA6887" w:rsidP="00CA6887">
      <w:pPr>
        <w:pStyle w:val="Heading1"/>
        <w:jc w:val="left"/>
        <w:rPr>
          <w:lang w:val="en-GB"/>
        </w:rPr>
      </w:pPr>
      <w:r w:rsidRPr="00CE0F5F">
        <w:rPr>
          <w:lang w:val="en-GB"/>
        </w:rPr>
        <w:t>2.1. Nature, Objectives and strategies of the Trust</w:t>
      </w:r>
    </w:p>
    <w:p w:rsidR="00CA6887" w:rsidRPr="00CE0F5F" w:rsidRDefault="00CA6887" w:rsidP="00CA6887">
      <w:pPr>
        <w:rPr>
          <w:lang w:val="en-GB"/>
        </w:rPr>
      </w:pPr>
    </w:p>
    <w:p w:rsidR="00CA6887" w:rsidRPr="00CE0F5F" w:rsidRDefault="00CA6887" w:rsidP="00CA6887">
      <w:pPr>
        <w:pStyle w:val="Heading2"/>
        <w:jc w:val="left"/>
        <w:rPr>
          <w:lang w:val="en-GB"/>
        </w:rPr>
      </w:pPr>
      <w:r w:rsidRPr="00CE0F5F">
        <w:rPr>
          <w:lang w:val="en-GB"/>
        </w:rPr>
        <w:t>2.1.1 What we do</w:t>
      </w:r>
    </w:p>
    <w:p w:rsidR="00CA6887" w:rsidRPr="00CE0F5F" w:rsidRDefault="00CA6887" w:rsidP="00CA6887">
      <w:pPr>
        <w:rPr>
          <w:lang w:val="en-GB"/>
        </w:rPr>
      </w:pPr>
      <w:r w:rsidRPr="00CE0F5F">
        <w:rPr>
          <w:lang w:val="en-GB"/>
        </w:rPr>
        <w:t xml:space="preserve">Weston Area Health NHS Trust was established in April 1991 being one of the first </w:t>
      </w:r>
      <w:proofErr w:type="gramStart"/>
      <w:r w:rsidRPr="00CE0F5F">
        <w:rPr>
          <w:lang w:val="en-GB"/>
        </w:rPr>
        <w:t>wave</w:t>
      </w:r>
      <w:proofErr w:type="gramEnd"/>
      <w:r w:rsidRPr="00CE0F5F">
        <w:rPr>
          <w:lang w:val="en-GB"/>
        </w:rPr>
        <w:t xml:space="preserve"> of 57 NHS Trusts created following the enactment of the NHS and Community Care Act 1990. The Trust is based at Weston General Hospital, built in 1986 near Uphill in the south of Weston-super-Mare. </w:t>
      </w:r>
    </w:p>
    <w:p w:rsidR="00CA6887" w:rsidRPr="00CE0F5F" w:rsidRDefault="00CA6887" w:rsidP="00CA6887">
      <w:pPr>
        <w:rPr>
          <w:lang w:val="en-GB"/>
        </w:rPr>
      </w:pPr>
    </w:p>
    <w:p w:rsidR="00CA6887" w:rsidRPr="00CE0F5F" w:rsidRDefault="00CA6887" w:rsidP="00CA6887">
      <w:pPr>
        <w:rPr>
          <w:lang w:val="en-GB"/>
        </w:rPr>
      </w:pPr>
      <w:r w:rsidRPr="00CE0F5F">
        <w:rPr>
          <w:lang w:val="en-GB"/>
        </w:rPr>
        <w:t xml:space="preserve">The Trust provides a wide range of acute and rehabilitation hospital services, as well as some community health services primarily to residents of the North Somerset area. Services are provided on a contractual basis to local health bodies that are responsible for purchasing health care for the resident population. </w:t>
      </w:r>
    </w:p>
    <w:p w:rsidR="00CA6887" w:rsidRPr="00CE0F5F" w:rsidRDefault="00CA6887" w:rsidP="00CA6887">
      <w:pPr>
        <w:rPr>
          <w:lang w:val="en-GB"/>
        </w:rPr>
      </w:pPr>
    </w:p>
    <w:p w:rsidR="00CA6887" w:rsidRPr="00CE0F5F" w:rsidRDefault="00CA6887" w:rsidP="00CA6887">
      <w:pPr>
        <w:autoSpaceDE w:val="0"/>
        <w:autoSpaceDN w:val="0"/>
        <w:adjustRightInd w:val="0"/>
        <w:rPr>
          <w:rFonts w:cs="Arial"/>
          <w:b/>
          <w:bCs/>
        </w:rPr>
      </w:pPr>
      <w:r w:rsidRPr="00CE0F5F">
        <w:rPr>
          <w:rFonts w:cs="Arial"/>
        </w:rPr>
        <w:t>The Trust serves a resident population which, in 2011 was estimated to be 202,566 people (source: 2011 census), with over 70% of people living in the four main towns of Weston, Clevedon, Portishead and Nailsea.  A further 3.3 million day trippers and 375,000 staying visitors increase thi</w:t>
      </w:r>
      <w:r w:rsidR="00A01CE9">
        <w:rPr>
          <w:rFonts w:cs="Arial"/>
        </w:rPr>
        <w:t xml:space="preserve">s base population each year.  </w:t>
      </w:r>
      <w:r w:rsidRPr="00CE0F5F">
        <w:rPr>
          <w:rFonts w:cs="Arial"/>
        </w:rPr>
        <w:t>The Trust also provides services to North Sedgemoor which has an estimated population (April 2012) of 47,825. The largest town is Bridgewater, followed by Burnham-on-Sea and Highbridge.</w:t>
      </w:r>
    </w:p>
    <w:p w:rsidR="00CA6887" w:rsidRPr="00CE0F5F" w:rsidRDefault="00CA6887" w:rsidP="00CA6887">
      <w:pPr>
        <w:rPr>
          <w:rFonts w:cs="Arial"/>
        </w:rPr>
      </w:pPr>
    </w:p>
    <w:p w:rsidR="00CA6887" w:rsidRPr="00CE0F5F" w:rsidRDefault="00CA6887" w:rsidP="00CA6887">
      <w:pPr>
        <w:rPr>
          <w:rFonts w:cs="Arial"/>
          <w:b/>
          <w:bCs/>
        </w:rPr>
      </w:pPr>
      <w:r w:rsidRPr="00CE0F5F">
        <w:rPr>
          <w:rFonts w:cs="Arial"/>
        </w:rPr>
        <w:t xml:space="preserve">NHS North Somerset Clinical Commissioning Group is the Trust’s main commissioner accounting for approximately 66% of Trust healthcare income, with NHS Somerset accounting for circa 25% of income. In addition, the Trust </w:t>
      </w:r>
      <w:r w:rsidR="00E45C51" w:rsidRPr="00CE0F5F">
        <w:rPr>
          <w:rFonts w:cs="Arial"/>
        </w:rPr>
        <w:t>receives</w:t>
      </w:r>
      <w:r w:rsidRPr="00CE0F5F">
        <w:rPr>
          <w:rFonts w:cs="Arial"/>
        </w:rPr>
        <w:t xml:space="preserve"> other non-patient related income including education and training monies.</w:t>
      </w:r>
    </w:p>
    <w:p w:rsidR="00CA6887" w:rsidRPr="00CE0F5F" w:rsidRDefault="00CA6887" w:rsidP="00CA6887"/>
    <w:p w:rsidR="00CA6887" w:rsidRPr="00CE0F5F" w:rsidRDefault="00CA6887" w:rsidP="00CA6887">
      <w:pPr>
        <w:autoSpaceDE w:val="0"/>
        <w:autoSpaceDN w:val="0"/>
        <w:adjustRightInd w:val="0"/>
        <w:rPr>
          <w:rFonts w:cs="Arial"/>
        </w:rPr>
      </w:pPr>
      <w:r w:rsidRPr="00CE0F5F">
        <w:rPr>
          <w:rFonts w:cs="Arial"/>
        </w:rPr>
        <w:t>Since 2001, the population of North Somerset is estimated to have increased by over 10%.   By 2033, the total population of North Somerset is anticipated to increase by 40%, significantly higher than the national average growth rate of 18% (Mid 2011 JSNA).</w:t>
      </w:r>
    </w:p>
    <w:p w:rsidR="00CA6887" w:rsidRPr="00CE0F5F" w:rsidRDefault="00CA6887" w:rsidP="00CA6887">
      <w:pPr>
        <w:autoSpaceDE w:val="0"/>
        <w:autoSpaceDN w:val="0"/>
        <w:adjustRightInd w:val="0"/>
        <w:rPr>
          <w:rFonts w:cs="Arial"/>
        </w:rPr>
      </w:pPr>
    </w:p>
    <w:p w:rsidR="00CA6887" w:rsidRPr="00CE0F5F" w:rsidRDefault="00CA6887" w:rsidP="00CA6887">
      <w:pPr>
        <w:autoSpaceDE w:val="0"/>
        <w:autoSpaceDN w:val="0"/>
        <w:adjustRightInd w:val="0"/>
        <w:rPr>
          <w:rFonts w:cs="Arial"/>
        </w:rPr>
      </w:pPr>
      <w:r w:rsidRPr="00CE0F5F">
        <w:rPr>
          <w:rFonts w:cs="Arial"/>
        </w:rPr>
        <w:t xml:space="preserve">Older people make up a higher proportion of the population than the national average </w:t>
      </w:r>
      <w:r w:rsidR="00A01CE9">
        <w:rPr>
          <w:rFonts w:cs="Arial"/>
        </w:rPr>
        <w:t xml:space="preserve">- </w:t>
      </w:r>
      <w:r w:rsidRPr="00CE0F5F">
        <w:rPr>
          <w:rFonts w:cs="Arial"/>
        </w:rPr>
        <w:t>23.8% locally</w:t>
      </w:r>
      <w:r w:rsidR="00A01CE9">
        <w:rPr>
          <w:rFonts w:cs="Arial"/>
        </w:rPr>
        <w:t>,</w:t>
      </w:r>
      <w:r w:rsidRPr="00CE0F5F">
        <w:rPr>
          <w:rFonts w:cs="Arial"/>
        </w:rPr>
        <w:t xml:space="preserve"> </w:t>
      </w:r>
      <w:r w:rsidR="00A01CE9">
        <w:rPr>
          <w:rFonts w:cs="Arial"/>
        </w:rPr>
        <w:t>compared with 19.5% nationally</w:t>
      </w:r>
      <w:r w:rsidRPr="00CE0F5F">
        <w:rPr>
          <w:rFonts w:cs="Arial"/>
        </w:rPr>
        <w:t xml:space="preserve"> (Mid 2011 JSNA).  The temporary resident population aged over 65</w:t>
      </w:r>
      <w:r w:rsidR="00A01CE9">
        <w:rPr>
          <w:rFonts w:cs="Arial"/>
        </w:rPr>
        <w:t xml:space="preserve"> </w:t>
      </w:r>
      <w:r w:rsidRPr="00CE0F5F">
        <w:rPr>
          <w:rFonts w:cs="Arial"/>
        </w:rPr>
        <w:t>y</w:t>
      </w:r>
      <w:r w:rsidR="00A01CE9">
        <w:rPr>
          <w:rFonts w:cs="Arial"/>
        </w:rPr>
        <w:t>ea</w:t>
      </w:r>
      <w:r w:rsidRPr="00CE0F5F">
        <w:rPr>
          <w:rFonts w:cs="Arial"/>
        </w:rPr>
        <w:t xml:space="preserve">rs is considerably increased during summer months as a consequence of tourism.   </w:t>
      </w:r>
    </w:p>
    <w:p w:rsidR="00CA6887" w:rsidRPr="00CE0F5F" w:rsidRDefault="00CA6887" w:rsidP="00CA6887"/>
    <w:p w:rsidR="00CA6887" w:rsidRPr="00CE0F5F" w:rsidRDefault="00CA6887" w:rsidP="00CA6887">
      <w:pPr>
        <w:rPr>
          <w:rFonts w:cs="Arial"/>
        </w:rPr>
      </w:pPr>
      <w:r w:rsidRPr="00CE0F5F">
        <w:rPr>
          <w:rFonts w:cs="Arial"/>
        </w:rPr>
        <w:t>The biggest growth is expected in the over 65s (80%) and in those aged 85</w:t>
      </w:r>
      <w:r w:rsidR="00A01CE9">
        <w:rPr>
          <w:rFonts w:cs="Arial"/>
        </w:rPr>
        <w:t xml:space="preserve"> </w:t>
      </w:r>
      <w:r w:rsidRPr="00CE0F5F">
        <w:rPr>
          <w:rFonts w:cs="Arial"/>
        </w:rPr>
        <w:t>years and over.   By 2030, it is expected that in North Somerset there will be a 91% increase in the over 65s with dementia compared to the level in 2009.   Population increases are also expected in children aged 0-15 (34%), and those of working age (26%).</w:t>
      </w:r>
    </w:p>
    <w:p w:rsidR="00CA6887" w:rsidRPr="00CE0F5F" w:rsidRDefault="00CA6887" w:rsidP="00CA6887"/>
    <w:p w:rsidR="00CA6887" w:rsidRPr="00CE0F5F" w:rsidRDefault="00CA6887" w:rsidP="00CA6887">
      <w:pPr>
        <w:autoSpaceDE w:val="0"/>
        <w:autoSpaceDN w:val="0"/>
        <w:adjustRightInd w:val="0"/>
      </w:pPr>
      <w:r w:rsidRPr="00CE0F5F">
        <w:t>North Somerset is a very diverse area with extremes of affluence and considerable deprivation and is therefore more likely to experience wider inequalities than areas with more similar populations.  Using the 2010 Index of Multiple Deprivation</w:t>
      </w:r>
      <w:r w:rsidR="00A01CE9">
        <w:t>,</w:t>
      </w:r>
      <w:r w:rsidRPr="00CE0F5F">
        <w:t xml:space="preserve"> North Somerset has the 7</w:t>
      </w:r>
      <w:r w:rsidRPr="00CE0F5F">
        <w:rPr>
          <w:vertAlign w:val="superscript"/>
        </w:rPr>
        <w:t>th</w:t>
      </w:r>
      <w:r w:rsidRPr="00CE0F5F">
        <w:t xml:space="preserve"> widest inequalities gap in the country.  Evidence shows that levels of relative deprivation have increased in North Somerset in recent years.  Weston-super-Mare Central and Weston-super-Mare South </w:t>
      </w:r>
      <w:r w:rsidR="00E45C51">
        <w:t>W</w:t>
      </w:r>
      <w:r w:rsidRPr="00CE0F5F">
        <w:t xml:space="preserve">ards are the most deprived areas in North Somerset, falling in the bottom 1% in the country. High levels of deprivation translate to lower than average life expectancy figures.  Within North Somerset the gap in life expectancy is 22 years for men and 15 years for women between the 10% most deprived areas and 10% most affluent areas. There is evidence that this gap is widening because life expectancy in the most affluent areas has risen faster than in the most deprived areas.   In North Sedgemoor, the Index of Multiple </w:t>
      </w:r>
      <w:r w:rsidR="007761F4" w:rsidRPr="00CE0F5F">
        <w:t>Deprivation score</w:t>
      </w:r>
      <w:r w:rsidRPr="00CE0F5F">
        <w:t xml:space="preserve"> is lower than that of the surrounding Somerset area and England scores, indicating a lower prevalence of deprivation.   </w:t>
      </w:r>
    </w:p>
    <w:p w:rsidR="00CA6887" w:rsidRPr="00CE0F5F" w:rsidRDefault="00CA6887" w:rsidP="00CA6887"/>
    <w:p w:rsidR="00CA6887" w:rsidRPr="00CE0F5F" w:rsidRDefault="00CA6887" w:rsidP="00CA6887">
      <w:r w:rsidRPr="00CE0F5F">
        <w:t>Weston Area Health NHS Trust provides clinical services from three sites. The General Hospital is locat</w:t>
      </w:r>
      <w:r w:rsidR="00E45C51">
        <w:t>ed in the main town of Weston-super-</w:t>
      </w:r>
      <w:r w:rsidRPr="00CE0F5F">
        <w:t xml:space="preserve">Mare and there are two children’s </w:t>
      </w:r>
      <w:proofErr w:type="spellStart"/>
      <w:r w:rsidRPr="00CE0F5F">
        <w:t>centres</w:t>
      </w:r>
      <w:proofErr w:type="spellEnd"/>
      <w:r w:rsidRPr="00CE0F5F">
        <w:t xml:space="preserve"> providing community childr</w:t>
      </w:r>
      <w:r w:rsidR="00E45C51">
        <w:t>en’s services located in Weston-super-</w:t>
      </w:r>
      <w:r w:rsidRPr="00CE0F5F">
        <w:t>Mare and Clevedon.</w:t>
      </w:r>
    </w:p>
    <w:p w:rsidR="00CA6887" w:rsidRPr="00CE0F5F" w:rsidRDefault="00CA6887" w:rsidP="00CA6887"/>
    <w:p w:rsidR="00CA6887" w:rsidRPr="00CE0F5F" w:rsidRDefault="00CA6887" w:rsidP="00CA6887">
      <w:r w:rsidRPr="00CE0F5F">
        <w:t>The Trust provides a wide range of acute health services to the population of North Somerset and Sedgemoor and works closely with other hospitals in Bristol as part of ‘clinical networks’ including, for example, cancer, pathology and cardiology.</w:t>
      </w:r>
    </w:p>
    <w:p w:rsidR="00CA6887" w:rsidRPr="00CE0F5F" w:rsidRDefault="00CA6887" w:rsidP="00CA6887"/>
    <w:p w:rsidR="00CA6887" w:rsidRPr="00CE0F5F" w:rsidRDefault="00CA6887" w:rsidP="00CA6887">
      <w:pPr>
        <w:rPr>
          <w:rFonts w:cs="Arial"/>
        </w:rPr>
      </w:pPr>
      <w:r w:rsidRPr="00CE0F5F">
        <w:rPr>
          <w:rFonts w:cs="Arial"/>
          <w:lang w:val="en-GB" w:eastAsia="en-GB"/>
        </w:rPr>
        <w:t>The Trust owns its fixed assets, including the land and buildings at Weston General Hospital. The Trust’s asset base is</w:t>
      </w:r>
      <w:r w:rsidR="009F749B">
        <w:rPr>
          <w:rFonts w:cs="Arial"/>
          <w:lang w:val="en-GB" w:eastAsia="en-GB"/>
        </w:rPr>
        <w:t xml:space="preserve"> valued at £64.3m (31 March 2015</w:t>
      </w:r>
      <w:r w:rsidRPr="00CE0F5F">
        <w:rPr>
          <w:rFonts w:cs="Arial"/>
          <w:lang w:val="en-GB" w:eastAsia="en-GB"/>
        </w:rPr>
        <w:t xml:space="preserve">)  </w:t>
      </w:r>
    </w:p>
    <w:p w:rsidR="00CA6887" w:rsidRPr="00CE0F5F" w:rsidRDefault="00CA6887" w:rsidP="00CA6887"/>
    <w:p w:rsidR="00CA6887" w:rsidRPr="00CE0F5F" w:rsidRDefault="00CA6887" w:rsidP="00CA6887">
      <w:r w:rsidRPr="00CE0F5F">
        <w:t>The Trust is registered without conditions with the Care Quality Commission (CQC), the independent regulator of health and social care in England.</w:t>
      </w:r>
    </w:p>
    <w:p w:rsidR="00CA6887" w:rsidRPr="00CE0F5F" w:rsidRDefault="00CA6887" w:rsidP="00CA6887"/>
    <w:p w:rsidR="00CA6887" w:rsidRPr="00CE0F5F" w:rsidRDefault="00CA6887" w:rsidP="00CA6887">
      <w:pPr>
        <w:pStyle w:val="Heading2"/>
        <w:jc w:val="left"/>
        <w:rPr>
          <w:lang w:val="en-GB"/>
        </w:rPr>
      </w:pPr>
      <w:r w:rsidRPr="00CE0F5F">
        <w:rPr>
          <w:lang w:val="en-GB"/>
        </w:rPr>
        <w:t>2.1.2 Our vision and values</w:t>
      </w:r>
    </w:p>
    <w:p w:rsidR="00CA6887" w:rsidRDefault="00CA6887" w:rsidP="00CA6887">
      <w:pPr>
        <w:pStyle w:val="Default"/>
        <w:ind w:firstLine="0"/>
        <w:rPr>
          <w:rFonts w:cs="Arial"/>
          <w:color w:val="auto"/>
          <w:sz w:val="22"/>
          <w:szCs w:val="22"/>
        </w:rPr>
      </w:pPr>
      <w:r w:rsidRPr="00CE0F5F">
        <w:rPr>
          <w:rFonts w:cs="Arial"/>
          <w:color w:val="auto"/>
          <w:sz w:val="22"/>
          <w:szCs w:val="22"/>
        </w:rPr>
        <w:t xml:space="preserve">The vision of Weston Area Health NHS Trust is: </w:t>
      </w:r>
    </w:p>
    <w:p w:rsidR="00E45C51" w:rsidRPr="00CE0F5F" w:rsidRDefault="00E45C51" w:rsidP="00CA6887">
      <w:pPr>
        <w:pStyle w:val="Default"/>
        <w:ind w:firstLine="0"/>
        <w:rPr>
          <w:rFonts w:cs="Arial"/>
          <w:color w:val="auto"/>
          <w:sz w:val="22"/>
          <w:szCs w:val="22"/>
        </w:rPr>
      </w:pPr>
    </w:p>
    <w:p w:rsidR="00CA6887" w:rsidRPr="00CE0F5F" w:rsidRDefault="00CA6887" w:rsidP="00CA6887">
      <w:pPr>
        <w:pStyle w:val="Default"/>
        <w:jc w:val="center"/>
        <w:rPr>
          <w:rFonts w:cs="Arial"/>
          <w:b/>
          <w:i/>
          <w:color w:val="auto"/>
          <w:sz w:val="22"/>
          <w:szCs w:val="22"/>
        </w:rPr>
      </w:pPr>
      <w:proofErr w:type="gramStart"/>
      <w:r w:rsidRPr="00CE0F5F">
        <w:rPr>
          <w:rFonts w:cs="Arial"/>
          <w:b/>
          <w:i/>
          <w:color w:val="auto"/>
          <w:sz w:val="22"/>
          <w:szCs w:val="22"/>
        </w:rPr>
        <w:t>t</w:t>
      </w:r>
      <w:r w:rsidRPr="00CE0F5F">
        <w:rPr>
          <w:rFonts w:cs="Arial"/>
          <w:b/>
          <w:bCs/>
          <w:i/>
          <w:color w:val="auto"/>
          <w:sz w:val="22"/>
          <w:szCs w:val="22"/>
        </w:rPr>
        <w:t>o</w:t>
      </w:r>
      <w:proofErr w:type="gramEnd"/>
      <w:r w:rsidRPr="00CE0F5F">
        <w:rPr>
          <w:rFonts w:cs="Arial"/>
          <w:b/>
          <w:bCs/>
          <w:i/>
          <w:color w:val="auto"/>
          <w:sz w:val="22"/>
          <w:szCs w:val="22"/>
        </w:rPr>
        <w:t xml:space="preserve"> put patients at the heart of what we do and  be  the local healthcare provider of choice by delivering the right care in the right place at the right time and with the right care team.</w:t>
      </w:r>
    </w:p>
    <w:p w:rsidR="00CA6887" w:rsidRPr="00CE0F5F" w:rsidRDefault="00CA6887" w:rsidP="00CA6887">
      <w:pPr>
        <w:pStyle w:val="Default"/>
        <w:jc w:val="both"/>
        <w:rPr>
          <w:rFonts w:cs="Arial"/>
          <w:bCs/>
          <w:color w:val="auto"/>
          <w:sz w:val="22"/>
          <w:szCs w:val="22"/>
        </w:rPr>
      </w:pPr>
    </w:p>
    <w:p w:rsidR="00CA6887" w:rsidRPr="00CE0F5F" w:rsidRDefault="00CA6887" w:rsidP="00CA6887">
      <w:pPr>
        <w:pStyle w:val="Default"/>
        <w:ind w:firstLine="0"/>
        <w:jc w:val="both"/>
        <w:rPr>
          <w:rFonts w:cs="Arial"/>
          <w:bCs/>
          <w:color w:val="auto"/>
          <w:sz w:val="22"/>
          <w:szCs w:val="22"/>
        </w:rPr>
      </w:pPr>
      <w:r w:rsidRPr="00CE0F5F">
        <w:rPr>
          <w:rFonts w:cs="Arial"/>
          <w:bCs/>
          <w:color w:val="auto"/>
          <w:sz w:val="22"/>
          <w:szCs w:val="22"/>
        </w:rPr>
        <w:t xml:space="preserve">This vision reflects the sociological and demographic challenges of the area served by the Trust and the relative small size of the Trust which determines that service integration is </w:t>
      </w:r>
      <w:proofErr w:type="gramStart"/>
      <w:r w:rsidRPr="00CE0F5F">
        <w:rPr>
          <w:rFonts w:cs="Arial"/>
          <w:bCs/>
          <w:color w:val="auto"/>
          <w:sz w:val="22"/>
          <w:szCs w:val="22"/>
        </w:rPr>
        <w:t>key</w:t>
      </w:r>
      <w:proofErr w:type="gramEnd"/>
      <w:r w:rsidRPr="00CE0F5F">
        <w:rPr>
          <w:rFonts w:cs="Arial"/>
          <w:bCs/>
          <w:color w:val="auto"/>
          <w:sz w:val="22"/>
          <w:szCs w:val="22"/>
        </w:rPr>
        <w:t xml:space="preserve"> to delivery of safe and sustainable local services.</w:t>
      </w:r>
    </w:p>
    <w:p w:rsidR="00CA6887" w:rsidRPr="00CE0F5F" w:rsidRDefault="00CA6887" w:rsidP="00CA6887">
      <w:pPr>
        <w:pStyle w:val="Default"/>
        <w:jc w:val="both"/>
        <w:rPr>
          <w:rFonts w:cs="Arial"/>
          <w:bCs/>
          <w:color w:val="auto"/>
          <w:sz w:val="22"/>
          <w:szCs w:val="22"/>
        </w:rPr>
      </w:pPr>
    </w:p>
    <w:p w:rsidR="00CA6887" w:rsidRDefault="00CA6887" w:rsidP="00CA6887">
      <w:pPr>
        <w:rPr>
          <w:rFonts w:cs="Arial"/>
        </w:rPr>
      </w:pPr>
      <w:r w:rsidRPr="00CE0F5F">
        <w:rPr>
          <w:rFonts w:cs="Arial"/>
          <w:bCs/>
        </w:rPr>
        <w:t xml:space="preserve">This vision is supported by a series of local values which guide actions, </w:t>
      </w:r>
      <w:proofErr w:type="spellStart"/>
      <w:r w:rsidRPr="00CE0F5F">
        <w:rPr>
          <w:rFonts w:cs="Arial"/>
          <w:bCs/>
        </w:rPr>
        <w:t>behaviours</w:t>
      </w:r>
      <w:proofErr w:type="spellEnd"/>
      <w:r w:rsidRPr="00CE0F5F">
        <w:rPr>
          <w:rFonts w:cs="Arial"/>
          <w:bCs/>
        </w:rPr>
        <w:t xml:space="preserve"> and decision making within the organisation and which are consistent with the NHS Constitution.  </w:t>
      </w:r>
      <w:r w:rsidRPr="00CE0F5F">
        <w:rPr>
          <w:rFonts w:cs="Arial"/>
        </w:rPr>
        <w:t xml:space="preserve">These values are: </w:t>
      </w:r>
    </w:p>
    <w:p w:rsidR="00E45C51" w:rsidRPr="00CE0F5F" w:rsidRDefault="00E45C51" w:rsidP="00CA6887">
      <w:pPr>
        <w:rPr>
          <w:rFonts w:cs="Arial"/>
        </w:rPr>
      </w:pPr>
    </w:p>
    <w:p w:rsidR="00CA6887" w:rsidRDefault="00CA6887" w:rsidP="00CA6887">
      <w:pPr>
        <w:jc w:val="center"/>
        <w:rPr>
          <w:rFonts w:cs="Arial"/>
        </w:rPr>
      </w:pPr>
      <w:r w:rsidRPr="00CE0F5F">
        <w:rPr>
          <w:rFonts w:cs="Arial"/>
          <w:noProof/>
          <w:lang w:val="en-GB" w:eastAsia="en-GB"/>
        </w:rPr>
        <w:drawing>
          <wp:inline distT="0" distB="0" distL="0" distR="0">
            <wp:extent cx="2438400" cy="990600"/>
            <wp:effectExtent l="19050" t="0" r="0" b="0"/>
            <wp:docPr id="18" name="Picture 3" descr="Logo for PRIDE ini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for PRIDE iniative"/>
                    <pic:cNvPicPr>
                      <a:picLocks noChangeAspect="1" noChangeArrowheads="1"/>
                    </pic:cNvPicPr>
                  </pic:nvPicPr>
                  <pic:blipFill>
                    <a:blip r:embed="rId17" cstate="print"/>
                    <a:srcRect/>
                    <a:stretch>
                      <a:fillRect/>
                    </a:stretch>
                  </pic:blipFill>
                  <pic:spPr bwMode="auto">
                    <a:xfrm>
                      <a:off x="0" y="0"/>
                      <a:ext cx="2438400" cy="990600"/>
                    </a:xfrm>
                    <a:prstGeom prst="rect">
                      <a:avLst/>
                    </a:prstGeom>
                    <a:noFill/>
                    <a:ln w="9525">
                      <a:noFill/>
                      <a:miter lim="800000"/>
                      <a:headEnd/>
                      <a:tailEnd/>
                    </a:ln>
                  </pic:spPr>
                </pic:pic>
              </a:graphicData>
            </a:graphic>
          </wp:inline>
        </w:drawing>
      </w:r>
    </w:p>
    <w:p w:rsidR="00E45C51" w:rsidRPr="00CE0F5F" w:rsidRDefault="00E45C51" w:rsidP="00CA6887">
      <w:pPr>
        <w:jc w:val="center"/>
        <w:rPr>
          <w:rFonts w:cs="Arial"/>
        </w:rPr>
      </w:pPr>
    </w:p>
    <w:p w:rsidR="00CA6887" w:rsidRPr="00CE0F5F" w:rsidRDefault="00CA6887" w:rsidP="00CA6887">
      <w:pPr>
        <w:ind w:left="2127" w:hanging="2127"/>
        <w:jc w:val="center"/>
        <w:rPr>
          <w:rFonts w:cs="Arial"/>
          <w:sz w:val="20"/>
          <w:szCs w:val="20"/>
          <w:lang w:eastAsia="en-GB"/>
        </w:rPr>
      </w:pPr>
      <w:r w:rsidRPr="00CE0F5F">
        <w:rPr>
          <w:rFonts w:cs="Arial"/>
          <w:b/>
          <w:bCs/>
          <w:sz w:val="20"/>
          <w:szCs w:val="20"/>
          <w:lang w:eastAsia="en-GB"/>
        </w:rPr>
        <w:t>People and Partnership</w:t>
      </w:r>
      <w:r w:rsidRPr="00CE0F5F">
        <w:rPr>
          <w:rFonts w:cs="Arial"/>
          <w:sz w:val="20"/>
          <w:szCs w:val="20"/>
          <w:lang w:eastAsia="en-GB"/>
        </w:rPr>
        <w:t xml:space="preserve"> – working together with colleagues, other organisations and agencies to achieve high care standards or specifically helping a service user, visitor or colleague (</w:t>
      </w:r>
      <w:r w:rsidRPr="00CE0F5F">
        <w:rPr>
          <w:rFonts w:cs="Arial"/>
          <w:b/>
          <w:sz w:val="20"/>
          <w:szCs w:val="20"/>
          <w:lang w:eastAsia="en-GB"/>
        </w:rPr>
        <w:t>C</w:t>
      </w:r>
      <w:r w:rsidRPr="00CE0F5F">
        <w:rPr>
          <w:rFonts w:cs="Arial"/>
          <w:sz w:val="20"/>
          <w:szCs w:val="20"/>
          <w:lang w:eastAsia="en-GB"/>
        </w:rPr>
        <w:t xml:space="preserve">are and </w:t>
      </w:r>
      <w:r w:rsidRPr="00CE0F5F">
        <w:rPr>
          <w:rFonts w:cs="Arial"/>
          <w:b/>
          <w:sz w:val="20"/>
          <w:szCs w:val="20"/>
          <w:lang w:eastAsia="en-GB"/>
        </w:rPr>
        <w:t>C</w:t>
      </w:r>
      <w:r w:rsidRPr="00CE0F5F">
        <w:rPr>
          <w:rFonts w:cs="Arial"/>
          <w:sz w:val="20"/>
          <w:szCs w:val="20"/>
          <w:lang w:eastAsia="en-GB"/>
        </w:rPr>
        <w:t>ommitment)</w:t>
      </w:r>
    </w:p>
    <w:p w:rsidR="00CA6887" w:rsidRPr="00CE0F5F" w:rsidRDefault="00CA6887" w:rsidP="00CA6887">
      <w:pPr>
        <w:jc w:val="center"/>
        <w:rPr>
          <w:rFonts w:cs="Arial"/>
          <w:sz w:val="20"/>
          <w:szCs w:val="20"/>
          <w:lang w:eastAsia="en-GB"/>
        </w:rPr>
      </w:pPr>
      <w:r w:rsidRPr="00CE0F5F">
        <w:rPr>
          <w:rFonts w:cs="Arial"/>
          <w:b/>
          <w:bCs/>
          <w:sz w:val="20"/>
          <w:szCs w:val="20"/>
          <w:lang w:eastAsia="en-GB"/>
        </w:rPr>
        <w:t>Reputation</w:t>
      </w:r>
      <w:r w:rsidRPr="00CE0F5F">
        <w:rPr>
          <w:rFonts w:cs="Arial"/>
          <w:sz w:val="20"/>
          <w:szCs w:val="20"/>
          <w:lang w:eastAsia="en-GB"/>
        </w:rPr>
        <w:t xml:space="preserve"> –actions which help to build and maintain the Trust’s good name in the community (</w:t>
      </w:r>
      <w:r w:rsidRPr="00CE0F5F">
        <w:rPr>
          <w:rFonts w:cs="Arial"/>
          <w:b/>
          <w:sz w:val="20"/>
          <w:szCs w:val="20"/>
          <w:lang w:eastAsia="en-GB"/>
        </w:rPr>
        <w:t>C</w:t>
      </w:r>
      <w:r w:rsidRPr="00CE0F5F">
        <w:rPr>
          <w:rFonts w:cs="Arial"/>
          <w:sz w:val="20"/>
          <w:szCs w:val="20"/>
          <w:lang w:eastAsia="en-GB"/>
        </w:rPr>
        <w:t>ommunication)</w:t>
      </w:r>
    </w:p>
    <w:p w:rsidR="00CA6887" w:rsidRPr="00CE0F5F" w:rsidRDefault="00CA6887" w:rsidP="00CA6887">
      <w:pPr>
        <w:jc w:val="center"/>
        <w:rPr>
          <w:rFonts w:cs="Arial"/>
          <w:sz w:val="20"/>
          <w:szCs w:val="20"/>
          <w:lang w:eastAsia="en-GB"/>
        </w:rPr>
      </w:pPr>
      <w:r w:rsidRPr="00CE0F5F">
        <w:rPr>
          <w:rFonts w:cs="Arial"/>
          <w:b/>
          <w:bCs/>
          <w:sz w:val="20"/>
          <w:szCs w:val="20"/>
          <w:lang w:eastAsia="en-GB"/>
        </w:rPr>
        <w:t>Innovation</w:t>
      </w:r>
      <w:r w:rsidRPr="00CE0F5F">
        <w:rPr>
          <w:rFonts w:cs="Arial"/>
          <w:sz w:val="20"/>
          <w:szCs w:val="20"/>
          <w:lang w:eastAsia="en-GB"/>
        </w:rPr>
        <w:t xml:space="preserve"> – </w:t>
      </w:r>
      <w:proofErr w:type="gramStart"/>
      <w:r w:rsidRPr="00CE0F5F">
        <w:rPr>
          <w:rFonts w:cs="Arial"/>
          <w:sz w:val="20"/>
          <w:szCs w:val="20"/>
          <w:lang w:eastAsia="en-GB"/>
        </w:rPr>
        <w:t>demonstrating  a</w:t>
      </w:r>
      <w:proofErr w:type="gramEnd"/>
      <w:r w:rsidRPr="00CE0F5F">
        <w:rPr>
          <w:rFonts w:cs="Arial"/>
          <w:sz w:val="20"/>
          <w:szCs w:val="20"/>
          <w:lang w:eastAsia="en-GB"/>
        </w:rPr>
        <w:t xml:space="preserve"> fresh approach or finding a new solution to a problem (</w:t>
      </w:r>
      <w:r w:rsidRPr="00CE0F5F">
        <w:rPr>
          <w:rFonts w:cs="Arial"/>
          <w:b/>
          <w:sz w:val="20"/>
          <w:szCs w:val="20"/>
          <w:lang w:eastAsia="en-GB"/>
        </w:rPr>
        <w:t>C</w:t>
      </w:r>
      <w:r w:rsidRPr="00CE0F5F">
        <w:rPr>
          <w:rFonts w:cs="Arial"/>
          <w:sz w:val="20"/>
          <w:szCs w:val="20"/>
          <w:lang w:eastAsia="en-GB"/>
        </w:rPr>
        <w:t>ourage)</w:t>
      </w:r>
    </w:p>
    <w:p w:rsidR="00CA6887" w:rsidRPr="00CE0F5F" w:rsidRDefault="00CA6887" w:rsidP="00CA6887">
      <w:pPr>
        <w:jc w:val="center"/>
        <w:rPr>
          <w:rFonts w:cs="Arial"/>
          <w:sz w:val="20"/>
          <w:szCs w:val="20"/>
          <w:lang w:eastAsia="en-GB"/>
        </w:rPr>
      </w:pPr>
      <w:r w:rsidRPr="00CE0F5F">
        <w:rPr>
          <w:rFonts w:cs="Arial"/>
          <w:b/>
          <w:bCs/>
          <w:sz w:val="20"/>
          <w:szCs w:val="20"/>
          <w:lang w:eastAsia="en-GB"/>
        </w:rPr>
        <w:t>Dignity</w:t>
      </w:r>
      <w:r w:rsidRPr="00CE0F5F">
        <w:rPr>
          <w:rFonts w:cs="Arial"/>
          <w:sz w:val="20"/>
          <w:szCs w:val="20"/>
          <w:lang w:eastAsia="en-GB"/>
        </w:rPr>
        <w:t xml:space="preserve"> – Contributing to the Trust’s Dignity in Care </w:t>
      </w:r>
      <w:proofErr w:type="gramStart"/>
      <w:r w:rsidRPr="00CE0F5F">
        <w:rPr>
          <w:rFonts w:cs="Arial"/>
          <w:sz w:val="20"/>
          <w:szCs w:val="20"/>
          <w:lang w:eastAsia="en-GB"/>
        </w:rPr>
        <w:t>priorities  (</w:t>
      </w:r>
      <w:proofErr w:type="gramEnd"/>
      <w:r w:rsidRPr="00CE0F5F">
        <w:rPr>
          <w:rFonts w:cs="Arial"/>
          <w:b/>
          <w:sz w:val="20"/>
          <w:szCs w:val="20"/>
          <w:lang w:eastAsia="en-GB"/>
        </w:rPr>
        <w:t>C</w:t>
      </w:r>
      <w:r w:rsidRPr="00CE0F5F">
        <w:rPr>
          <w:rFonts w:cs="Arial"/>
          <w:sz w:val="20"/>
          <w:szCs w:val="20"/>
          <w:lang w:eastAsia="en-GB"/>
        </w:rPr>
        <w:t>ompassion)</w:t>
      </w:r>
    </w:p>
    <w:p w:rsidR="00CA6887" w:rsidRPr="00CE0F5F" w:rsidRDefault="00CA6887" w:rsidP="00CA6887">
      <w:pPr>
        <w:jc w:val="center"/>
        <w:rPr>
          <w:rFonts w:cs="Arial"/>
          <w:sz w:val="20"/>
          <w:szCs w:val="20"/>
          <w:lang w:eastAsia="en-GB"/>
        </w:rPr>
      </w:pPr>
      <w:r w:rsidRPr="00CE0F5F">
        <w:rPr>
          <w:rFonts w:cs="Arial"/>
          <w:b/>
          <w:bCs/>
          <w:sz w:val="20"/>
          <w:szCs w:val="20"/>
          <w:lang w:eastAsia="en-GB"/>
        </w:rPr>
        <w:t>Excellence and equality</w:t>
      </w:r>
      <w:r w:rsidRPr="00CE0F5F">
        <w:rPr>
          <w:rFonts w:cs="Arial"/>
          <w:sz w:val="20"/>
          <w:szCs w:val="20"/>
          <w:lang w:eastAsia="en-GB"/>
        </w:rPr>
        <w:t xml:space="preserve"> – demonstrating excellence in and equality of service </w:t>
      </w:r>
      <w:proofErr w:type="gramStart"/>
      <w:r w:rsidRPr="00CE0F5F">
        <w:rPr>
          <w:rFonts w:cs="Arial"/>
          <w:sz w:val="20"/>
          <w:szCs w:val="20"/>
          <w:lang w:eastAsia="en-GB"/>
        </w:rPr>
        <w:t>provision  (</w:t>
      </w:r>
      <w:proofErr w:type="gramEnd"/>
      <w:r w:rsidRPr="00CE0F5F">
        <w:rPr>
          <w:rFonts w:cs="Arial"/>
          <w:b/>
          <w:sz w:val="20"/>
          <w:szCs w:val="20"/>
          <w:lang w:eastAsia="en-GB"/>
        </w:rPr>
        <w:t>C</w:t>
      </w:r>
      <w:r w:rsidRPr="00CE0F5F">
        <w:rPr>
          <w:rFonts w:cs="Arial"/>
          <w:sz w:val="20"/>
          <w:szCs w:val="20"/>
          <w:lang w:eastAsia="en-GB"/>
        </w:rPr>
        <w:t>ompetence)</w:t>
      </w:r>
    </w:p>
    <w:p w:rsidR="00CA6887" w:rsidRPr="00CE0F5F" w:rsidRDefault="00CA6887" w:rsidP="00CA6887">
      <w:pPr>
        <w:autoSpaceDE w:val="0"/>
        <w:autoSpaceDN w:val="0"/>
        <w:adjustRightInd w:val="0"/>
        <w:rPr>
          <w:rFonts w:cs="Arial"/>
          <w:lang w:val="en-GB"/>
        </w:rPr>
      </w:pPr>
    </w:p>
    <w:p w:rsidR="00CA6887" w:rsidRPr="00CE0F5F" w:rsidRDefault="00C30E92" w:rsidP="00CA6887">
      <w:pPr>
        <w:pStyle w:val="Heading1"/>
        <w:rPr>
          <w:color w:val="1F497D" w:themeColor="text2"/>
          <w:lang w:val="en-GB"/>
        </w:rPr>
      </w:pPr>
      <w:r w:rsidRPr="00CE0F5F">
        <w:rPr>
          <w:color w:val="1F497D" w:themeColor="text2"/>
          <w:lang w:val="en-GB"/>
        </w:rPr>
        <w:t>2.1.3 Development</w:t>
      </w:r>
      <w:r w:rsidR="00CA6887" w:rsidRPr="00CE0F5F">
        <w:rPr>
          <w:lang w:val="en-GB"/>
        </w:rPr>
        <w:t xml:space="preserve"> and performance of the Trust during </w:t>
      </w:r>
      <w:r w:rsidR="00CA6887" w:rsidRPr="00CE0F5F">
        <w:rPr>
          <w:color w:val="1F497D" w:themeColor="text2"/>
          <w:lang w:val="en-GB"/>
        </w:rPr>
        <w:t>2014/15 and in the future</w:t>
      </w:r>
    </w:p>
    <w:p w:rsidR="00CA6887" w:rsidRPr="00CE0F5F" w:rsidRDefault="00CA6887" w:rsidP="00CA6887">
      <w:pPr>
        <w:rPr>
          <w:lang w:val="en-GB"/>
        </w:rPr>
      </w:pPr>
    </w:p>
    <w:p w:rsidR="00CA6887" w:rsidRPr="00CE0F5F" w:rsidRDefault="00CA6887" w:rsidP="00A940C8">
      <w:pPr>
        <w:rPr>
          <w:rFonts w:cs="Arial"/>
          <w:bCs/>
        </w:rPr>
      </w:pPr>
      <w:r w:rsidRPr="00CE0F5F">
        <w:rPr>
          <w:lang w:val="en-GB"/>
        </w:rPr>
        <w:t>The business plan for the Trust in 2014/15 detailed a range of strategic and operational objectives which supported achieveme</w:t>
      </w:r>
      <w:r w:rsidR="00E45C51">
        <w:rPr>
          <w:lang w:val="en-GB"/>
        </w:rPr>
        <w:t>nt of the Trust’s vision</w:t>
      </w:r>
      <w:r w:rsidRPr="00CE0F5F">
        <w:rPr>
          <w:lang w:val="en-GB"/>
        </w:rPr>
        <w:t xml:space="preserve">.  These objectives were </w:t>
      </w:r>
      <w:r w:rsidRPr="00CE0F5F">
        <w:rPr>
          <w:rFonts w:cs="Arial"/>
          <w:bCs/>
        </w:rPr>
        <w:t xml:space="preserve">aligned with the key Care Quality Commission and NHS Trust Development Authority themes of ensuring that services are Safe, Caring, Well Led, Responsive and Effective.  </w:t>
      </w:r>
    </w:p>
    <w:p w:rsidR="00CA6887" w:rsidRPr="00CE0F5F" w:rsidRDefault="00CA6887" w:rsidP="00CA6887">
      <w:pPr>
        <w:autoSpaceDE w:val="0"/>
        <w:autoSpaceDN w:val="0"/>
        <w:adjustRightInd w:val="0"/>
        <w:rPr>
          <w:rFonts w:cs="Arial"/>
          <w:bCs/>
          <w:sz w:val="20"/>
          <w:szCs w:val="20"/>
        </w:rPr>
      </w:pPr>
    </w:p>
    <w:p w:rsidR="00CA6887" w:rsidRPr="00CE0F5F" w:rsidRDefault="00CA6887" w:rsidP="00CA6887">
      <w:pPr>
        <w:autoSpaceDE w:val="0"/>
        <w:autoSpaceDN w:val="0"/>
        <w:adjustRightInd w:val="0"/>
        <w:rPr>
          <w:rFonts w:cs="Arial"/>
        </w:rPr>
      </w:pPr>
      <w:r w:rsidRPr="00CE0F5F">
        <w:rPr>
          <w:rFonts w:cs="Arial"/>
        </w:rPr>
        <w:lastRenderedPageBreak/>
        <w:t xml:space="preserve">The Trust’s vision and strategic objectives are consistent with the vision established for the whole health economy by NHS North Somerset. </w:t>
      </w:r>
    </w:p>
    <w:p w:rsidR="00CA6887" w:rsidRPr="00CE0F5F" w:rsidRDefault="00CA6887" w:rsidP="00CA6887">
      <w:pPr>
        <w:rPr>
          <w:color w:val="FF0000"/>
          <w:lang w:val="en-GB"/>
        </w:rPr>
      </w:pPr>
      <w:r w:rsidRPr="00CE0F5F">
        <w:rPr>
          <w:color w:val="FF0000"/>
          <w:lang w:val="en-GB"/>
        </w:rPr>
        <w:t xml:space="preserve"> </w:t>
      </w:r>
    </w:p>
    <w:p w:rsidR="00CA6887" w:rsidRPr="00CE0F5F" w:rsidRDefault="00CA6887" w:rsidP="00CA6887">
      <w:pPr>
        <w:rPr>
          <w:rFonts w:cs="Arial"/>
          <w:b/>
          <w:color w:val="000000"/>
        </w:rPr>
      </w:pPr>
      <w:r w:rsidRPr="00CE0F5F">
        <w:rPr>
          <w:rFonts w:cs="Arial"/>
          <w:b/>
          <w:color w:val="000000"/>
        </w:rPr>
        <w:t>Strategic Objectives 2014-16</w:t>
      </w:r>
    </w:p>
    <w:p w:rsidR="00CA6887" w:rsidRPr="00CE0F5F" w:rsidRDefault="00CA6887" w:rsidP="00CA6887"/>
    <w:tbl>
      <w:tblPr>
        <w:tblStyle w:val="TableGrid"/>
        <w:tblW w:w="9244" w:type="dxa"/>
        <w:tblLayout w:type="fixed"/>
        <w:tblLook w:val="04A0"/>
      </w:tblPr>
      <w:tblGrid>
        <w:gridCol w:w="817"/>
        <w:gridCol w:w="1205"/>
        <w:gridCol w:w="1205"/>
        <w:gridCol w:w="1559"/>
        <w:gridCol w:w="1418"/>
        <w:gridCol w:w="1535"/>
        <w:gridCol w:w="1505"/>
      </w:tblGrid>
      <w:tr w:rsidR="00CA6887" w:rsidRPr="00CE0F5F" w:rsidTr="00124599">
        <w:trPr>
          <w:cantSplit/>
          <w:trHeight w:val="1018"/>
        </w:trPr>
        <w:tc>
          <w:tcPr>
            <w:tcW w:w="817" w:type="dxa"/>
            <w:textDirection w:val="btLr"/>
          </w:tcPr>
          <w:p w:rsidR="00CA6887" w:rsidRPr="00CE0F5F" w:rsidRDefault="00CA6887" w:rsidP="00124599">
            <w:pPr>
              <w:ind w:left="113" w:right="113"/>
              <w:rPr>
                <w:sz w:val="18"/>
                <w:szCs w:val="18"/>
              </w:rPr>
            </w:pPr>
            <w:r w:rsidRPr="00CE0F5F">
              <w:rPr>
                <w:rFonts w:ascii="Calibri" w:hAnsi="Calibri" w:cs="Arial"/>
                <w:b/>
                <w:bCs/>
                <w:sz w:val="18"/>
                <w:szCs w:val="18"/>
              </w:rPr>
              <w:t>CQC/TDA key theme</w:t>
            </w:r>
          </w:p>
        </w:tc>
        <w:tc>
          <w:tcPr>
            <w:tcW w:w="1205" w:type="dxa"/>
            <w:shd w:val="clear" w:color="auto" w:fill="E5B8B7" w:themeFill="accent2" w:themeFillTint="66"/>
          </w:tcPr>
          <w:p w:rsidR="00CA6887" w:rsidRPr="00CE0F5F" w:rsidRDefault="00CA6887" w:rsidP="00124599">
            <w:pPr>
              <w:jc w:val="center"/>
              <w:rPr>
                <w:rFonts w:asciiTheme="minorHAnsi" w:hAnsiTheme="minorHAnsi" w:cs="Arial"/>
                <w:b/>
                <w:sz w:val="18"/>
                <w:szCs w:val="18"/>
                <w:lang w:val="en-GB"/>
              </w:rPr>
            </w:pPr>
            <w:r w:rsidRPr="00CE0F5F">
              <w:rPr>
                <w:rFonts w:asciiTheme="minorHAnsi" w:hAnsiTheme="minorHAnsi" w:cs="Arial"/>
                <w:b/>
                <w:bCs/>
                <w:sz w:val="18"/>
                <w:szCs w:val="18"/>
                <w:lang w:val="en-GB"/>
              </w:rPr>
              <w:t>Ensuring services are safe</w:t>
            </w:r>
          </w:p>
          <w:p w:rsidR="00CA6887" w:rsidRPr="00CE0F5F" w:rsidRDefault="00CA6887" w:rsidP="00124599">
            <w:pPr>
              <w:rPr>
                <w:sz w:val="18"/>
                <w:szCs w:val="18"/>
              </w:rPr>
            </w:pPr>
          </w:p>
        </w:tc>
        <w:tc>
          <w:tcPr>
            <w:tcW w:w="1205" w:type="dxa"/>
            <w:shd w:val="clear" w:color="auto" w:fill="E5B8B7" w:themeFill="accent2" w:themeFillTint="66"/>
          </w:tcPr>
          <w:p w:rsidR="00CA6887" w:rsidRPr="00CE0F5F" w:rsidRDefault="00CA6887" w:rsidP="00124599">
            <w:pPr>
              <w:ind w:left="40"/>
              <w:jc w:val="center"/>
              <w:rPr>
                <w:rFonts w:asciiTheme="minorHAnsi" w:hAnsiTheme="minorHAnsi" w:cs="Arial"/>
                <w:b/>
                <w:sz w:val="18"/>
                <w:szCs w:val="18"/>
                <w:lang w:val="en-GB"/>
              </w:rPr>
            </w:pPr>
            <w:r w:rsidRPr="00CE0F5F">
              <w:rPr>
                <w:rFonts w:asciiTheme="minorHAnsi" w:hAnsiTheme="minorHAnsi" w:cs="Arial"/>
                <w:b/>
                <w:bCs/>
                <w:sz w:val="18"/>
                <w:szCs w:val="18"/>
                <w:lang w:val="en-GB"/>
              </w:rPr>
              <w:t>Ensuring services are caring</w:t>
            </w:r>
          </w:p>
          <w:p w:rsidR="00CA6887" w:rsidRPr="00CE0F5F" w:rsidRDefault="00CA6887" w:rsidP="00124599">
            <w:pPr>
              <w:rPr>
                <w:sz w:val="18"/>
                <w:szCs w:val="18"/>
              </w:rPr>
            </w:pPr>
          </w:p>
        </w:tc>
        <w:tc>
          <w:tcPr>
            <w:tcW w:w="1559" w:type="dxa"/>
            <w:shd w:val="clear" w:color="auto" w:fill="C6D9F1" w:themeFill="text2" w:themeFillTint="33"/>
          </w:tcPr>
          <w:p w:rsidR="00CA6887" w:rsidRPr="00CE0F5F" w:rsidRDefault="00CA6887" w:rsidP="00124599">
            <w:pPr>
              <w:jc w:val="center"/>
              <w:rPr>
                <w:rFonts w:asciiTheme="minorHAnsi" w:hAnsiTheme="minorHAnsi" w:cs="Arial"/>
                <w:b/>
                <w:sz w:val="18"/>
                <w:szCs w:val="18"/>
                <w:lang w:val="en-GB"/>
              </w:rPr>
            </w:pPr>
            <w:r w:rsidRPr="00CE0F5F">
              <w:rPr>
                <w:rFonts w:asciiTheme="minorHAnsi" w:hAnsiTheme="minorHAnsi" w:cs="Arial"/>
                <w:b/>
                <w:bCs/>
                <w:sz w:val="18"/>
                <w:szCs w:val="18"/>
                <w:lang w:val="en-GB"/>
              </w:rPr>
              <w:t>Ensuring services are well led</w:t>
            </w:r>
          </w:p>
          <w:p w:rsidR="00CA6887" w:rsidRPr="00CE0F5F" w:rsidRDefault="00CA6887" w:rsidP="00124599">
            <w:pPr>
              <w:rPr>
                <w:sz w:val="18"/>
                <w:szCs w:val="18"/>
              </w:rPr>
            </w:pPr>
          </w:p>
        </w:tc>
        <w:tc>
          <w:tcPr>
            <w:tcW w:w="1418" w:type="dxa"/>
            <w:shd w:val="clear" w:color="auto" w:fill="D6E3BC" w:themeFill="accent3" w:themeFillTint="66"/>
          </w:tcPr>
          <w:p w:rsidR="00CA6887" w:rsidRPr="00CE0F5F" w:rsidRDefault="00CA6887" w:rsidP="00124599">
            <w:pPr>
              <w:ind w:left="34"/>
              <w:jc w:val="center"/>
              <w:rPr>
                <w:rFonts w:asciiTheme="minorHAnsi" w:hAnsiTheme="minorHAnsi" w:cs="Arial"/>
                <w:b/>
                <w:sz w:val="18"/>
                <w:szCs w:val="18"/>
                <w:lang w:val="en-GB"/>
              </w:rPr>
            </w:pPr>
            <w:r w:rsidRPr="00CE0F5F">
              <w:rPr>
                <w:rFonts w:asciiTheme="minorHAnsi" w:hAnsiTheme="minorHAnsi" w:cs="Arial"/>
                <w:b/>
                <w:bCs/>
                <w:sz w:val="18"/>
                <w:szCs w:val="18"/>
                <w:lang w:val="en-GB"/>
              </w:rPr>
              <w:t>Ensuring services are responsive</w:t>
            </w:r>
          </w:p>
          <w:p w:rsidR="00CA6887" w:rsidRPr="00CE0F5F" w:rsidRDefault="00CA6887" w:rsidP="00124599">
            <w:pPr>
              <w:rPr>
                <w:sz w:val="18"/>
                <w:szCs w:val="18"/>
              </w:rPr>
            </w:pPr>
          </w:p>
        </w:tc>
        <w:tc>
          <w:tcPr>
            <w:tcW w:w="3040" w:type="dxa"/>
            <w:gridSpan w:val="2"/>
            <w:shd w:val="clear" w:color="auto" w:fill="95B3D7" w:themeFill="accent1" w:themeFillTint="99"/>
          </w:tcPr>
          <w:p w:rsidR="00CA6887" w:rsidRPr="00CE0F5F" w:rsidRDefault="00CA6887" w:rsidP="00124599">
            <w:pPr>
              <w:jc w:val="center"/>
              <w:rPr>
                <w:rFonts w:asciiTheme="minorHAnsi" w:hAnsiTheme="minorHAnsi" w:cs="Arial"/>
                <w:b/>
                <w:sz w:val="18"/>
                <w:szCs w:val="18"/>
                <w:lang w:val="en-GB"/>
              </w:rPr>
            </w:pPr>
            <w:r w:rsidRPr="00CE0F5F">
              <w:rPr>
                <w:rFonts w:asciiTheme="minorHAnsi" w:hAnsiTheme="minorHAnsi" w:cs="Arial"/>
                <w:b/>
                <w:bCs/>
                <w:sz w:val="18"/>
                <w:szCs w:val="18"/>
                <w:lang w:val="en-GB"/>
              </w:rPr>
              <w:t>Ensuring services are effective</w:t>
            </w:r>
          </w:p>
          <w:p w:rsidR="00CA6887" w:rsidRPr="00CE0F5F" w:rsidRDefault="00CA6887" w:rsidP="00124599">
            <w:pPr>
              <w:rPr>
                <w:sz w:val="18"/>
                <w:szCs w:val="18"/>
              </w:rPr>
            </w:pPr>
          </w:p>
        </w:tc>
      </w:tr>
      <w:tr w:rsidR="00CA6887" w:rsidRPr="00CE0F5F" w:rsidTr="00124599">
        <w:trPr>
          <w:cantSplit/>
          <w:trHeight w:val="1134"/>
        </w:trPr>
        <w:tc>
          <w:tcPr>
            <w:tcW w:w="817" w:type="dxa"/>
            <w:textDirection w:val="btLr"/>
          </w:tcPr>
          <w:p w:rsidR="00CA6887" w:rsidRPr="00CE0F5F" w:rsidRDefault="00CA6887" w:rsidP="00124599">
            <w:pPr>
              <w:ind w:left="113" w:right="113"/>
              <w:rPr>
                <w:sz w:val="18"/>
                <w:szCs w:val="18"/>
              </w:rPr>
            </w:pPr>
            <w:r w:rsidRPr="00CE0F5F">
              <w:rPr>
                <w:rFonts w:ascii="Calibri" w:hAnsi="Calibri" w:cs="Arial"/>
                <w:b/>
                <w:bCs/>
                <w:sz w:val="18"/>
                <w:szCs w:val="18"/>
              </w:rPr>
              <w:t>Strategic Objectives</w:t>
            </w:r>
          </w:p>
        </w:tc>
        <w:tc>
          <w:tcPr>
            <w:tcW w:w="2410" w:type="dxa"/>
            <w:gridSpan w:val="2"/>
            <w:shd w:val="clear" w:color="auto" w:fill="D99594" w:themeFill="accent2" w:themeFillTint="99"/>
          </w:tcPr>
          <w:p w:rsidR="00CA6887" w:rsidRPr="00CE0F5F" w:rsidRDefault="00CA6887" w:rsidP="00124599">
            <w:pPr>
              <w:jc w:val="center"/>
              <w:rPr>
                <w:rFonts w:asciiTheme="minorHAnsi" w:hAnsiTheme="minorHAnsi" w:cs="Arial"/>
                <w:b/>
                <w:color w:val="FFFFFF" w:themeColor="background1"/>
                <w:sz w:val="18"/>
                <w:szCs w:val="18"/>
                <w:lang w:val="en-GB"/>
              </w:rPr>
            </w:pPr>
            <w:r w:rsidRPr="00CE0F5F">
              <w:rPr>
                <w:rFonts w:asciiTheme="minorHAnsi" w:hAnsiTheme="minorHAnsi" w:cs="Arial"/>
                <w:b/>
                <w:color w:val="FFFFFF" w:themeColor="background1"/>
                <w:sz w:val="18"/>
                <w:szCs w:val="18"/>
                <w:lang w:val="en-GB"/>
              </w:rPr>
              <w:t>Ensure that people have a positive experience of care, being treated in a safe environment that protects them from harm</w:t>
            </w:r>
          </w:p>
          <w:p w:rsidR="00CA6887" w:rsidRPr="00CE0F5F" w:rsidRDefault="00CA6887" w:rsidP="00124599">
            <w:pPr>
              <w:rPr>
                <w:color w:val="FFFFFF" w:themeColor="background1"/>
                <w:sz w:val="18"/>
                <w:szCs w:val="18"/>
              </w:rPr>
            </w:pPr>
          </w:p>
        </w:tc>
        <w:tc>
          <w:tcPr>
            <w:tcW w:w="1559" w:type="dxa"/>
            <w:shd w:val="clear" w:color="auto" w:fill="1F497D" w:themeFill="text2"/>
          </w:tcPr>
          <w:p w:rsidR="00CA6887" w:rsidRPr="00CE0F5F" w:rsidRDefault="00CA6887" w:rsidP="00124599">
            <w:pPr>
              <w:jc w:val="center"/>
              <w:rPr>
                <w:rFonts w:asciiTheme="minorHAnsi" w:hAnsiTheme="minorHAnsi" w:cs="Arial"/>
                <w:b/>
                <w:color w:val="FFFFFF" w:themeColor="background1"/>
                <w:sz w:val="18"/>
                <w:szCs w:val="18"/>
                <w:lang w:val="en-GB"/>
              </w:rPr>
            </w:pPr>
            <w:r w:rsidRPr="00CE0F5F">
              <w:rPr>
                <w:rFonts w:asciiTheme="minorHAnsi" w:hAnsiTheme="minorHAnsi" w:cs="Arial"/>
                <w:b/>
                <w:color w:val="FFFFFF" w:themeColor="background1"/>
                <w:sz w:val="18"/>
                <w:szCs w:val="18"/>
                <w:lang w:val="en-GB"/>
              </w:rPr>
              <w:t>Provide a flexible workforce with the capacity and capability to deliver high standards of patient care in line with changing service needs</w:t>
            </w:r>
          </w:p>
          <w:p w:rsidR="00CA6887" w:rsidRPr="00CE0F5F" w:rsidRDefault="00CA6887" w:rsidP="00124599">
            <w:pPr>
              <w:rPr>
                <w:color w:val="FFFFFF" w:themeColor="background1"/>
                <w:sz w:val="18"/>
                <w:szCs w:val="18"/>
              </w:rPr>
            </w:pPr>
          </w:p>
        </w:tc>
        <w:tc>
          <w:tcPr>
            <w:tcW w:w="1418" w:type="dxa"/>
            <w:shd w:val="clear" w:color="auto" w:fill="76923C" w:themeFill="accent3" w:themeFillShade="BF"/>
          </w:tcPr>
          <w:p w:rsidR="00CA6887" w:rsidRPr="00CE0F5F" w:rsidRDefault="00CA6887" w:rsidP="00124599">
            <w:pPr>
              <w:ind w:left="34"/>
              <w:jc w:val="center"/>
              <w:rPr>
                <w:rFonts w:asciiTheme="minorHAnsi" w:hAnsiTheme="minorHAnsi" w:cs="Arial"/>
                <w:b/>
                <w:color w:val="FFFFFF" w:themeColor="background1"/>
                <w:sz w:val="18"/>
                <w:szCs w:val="18"/>
                <w:lang w:val="en-GB"/>
              </w:rPr>
            </w:pPr>
            <w:r w:rsidRPr="00CE0F5F">
              <w:rPr>
                <w:rFonts w:asciiTheme="minorHAnsi" w:hAnsiTheme="minorHAnsi" w:cs="Arial"/>
                <w:b/>
                <w:color w:val="FFFFFF" w:themeColor="background1"/>
                <w:sz w:val="18"/>
                <w:szCs w:val="18"/>
                <w:lang w:val="en-GB"/>
              </w:rPr>
              <w:t>Provide efficient and effective services, affordable and desirable to patients and referrers</w:t>
            </w:r>
          </w:p>
          <w:p w:rsidR="00CA6887" w:rsidRPr="00CE0F5F" w:rsidRDefault="00CA6887" w:rsidP="00124599">
            <w:pPr>
              <w:rPr>
                <w:color w:val="FFFFFF" w:themeColor="background1"/>
                <w:sz w:val="18"/>
                <w:szCs w:val="18"/>
              </w:rPr>
            </w:pPr>
          </w:p>
        </w:tc>
        <w:tc>
          <w:tcPr>
            <w:tcW w:w="1535" w:type="dxa"/>
            <w:shd w:val="clear" w:color="auto" w:fill="4F81BD" w:themeFill="accent1"/>
          </w:tcPr>
          <w:p w:rsidR="00CA6887" w:rsidRPr="00CE0F5F" w:rsidRDefault="00CA6887" w:rsidP="00124599">
            <w:pPr>
              <w:jc w:val="center"/>
              <w:rPr>
                <w:rFonts w:asciiTheme="minorHAnsi" w:hAnsiTheme="minorHAnsi" w:cs="Arial"/>
                <w:b/>
                <w:color w:val="FFFFFF" w:themeColor="background1"/>
                <w:sz w:val="18"/>
                <w:szCs w:val="18"/>
                <w:lang w:val="en-GB"/>
              </w:rPr>
            </w:pPr>
            <w:r w:rsidRPr="00CE0F5F">
              <w:rPr>
                <w:rFonts w:asciiTheme="minorHAnsi" w:hAnsiTheme="minorHAnsi" w:cs="Arial"/>
                <w:b/>
                <w:color w:val="FFFFFF" w:themeColor="background1"/>
                <w:sz w:val="18"/>
                <w:szCs w:val="18"/>
                <w:lang w:val="en-GB"/>
              </w:rPr>
              <w:t>Provide  affordable services and demonstrate value for money</w:t>
            </w:r>
          </w:p>
          <w:p w:rsidR="00CA6887" w:rsidRPr="00CE0F5F" w:rsidRDefault="00CA6887" w:rsidP="00124599">
            <w:pPr>
              <w:rPr>
                <w:color w:val="FFFFFF" w:themeColor="background1"/>
                <w:sz w:val="18"/>
                <w:szCs w:val="18"/>
              </w:rPr>
            </w:pPr>
          </w:p>
        </w:tc>
        <w:tc>
          <w:tcPr>
            <w:tcW w:w="1505" w:type="dxa"/>
            <w:shd w:val="clear" w:color="auto" w:fill="4F81BD" w:themeFill="accent1"/>
          </w:tcPr>
          <w:p w:rsidR="00CA6887" w:rsidRPr="00CE0F5F" w:rsidRDefault="00CA6887" w:rsidP="00124599">
            <w:pPr>
              <w:ind w:left="33"/>
              <w:jc w:val="center"/>
              <w:rPr>
                <w:rFonts w:asciiTheme="minorHAnsi" w:hAnsiTheme="minorHAnsi" w:cs="Arial"/>
                <w:b/>
                <w:color w:val="FFFFFF" w:themeColor="background1"/>
                <w:sz w:val="18"/>
                <w:szCs w:val="18"/>
                <w:lang w:val="en-GB"/>
              </w:rPr>
            </w:pPr>
            <w:r w:rsidRPr="00CE0F5F">
              <w:rPr>
                <w:rFonts w:asciiTheme="minorHAnsi" w:hAnsiTheme="minorHAnsi" w:cs="Arial"/>
                <w:b/>
                <w:color w:val="FFFFFF" w:themeColor="background1"/>
                <w:sz w:val="18"/>
                <w:szCs w:val="18"/>
                <w:lang w:val="en-GB"/>
              </w:rPr>
              <w:t>Secure a strategic partner(s) to manage the future delivery of clinically and financially sustainable and viable services which improve experience and outcomes for patients</w:t>
            </w:r>
          </w:p>
          <w:p w:rsidR="00CA6887" w:rsidRPr="00CE0F5F" w:rsidRDefault="00CA6887" w:rsidP="00124599">
            <w:pPr>
              <w:rPr>
                <w:color w:val="FFFFFF" w:themeColor="background1"/>
                <w:sz w:val="18"/>
                <w:szCs w:val="18"/>
              </w:rPr>
            </w:pPr>
          </w:p>
        </w:tc>
      </w:tr>
    </w:tbl>
    <w:p w:rsidR="00CA6887" w:rsidRPr="00CE0F5F" w:rsidRDefault="00CA6887" w:rsidP="00CA6887"/>
    <w:p w:rsidR="00CA6887" w:rsidRPr="00CE0F5F" w:rsidRDefault="00CA6887" w:rsidP="00CA6887">
      <w:r w:rsidRPr="00CE0F5F">
        <w:t>The strategic objectives are supported by six key enabling strategies relating to:</w:t>
      </w:r>
    </w:p>
    <w:p w:rsidR="00CA6887" w:rsidRPr="00CE0F5F" w:rsidRDefault="00CA6887" w:rsidP="00CA6887">
      <w:pPr>
        <w:pStyle w:val="ListParagraph"/>
        <w:numPr>
          <w:ilvl w:val="0"/>
          <w:numId w:val="32"/>
        </w:numPr>
        <w:ind w:left="426" w:hanging="426"/>
      </w:pPr>
      <w:r w:rsidRPr="00CE0F5F">
        <w:t>Finance</w:t>
      </w:r>
    </w:p>
    <w:p w:rsidR="00CA6887" w:rsidRPr="00CE0F5F" w:rsidRDefault="00CA6887" w:rsidP="00CA6887">
      <w:pPr>
        <w:pStyle w:val="ListParagraph"/>
        <w:numPr>
          <w:ilvl w:val="0"/>
          <w:numId w:val="32"/>
        </w:numPr>
        <w:ind w:left="426" w:hanging="426"/>
      </w:pPr>
      <w:r w:rsidRPr="00CE0F5F">
        <w:t>Estates</w:t>
      </w:r>
    </w:p>
    <w:p w:rsidR="00CA6887" w:rsidRPr="00CE0F5F" w:rsidRDefault="00CA6887" w:rsidP="00CA6887">
      <w:pPr>
        <w:pStyle w:val="ListParagraph"/>
        <w:numPr>
          <w:ilvl w:val="0"/>
          <w:numId w:val="32"/>
        </w:numPr>
        <w:ind w:left="426" w:hanging="426"/>
      </w:pPr>
      <w:r w:rsidRPr="00CE0F5F">
        <w:t>Information Management and Technology</w:t>
      </w:r>
    </w:p>
    <w:p w:rsidR="00CA6887" w:rsidRPr="00CE0F5F" w:rsidRDefault="00CA6887" w:rsidP="00CA6887">
      <w:pPr>
        <w:pStyle w:val="ListParagraph"/>
        <w:numPr>
          <w:ilvl w:val="0"/>
          <w:numId w:val="32"/>
        </w:numPr>
        <w:ind w:left="426" w:hanging="426"/>
      </w:pPr>
      <w:r w:rsidRPr="00CE0F5F">
        <w:t>Workforce Development</w:t>
      </w:r>
    </w:p>
    <w:p w:rsidR="00CA6887" w:rsidRPr="00CE0F5F" w:rsidRDefault="00CA6887" w:rsidP="00CA6887">
      <w:pPr>
        <w:pStyle w:val="ListParagraph"/>
        <w:numPr>
          <w:ilvl w:val="0"/>
          <w:numId w:val="32"/>
        </w:numPr>
        <w:ind w:left="426" w:hanging="426"/>
      </w:pPr>
      <w:r w:rsidRPr="00CE0F5F">
        <w:t>Communications and Engagement</w:t>
      </w:r>
    </w:p>
    <w:p w:rsidR="00CA6887" w:rsidRPr="00CE0F5F" w:rsidRDefault="00CA6887" w:rsidP="00CA6887">
      <w:pPr>
        <w:pStyle w:val="ListParagraph"/>
        <w:numPr>
          <w:ilvl w:val="0"/>
          <w:numId w:val="32"/>
        </w:numPr>
        <w:ind w:left="426" w:hanging="426"/>
      </w:pPr>
      <w:r w:rsidRPr="00CE0F5F">
        <w:t>Governance</w:t>
      </w:r>
    </w:p>
    <w:p w:rsidR="00CA6887" w:rsidRPr="00CE0F5F" w:rsidRDefault="00CA6887" w:rsidP="00CA6887">
      <w:pPr>
        <w:rPr>
          <w:rFonts w:cs="Arial"/>
          <w:b/>
          <w:color w:val="000000"/>
        </w:rPr>
      </w:pPr>
    </w:p>
    <w:p w:rsidR="00CA6887" w:rsidRPr="00CE0F5F" w:rsidRDefault="00CA6887" w:rsidP="00CA6887">
      <w:pPr>
        <w:autoSpaceDE w:val="0"/>
        <w:autoSpaceDN w:val="0"/>
        <w:adjustRightInd w:val="0"/>
        <w:rPr>
          <w:rFonts w:cs="Arial"/>
          <w:bCs/>
        </w:rPr>
      </w:pPr>
      <w:r w:rsidRPr="00CE0F5F">
        <w:rPr>
          <w:rFonts w:cs="Arial"/>
          <w:bCs/>
        </w:rPr>
        <w:t>The strategic objectives are also supported by a range of operational objectives, in turn supported by department and division work plans.  Operational objectives for the past year and for the coming twelve months are detailed below.</w:t>
      </w:r>
    </w:p>
    <w:p w:rsidR="00CA6887" w:rsidRPr="00CE0F5F" w:rsidRDefault="00CA6887" w:rsidP="00CA6887">
      <w:pPr>
        <w:autoSpaceDE w:val="0"/>
        <w:autoSpaceDN w:val="0"/>
        <w:adjustRightInd w:val="0"/>
        <w:rPr>
          <w:rFonts w:cs="Arial"/>
          <w:bCs/>
        </w:rPr>
      </w:pPr>
    </w:p>
    <w:p w:rsidR="00CA6887" w:rsidRPr="00CE0F5F" w:rsidRDefault="00CA6887" w:rsidP="00CA6887">
      <w:pPr>
        <w:autoSpaceDE w:val="0"/>
        <w:autoSpaceDN w:val="0"/>
        <w:adjustRightInd w:val="0"/>
        <w:rPr>
          <w:rFonts w:cs="Arial"/>
          <w:b/>
          <w:bCs/>
        </w:rPr>
      </w:pPr>
      <w:r w:rsidRPr="00CE0F5F">
        <w:rPr>
          <w:rFonts w:cs="Arial"/>
          <w:b/>
          <w:bCs/>
        </w:rPr>
        <w:t>Operational Objectives 2014 - 2016</w:t>
      </w:r>
    </w:p>
    <w:p w:rsidR="00CA6887" w:rsidRPr="00CE0F5F" w:rsidRDefault="00CA6887" w:rsidP="00CA6887">
      <w:pPr>
        <w:autoSpaceDE w:val="0"/>
        <w:autoSpaceDN w:val="0"/>
        <w:adjustRightInd w:val="0"/>
        <w:rPr>
          <w:rFonts w:cs="Arial"/>
          <w:bCs/>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2055"/>
        <w:gridCol w:w="2056"/>
        <w:gridCol w:w="2055"/>
        <w:gridCol w:w="2056"/>
      </w:tblGrid>
      <w:tr w:rsidR="00CA6887" w:rsidRPr="00CE0F5F" w:rsidTr="00124599">
        <w:trPr>
          <w:trHeight w:val="476"/>
          <w:tblHeader/>
        </w:trPr>
        <w:tc>
          <w:tcPr>
            <w:tcW w:w="1418" w:type="dxa"/>
            <w:shd w:val="clear" w:color="auto" w:fill="C4BC96" w:themeFill="background2" w:themeFillShade="BF"/>
          </w:tcPr>
          <w:p w:rsidR="00CA6887" w:rsidRPr="00CE0F5F" w:rsidRDefault="00CA6887" w:rsidP="00124599">
            <w:pPr>
              <w:jc w:val="center"/>
              <w:rPr>
                <w:rFonts w:ascii="Calibri" w:hAnsi="Calibri" w:cs="Arial"/>
                <w:b/>
                <w:bCs/>
                <w:color w:val="FFFFFF" w:themeColor="background1"/>
                <w:sz w:val="18"/>
                <w:szCs w:val="18"/>
              </w:rPr>
            </w:pPr>
            <w:r w:rsidRPr="00CE0F5F">
              <w:rPr>
                <w:rFonts w:ascii="Calibri" w:hAnsi="Calibri" w:cs="Arial"/>
                <w:b/>
                <w:bCs/>
                <w:color w:val="FFFFFF" w:themeColor="background1"/>
                <w:sz w:val="18"/>
                <w:szCs w:val="18"/>
              </w:rPr>
              <w:t>CQC/TDA key themes</w:t>
            </w:r>
          </w:p>
        </w:tc>
        <w:tc>
          <w:tcPr>
            <w:tcW w:w="8222" w:type="dxa"/>
            <w:gridSpan w:val="4"/>
            <w:shd w:val="clear" w:color="auto" w:fill="C4BC96" w:themeFill="background2" w:themeFillShade="BF"/>
          </w:tcPr>
          <w:p w:rsidR="00CA6887" w:rsidRPr="00CE0F5F" w:rsidRDefault="00CA6887" w:rsidP="00124599">
            <w:pPr>
              <w:jc w:val="center"/>
              <w:rPr>
                <w:rFonts w:ascii="Calibri" w:hAnsi="Calibri" w:cs="Arial"/>
                <w:b/>
                <w:bCs/>
                <w:color w:val="FFFFFF" w:themeColor="background1"/>
                <w:sz w:val="18"/>
                <w:szCs w:val="18"/>
              </w:rPr>
            </w:pPr>
            <w:r w:rsidRPr="00CE0F5F">
              <w:rPr>
                <w:rFonts w:ascii="Calibri" w:hAnsi="Calibri" w:cs="Arial"/>
                <w:b/>
                <w:bCs/>
                <w:color w:val="FFFFFF" w:themeColor="background1"/>
                <w:sz w:val="18"/>
                <w:szCs w:val="18"/>
              </w:rPr>
              <w:t>Operational  objectives</w:t>
            </w:r>
          </w:p>
        </w:tc>
      </w:tr>
      <w:tr w:rsidR="00CA6887" w:rsidRPr="00CE0F5F" w:rsidTr="00124599">
        <w:trPr>
          <w:trHeight w:val="1095"/>
        </w:trPr>
        <w:tc>
          <w:tcPr>
            <w:tcW w:w="1418" w:type="dxa"/>
            <w:shd w:val="clear" w:color="auto" w:fill="E5B8B7" w:themeFill="accent2" w:themeFillTint="66"/>
          </w:tcPr>
          <w:p w:rsidR="00CA6887" w:rsidRPr="00CE0F5F" w:rsidRDefault="00CA6887" w:rsidP="00124599">
            <w:pPr>
              <w:jc w:val="left"/>
              <w:rPr>
                <w:rFonts w:ascii="Calibri" w:hAnsi="Calibri" w:cs="Arial"/>
                <w:b/>
                <w:bCs/>
                <w:sz w:val="18"/>
                <w:szCs w:val="18"/>
              </w:rPr>
            </w:pPr>
            <w:r w:rsidRPr="00CE0F5F">
              <w:rPr>
                <w:rFonts w:ascii="Calibri" w:hAnsi="Calibri" w:cs="Arial"/>
                <w:b/>
                <w:bCs/>
                <w:sz w:val="18"/>
                <w:szCs w:val="18"/>
              </w:rPr>
              <w:t>Ensuring services are safe</w:t>
            </w:r>
          </w:p>
        </w:tc>
        <w:tc>
          <w:tcPr>
            <w:tcW w:w="2055" w:type="dxa"/>
            <w:shd w:val="clear" w:color="auto" w:fill="DDD9C3" w:themeFill="background2" w:themeFillShade="E6"/>
          </w:tcPr>
          <w:p w:rsidR="00CA6887" w:rsidRPr="00CE0F5F" w:rsidRDefault="00CA6887" w:rsidP="00124599">
            <w:pPr>
              <w:rPr>
                <w:rFonts w:ascii="Calibri" w:hAnsi="Calibri" w:cs="Arial"/>
                <w:bCs/>
                <w:sz w:val="16"/>
                <w:szCs w:val="16"/>
              </w:rPr>
            </w:pPr>
            <w:r w:rsidRPr="00CE0F5F">
              <w:rPr>
                <w:rFonts w:ascii="Calibri" w:hAnsi="Calibri" w:cs="Arial"/>
                <w:bCs/>
                <w:sz w:val="16"/>
                <w:szCs w:val="16"/>
              </w:rPr>
              <w:t>Deliver  clinically effective services which meet benchmarked best practice  through implementation and audit of evidence based practice</w:t>
            </w:r>
          </w:p>
          <w:p w:rsidR="00CA6887" w:rsidRPr="00CE0F5F" w:rsidRDefault="00CA6887" w:rsidP="00124599">
            <w:pPr>
              <w:rPr>
                <w:rFonts w:ascii="Calibri" w:hAnsi="Calibri" w:cs="Arial"/>
                <w:b/>
                <w:bCs/>
                <w:sz w:val="16"/>
                <w:szCs w:val="16"/>
              </w:rPr>
            </w:pPr>
          </w:p>
          <w:p w:rsidR="00CA6887" w:rsidRPr="00CE0F5F" w:rsidRDefault="00CA6887" w:rsidP="00124599">
            <w:pPr>
              <w:rPr>
                <w:rFonts w:ascii="Calibri" w:hAnsi="Calibri" w:cs="Arial"/>
                <w:b/>
                <w:bCs/>
                <w:sz w:val="16"/>
                <w:szCs w:val="16"/>
              </w:rPr>
            </w:pPr>
          </w:p>
          <w:p w:rsidR="00CA6887" w:rsidRPr="00CE0F5F" w:rsidRDefault="00CA6887" w:rsidP="00124599">
            <w:pPr>
              <w:rPr>
                <w:rFonts w:ascii="Calibri" w:hAnsi="Calibri" w:cs="Arial"/>
                <w:b/>
                <w:bCs/>
                <w:sz w:val="16"/>
                <w:szCs w:val="16"/>
              </w:rPr>
            </w:pPr>
          </w:p>
          <w:p w:rsidR="00CA6887" w:rsidRPr="00CE0F5F" w:rsidRDefault="00CA6887" w:rsidP="00124599">
            <w:pPr>
              <w:rPr>
                <w:rFonts w:ascii="Calibri" w:hAnsi="Calibri" w:cs="Arial"/>
                <w:b/>
                <w:bCs/>
                <w:sz w:val="16"/>
                <w:szCs w:val="16"/>
              </w:rPr>
            </w:pPr>
          </w:p>
        </w:tc>
        <w:tc>
          <w:tcPr>
            <w:tcW w:w="2056" w:type="dxa"/>
            <w:shd w:val="clear" w:color="auto" w:fill="DDD9C3" w:themeFill="background2" w:themeFillShade="E6"/>
          </w:tcPr>
          <w:p w:rsidR="00CA6887" w:rsidRPr="00CE0F5F" w:rsidRDefault="00CA6887" w:rsidP="00124599">
            <w:pPr>
              <w:autoSpaceDE w:val="0"/>
              <w:autoSpaceDN w:val="0"/>
              <w:adjustRightInd w:val="0"/>
              <w:rPr>
                <w:rFonts w:ascii="Calibri" w:hAnsi="Calibri"/>
                <w:sz w:val="16"/>
                <w:szCs w:val="16"/>
              </w:rPr>
            </w:pPr>
            <w:r w:rsidRPr="00CE0F5F">
              <w:rPr>
                <w:rFonts w:ascii="Calibri" w:hAnsi="Calibri"/>
                <w:sz w:val="16"/>
                <w:szCs w:val="16"/>
              </w:rPr>
              <w:t>Embed clinical leadership  providing clinicians sufficient time to lead together with clear, deliverable, objectives</w:t>
            </w:r>
          </w:p>
          <w:p w:rsidR="00CA6887" w:rsidRPr="00CE0F5F" w:rsidRDefault="00CA6887" w:rsidP="00124599">
            <w:pPr>
              <w:rPr>
                <w:rFonts w:ascii="Calibri" w:hAnsi="Calibri" w:cs="Arial"/>
                <w:b/>
                <w:bCs/>
                <w:sz w:val="16"/>
                <w:szCs w:val="16"/>
              </w:rPr>
            </w:pPr>
          </w:p>
        </w:tc>
        <w:tc>
          <w:tcPr>
            <w:tcW w:w="2055" w:type="dxa"/>
            <w:shd w:val="clear" w:color="auto" w:fill="DDD9C3" w:themeFill="background2" w:themeFillShade="E6"/>
          </w:tcPr>
          <w:p w:rsidR="00CA6887" w:rsidRPr="00CE0F5F" w:rsidRDefault="00CA6887" w:rsidP="00124599">
            <w:pPr>
              <w:rPr>
                <w:rFonts w:ascii="Calibri" w:hAnsi="Calibri" w:cs="Arial"/>
                <w:b/>
                <w:bCs/>
                <w:sz w:val="16"/>
                <w:szCs w:val="16"/>
              </w:rPr>
            </w:pPr>
          </w:p>
        </w:tc>
        <w:tc>
          <w:tcPr>
            <w:tcW w:w="2056" w:type="dxa"/>
            <w:shd w:val="clear" w:color="auto" w:fill="DDD9C3" w:themeFill="background2" w:themeFillShade="E6"/>
          </w:tcPr>
          <w:p w:rsidR="00CA6887" w:rsidRPr="00CE0F5F" w:rsidRDefault="00CA6887" w:rsidP="00124599">
            <w:pPr>
              <w:rPr>
                <w:rFonts w:ascii="Calibri" w:hAnsi="Calibri" w:cs="Arial"/>
                <w:b/>
                <w:bCs/>
                <w:sz w:val="16"/>
                <w:szCs w:val="16"/>
              </w:rPr>
            </w:pPr>
          </w:p>
        </w:tc>
      </w:tr>
      <w:tr w:rsidR="00CA6887" w:rsidRPr="00CE0F5F" w:rsidTr="00124599">
        <w:trPr>
          <w:trHeight w:val="269"/>
        </w:trPr>
        <w:tc>
          <w:tcPr>
            <w:tcW w:w="1418" w:type="dxa"/>
            <w:shd w:val="clear" w:color="auto" w:fill="E5B8B7" w:themeFill="accent2" w:themeFillTint="66"/>
          </w:tcPr>
          <w:p w:rsidR="00CA6887" w:rsidRPr="00CE0F5F" w:rsidRDefault="00CA6887" w:rsidP="00124599">
            <w:pPr>
              <w:jc w:val="left"/>
              <w:rPr>
                <w:rFonts w:ascii="Calibri" w:hAnsi="Calibri" w:cs="Arial"/>
                <w:b/>
                <w:bCs/>
                <w:sz w:val="18"/>
                <w:szCs w:val="18"/>
              </w:rPr>
            </w:pPr>
            <w:r w:rsidRPr="00CE0F5F">
              <w:rPr>
                <w:rFonts w:ascii="Calibri" w:hAnsi="Calibri" w:cs="Arial"/>
                <w:b/>
                <w:bCs/>
                <w:sz w:val="18"/>
                <w:szCs w:val="18"/>
              </w:rPr>
              <w:t>Ensuring services are caring</w:t>
            </w:r>
          </w:p>
        </w:tc>
        <w:tc>
          <w:tcPr>
            <w:tcW w:w="2055" w:type="dxa"/>
            <w:shd w:val="clear" w:color="auto" w:fill="DDD9C3" w:themeFill="background2" w:themeFillShade="E6"/>
          </w:tcPr>
          <w:p w:rsidR="00CA6887" w:rsidRPr="00CE0F5F" w:rsidRDefault="00CA6887" w:rsidP="00124599">
            <w:pPr>
              <w:rPr>
                <w:rFonts w:ascii="Calibri" w:hAnsi="Calibri" w:cs="Arial"/>
                <w:b/>
                <w:bCs/>
                <w:sz w:val="16"/>
                <w:szCs w:val="16"/>
              </w:rPr>
            </w:pPr>
            <w:r w:rsidRPr="00CE0F5F">
              <w:rPr>
                <w:rFonts w:ascii="Calibri" w:hAnsi="Calibri" w:cs="Arial"/>
                <w:bCs/>
                <w:sz w:val="16"/>
                <w:szCs w:val="16"/>
              </w:rPr>
              <w:t>Deliver dignified care that is responsive to patients’ personal needs,  ensures a positive experience of care and which meets CQUINs Family and Friend test standards</w:t>
            </w:r>
          </w:p>
        </w:tc>
        <w:tc>
          <w:tcPr>
            <w:tcW w:w="2056" w:type="dxa"/>
            <w:shd w:val="clear" w:color="auto" w:fill="DDD9C3" w:themeFill="background2" w:themeFillShade="E6"/>
          </w:tcPr>
          <w:p w:rsidR="00CA6887" w:rsidRPr="00CE0F5F" w:rsidRDefault="00CA6887" w:rsidP="00124599">
            <w:pPr>
              <w:rPr>
                <w:rFonts w:ascii="Calibri" w:hAnsi="Calibri" w:cs="Arial"/>
                <w:b/>
                <w:bCs/>
                <w:sz w:val="16"/>
                <w:szCs w:val="16"/>
              </w:rPr>
            </w:pPr>
            <w:r w:rsidRPr="00CE0F5F">
              <w:rPr>
                <w:rFonts w:ascii="Calibri" w:hAnsi="Calibri" w:cs="Arial"/>
                <w:bCs/>
                <w:sz w:val="16"/>
                <w:szCs w:val="16"/>
              </w:rPr>
              <w:t>Provide a safe environment for patients and reduce the incidence of avoidable harm, maintaining the level of harm free care above 93% as measured by the patient safety thermometer</w:t>
            </w:r>
          </w:p>
        </w:tc>
        <w:tc>
          <w:tcPr>
            <w:tcW w:w="2055" w:type="dxa"/>
            <w:shd w:val="clear" w:color="auto" w:fill="DDD9C3" w:themeFill="background2" w:themeFillShade="E6"/>
          </w:tcPr>
          <w:p w:rsidR="00CA6887" w:rsidRPr="00CE0F5F" w:rsidRDefault="00CA6887" w:rsidP="00124599">
            <w:pPr>
              <w:rPr>
                <w:rFonts w:ascii="Calibri" w:hAnsi="Calibri" w:cs="Arial"/>
                <w:b/>
                <w:bCs/>
                <w:sz w:val="16"/>
                <w:szCs w:val="16"/>
              </w:rPr>
            </w:pPr>
          </w:p>
        </w:tc>
        <w:tc>
          <w:tcPr>
            <w:tcW w:w="2056" w:type="dxa"/>
            <w:shd w:val="clear" w:color="auto" w:fill="DDD9C3" w:themeFill="background2" w:themeFillShade="E6"/>
          </w:tcPr>
          <w:p w:rsidR="00CA6887" w:rsidRPr="00CE0F5F" w:rsidRDefault="00CA6887" w:rsidP="00124599">
            <w:pPr>
              <w:rPr>
                <w:rFonts w:ascii="Calibri" w:hAnsi="Calibri" w:cs="Arial"/>
                <w:b/>
                <w:bCs/>
                <w:sz w:val="16"/>
                <w:szCs w:val="16"/>
              </w:rPr>
            </w:pPr>
          </w:p>
        </w:tc>
      </w:tr>
      <w:tr w:rsidR="00CA6887" w:rsidRPr="00CE0F5F" w:rsidTr="00124599">
        <w:trPr>
          <w:trHeight w:val="665"/>
        </w:trPr>
        <w:tc>
          <w:tcPr>
            <w:tcW w:w="1418" w:type="dxa"/>
            <w:shd w:val="clear" w:color="auto" w:fill="C6D9F1" w:themeFill="text2" w:themeFillTint="33"/>
          </w:tcPr>
          <w:p w:rsidR="00CA6887" w:rsidRPr="00CE0F5F" w:rsidRDefault="00CA6887" w:rsidP="00124599">
            <w:pPr>
              <w:pStyle w:val="PlainText"/>
              <w:tabs>
                <w:tab w:val="left" w:pos="0"/>
              </w:tabs>
              <w:ind w:left="33"/>
              <w:rPr>
                <w:rFonts w:ascii="Calibri" w:hAnsi="Calibri" w:cs="Arial"/>
                <w:b/>
                <w:bCs/>
                <w:sz w:val="18"/>
                <w:szCs w:val="18"/>
              </w:rPr>
            </w:pPr>
            <w:r w:rsidRPr="00CE0F5F">
              <w:rPr>
                <w:rFonts w:ascii="Calibri" w:hAnsi="Calibri" w:cs="Arial"/>
                <w:b/>
                <w:bCs/>
                <w:sz w:val="18"/>
                <w:szCs w:val="18"/>
              </w:rPr>
              <w:t>Ensuring services are well led</w:t>
            </w:r>
          </w:p>
        </w:tc>
        <w:tc>
          <w:tcPr>
            <w:tcW w:w="2055" w:type="dxa"/>
            <w:shd w:val="clear" w:color="auto" w:fill="DDD9C3" w:themeFill="background2" w:themeFillShade="E6"/>
          </w:tcPr>
          <w:p w:rsidR="00CA6887" w:rsidRPr="00CE0F5F" w:rsidRDefault="00CA6887" w:rsidP="00124599">
            <w:pPr>
              <w:pStyle w:val="PlainText"/>
              <w:jc w:val="both"/>
              <w:rPr>
                <w:rFonts w:ascii="Calibri" w:hAnsi="Calibri" w:cs="Arial"/>
                <w:sz w:val="16"/>
                <w:szCs w:val="16"/>
              </w:rPr>
            </w:pPr>
            <w:r w:rsidRPr="00CE0F5F">
              <w:rPr>
                <w:rFonts w:ascii="Calibri" w:hAnsi="Calibri" w:cs="Arial"/>
                <w:sz w:val="16"/>
                <w:szCs w:val="16"/>
              </w:rPr>
              <w:t>Provide a safe, effective and affordable workforce</w:t>
            </w:r>
          </w:p>
          <w:p w:rsidR="00CA6887" w:rsidRPr="00CE0F5F" w:rsidRDefault="00CA6887" w:rsidP="00124599">
            <w:pPr>
              <w:rPr>
                <w:rFonts w:ascii="Calibri" w:hAnsi="Calibri" w:cs="Arial"/>
                <w:b/>
                <w:bCs/>
                <w:sz w:val="16"/>
                <w:szCs w:val="16"/>
              </w:rPr>
            </w:pPr>
          </w:p>
        </w:tc>
        <w:tc>
          <w:tcPr>
            <w:tcW w:w="2056" w:type="dxa"/>
            <w:shd w:val="clear" w:color="auto" w:fill="DDD9C3" w:themeFill="background2" w:themeFillShade="E6"/>
          </w:tcPr>
          <w:p w:rsidR="00CA6887" w:rsidRPr="00CE0F5F" w:rsidRDefault="00CA6887" w:rsidP="00124599">
            <w:pPr>
              <w:rPr>
                <w:rFonts w:ascii="Calibri" w:hAnsi="Calibri" w:cs="Arial"/>
                <w:bCs/>
                <w:sz w:val="16"/>
                <w:szCs w:val="16"/>
              </w:rPr>
            </w:pPr>
            <w:r w:rsidRPr="00CE0F5F">
              <w:rPr>
                <w:rFonts w:ascii="Calibri" w:hAnsi="Calibri" w:cs="Arial"/>
                <w:bCs/>
                <w:sz w:val="16"/>
                <w:szCs w:val="16"/>
              </w:rPr>
              <w:t xml:space="preserve">Improve and drive two way communication to increase staff engagement and build </w:t>
            </w:r>
            <w:r w:rsidRPr="00CE0F5F">
              <w:rPr>
                <w:rFonts w:ascii="Calibri" w:hAnsi="Calibri" w:cs="Arial"/>
                <w:bCs/>
                <w:sz w:val="16"/>
                <w:szCs w:val="16"/>
              </w:rPr>
              <w:lastRenderedPageBreak/>
              <w:t>staff confidence and capability</w:t>
            </w:r>
          </w:p>
        </w:tc>
        <w:tc>
          <w:tcPr>
            <w:tcW w:w="2055" w:type="dxa"/>
            <w:shd w:val="clear" w:color="auto" w:fill="DDD9C3" w:themeFill="background2" w:themeFillShade="E6"/>
          </w:tcPr>
          <w:p w:rsidR="00CA6887" w:rsidRPr="00CE0F5F" w:rsidRDefault="00CA6887" w:rsidP="00124599">
            <w:pPr>
              <w:rPr>
                <w:rFonts w:ascii="Calibri" w:hAnsi="Calibri" w:cs="Arial"/>
                <w:b/>
                <w:bCs/>
                <w:sz w:val="16"/>
                <w:szCs w:val="16"/>
              </w:rPr>
            </w:pPr>
            <w:r w:rsidRPr="00CE0F5F">
              <w:rPr>
                <w:rFonts w:ascii="Calibri" w:hAnsi="Calibri" w:cs="Arial"/>
                <w:sz w:val="16"/>
                <w:szCs w:val="16"/>
              </w:rPr>
              <w:lastRenderedPageBreak/>
              <w:t>Invest in and develop our staff to continually deliver high standards</w:t>
            </w:r>
            <w:r w:rsidRPr="00CE0F5F">
              <w:rPr>
                <w:rFonts w:ascii="Calibri" w:hAnsi="Calibri" w:cs="Arial"/>
                <w:b/>
                <w:bCs/>
                <w:sz w:val="16"/>
                <w:szCs w:val="16"/>
              </w:rPr>
              <w:t xml:space="preserve"> </w:t>
            </w:r>
          </w:p>
        </w:tc>
        <w:tc>
          <w:tcPr>
            <w:tcW w:w="2056" w:type="dxa"/>
            <w:shd w:val="clear" w:color="auto" w:fill="DDD9C3" w:themeFill="background2" w:themeFillShade="E6"/>
          </w:tcPr>
          <w:p w:rsidR="00CA6887" w:rsidRPr="00CE0F5F" w:rsidRDefault="00CA6887" w:rsidP="00124599">
            <w:pPr>
              <w:rPr>
                <w:rFonts w:ascii="Calibri" w:hAnsi="Calibri" w:cs="Arial"/>
                <w:sz w:val="16"/>
                <w:szCs w:val="16"/>
              </w:rPr>
            </w:pPr>
            <w:r w:rsidRPr="00CE0F5F">
              <w:rPr>
                <w:rFonts w:ascii="Calibri" w:hAnsi="Calibri" w:cs="Arial"/>
                <w:sz w:val="16"/>
                <w:szCs w:val="16"/>
              </w:rPr>
              <w:t>Improve the Health and Wellbeing of our staff</w:t>
            </w:r>
          </w:p>
        </w:tc>
      </w:tr>
      <w:tr w:rsidR="00CA6887" w:rsidRPr="00CE0F5F" w:rsidTr="00124599">
        <w:trPr>
          <w:trHeight w:val="269"/>
        </w:trPr>
        <w:tc>
          <w:tcPr>
            <w:tcW w:w="1418" w:type="dxa"/>
            <w:shd w:val="clear" w:color="auto" w:fill="C2D69B" w:themeFill="accent3" w:themeFillTint="99"/>
          </w:tcPr>
          <w:p w:rsidR="00CA6887" w:rsidRPr="00CE0F5F" w:rsidRDefault="00CA6887" w:rsidP="00124599">
            <w:pPr>
              <w:jc w:val="left"/>
              <w:rPr>
                <w:rFonts w:ascii="Calibri" w:hAnsi="Calibri" w:cs="Tahoma"/>
                <w:b/>
                <w:sz w:val="18"/>
                <w:szCs w:val="18"/>
              </w:rPr>
            </w:pPr>
            <w:r w:rsidRPr="00CE0F5F">
              <w:rPr>
                <w:rFonts w:ascii="Calibri" w:hAnsi="Calibri" w:cs="Tahoma"/>
                <w:b/>
                <w:sz w:val="18"/>
                <w:szCs w:val="18"/>
              </w:rPr>
              <w:lastRenderedPageBreak/>
              <w:t>Ensuring services are responsive</w:t>
            </w:r>
          </w:p>
        </w:tc>
        <w:tc>
          <w:tcPr>
            <w:tcW w:w="2055" w:type="dxa"/>
            <w:shd w:val="clear" w:color="auto" w:fill="DDD9C3" w:themeFill="background2" w:themeFillShade="E6"/>
          </w:tcPr>
          <w:p w:rsidR="00CA6887" w:rsidRPr="00CE0F5F" w:rsidRDefault="00CA6887" w:rsidP="00124599">
            <w:pPr>
              <w:rPr>
                <w:rFonts w:ascii="Calibri" w:hAnsi="Calibri" w:cs="Arial"/>
                <w:b/>
                <w:bCs/>
                <w:sz w:val="16"/>
                <w:szCs w:val="16"/>
              </w:rPr>
            </w:pPr>
            <w:r w:rsidRPr="00CE0F5F">
              <w:rPr>
                <w:rFonts w:ascii="Calibri" w:hAnsi="Calibri" w:cs="Tahoma"/>
                <w:sz w:val="16"/>
                <w:szCs w:val="16"/>
              </w:rPr>
              <w:t xml:space="preserve">Meet and sustain national performance standards </w:t>
            </w:r>
          </w:p>
        </w:tc>
        <w:tc>
          <w:tcPr>
            <w:tcW w:w="2056" w:type="dxa"/>
            <w:shd w:val="clear" w:color="auto" w:fill="DDD9C3" w:themeFill="background2" w:themeFillShade="E6"/>
          </w:tcPr>
          <w:p w:rsidR="00CA6887" w:rsidRPr="00CE0F5F" w:rsidRDefault="00CA6887" w:rsidP="00124599">
            <w:pPr>
              <w:autoSpaceDE w:val="0"/>
              <w:autoSpaceDN w:val="0"/>
              <w:adjustRightInd w:val="0"/>
              <w:rPr>
                <w:rFonts w:ascii="Calibri" w:hAnsi="Calibri" w:cs="Arial"/>
                <w:sz w:val="16"/>
                <w:szCs w:val="16"/>
                <w:lang w:eastAsia="en-GB"/>
              </w:rPr>
            </w:pPr>
            <w:r w:rsidRPr="00CE0F5F">
              <w:rPr>
                <w:rFonts w:ascii="Calibri" w:hAnsi="Calibri" w:cs="Arial"/>
                <w:sz w:val="16"/>
                <w:szCs w:val="16"/>
                <w:lang w:eastAsia="en-GB"/>
              </w:rPr>
              <w:t xml:space="preserve">Provide responsive, flexible and consistent services, appropriate to the needs of the patient and in line with commissioner intentions </w:t>
            </w:r>
          </w:p>
          <w:p w:rsidR="00CA6887" w:rsidRPr="00CE0F5F" w:rsidRDefault="00CA6887" w:rsidP="00124599">
            <w:pPr>
              <w:rPr>
                <w:rFonts w:ascii="Calibri" w:hAnsi="Calibri" w:cs="Arial"/>
                <w:b/>
                <w:bCs/>
                <w:sz w:val="16"/>
                <w:szCs w:val="16"/>
              </w:rPr>
            </w:pPr>
          </w:p>
        </w:tc>
        <w:tc>
          <w:tcPr>
            <w:tcW w:w="2055" w:type="dxa"/>
            <w:shd w:val="clear" w:color="auto" w:fill="DDD9C3" w:themeFill="background2" w:themeFillShade="E6"/>
          </w:tcPr>
          <w:p w:rsidR="00CA6887" w:rsidRPr="00CE0F5F" w:rsidRDefault="00CA6887" w:rsidP="00124599">
            <w:pPr>
              <w:rPr>
                <w:rFonts w:ascii="Calibri" w:hAnsi="Calibri" w:cs="Arial"/>
                <w:b/>
                <w:bCs/>
                <w:sz w:val="16"/>
                <w:szCs w:val="16"/>
              </w:rPr>
            </w:pPr>
            <w:r w:rsidRPr="00CE0F5F">
              <w:rPr>
                <w:rFonts w:ascii="Calibri" w:hAnsi="Calibri" w:cs="Tahoma"/>
                <w:sz w:val="16"/>
                <w:szCs w:val="16"/>
              </w:rPr>
              <w:t xml:space="preserve">Make  efficient use of resources through service redesign across Emergency and Planned Care </w:t>
            </w:r>
          </w:p>
        </w:tc>
        <w:tc>
          <w:tcPr>
            <w:tcW w:w="2056" w:type="dxa"/>
            <w:shd w:val="clear" w:color="auto" w:fill="DDD9C3" w:themeFill="background2" w:themeFillShade="E6"/>
          </w:tcPr>
          <w:p w:rsidR="00CA6887" w:rsidRPr="00CE0F5F" w:rsidRDefault="00CA6887" w:rsidP="00124599">
            <w:pPr>
              <w:rPr>
                <w:rFonts w:ascii="Calibri" w:hAnsi="Calibri" w:cs="Tahoma"/>
                <w:sz w:val="16"/>
                <w:szCs w:val="16"/>
              </w:rPr>
            </w:pPr>
          </w:p>
        </w:tc>
      </w:tr>
      <w:tr w:rsidR="00CA6887" w:rsidRPr="00CE0F5F" w:rsidTr="00124599">
        <w:trPr>
          <w:trHeight w:val="762"/>
        </w:trPr>
        <w:tc>
          <w:tcPr>
            <w:tcW w:w="1418" w:type="dxa"/>
            <w:shd w:val="clear" w:color="auto" w:fill="95B3D7" w:themeFill="accent1" w:themeFillTint="99"/>
          </w:tcPr>
          <w:p w:rsidR="00CA6887" w:rsidRPr="00CE0F5F" w:rsidRDefault="00CA6887" w:rsidP="00124599">
            <w:pPr>
              <w:jc w:val="left"/>
              <w:rPr>
                <w:rFonts w:ascii="Calibri" w:hAnsi="Calibri" w:cs="Tahoma"/>
                <w:b/>
                <w:sz w:val="18"/>
                <w:szCs w:val="18"/>
              </w:rPr>
            </w:pPr>
            <w:r w:rsidRPr="00CE0F5F">
              <w:rPr>
                <w:rFonts w:ascii="Calibri" w:hAnsi="Calibri" w:cs="Tahoma"/>
                <w:b/>
                <w:sz w:val="18"/>
                <w:szCs w:val="18"/>
              </w:rPr>
              <w:t>Ensuring services are effective</w:t>
            </w:r>
          </w:p>
        </w:tc>
        <w:tc>
          <w:tcPr>
            <w:tcW w:w="2055" w:type="dxa"/>
            <w:shd w:val="clear" w:color="auto" w:fill="DDD9C3" w:themeFill="background2" w:themeFillShade="E6"/>
          </w:tcPr>
          <w:p w:rsidR="00CA6887" w:rsidRPr="00CE0F5F" w:rsidRDefault="00CA6887" w:rsidP="00124599">
            <w:pPr>
              <w:rPr>
                <w:rFonts w:ascii="Calibri" w:hAnsi="Calibri" w:cs="Arial"/>
                <w:b/>
                <w:bCs/>
                <w:sz w:val="16"/>
                <w:szCs w:val="16"/>
              </w:rPr>
            </w:pPr>
            <w:r w:rsidRPr="00CE0F5F">
              <w:rPr>
                <w:rFonts w:ascii="Calibri" w:hAnsi="Calibri" w:cs="Tahoma"/>
                <w:sz w:val="16"/>
                <w:szCs w:val="16"/>
              </w:rPr>
              <w:t>Deliver the financial plan for revenue income and expenditure, capital expenditure and cash.</w:t>
            </w:r>
          </w:p>
        </w:tc>
        <w:tc>
          <w:tcPr>
            <w:tcW w:w="2056" w:type="dxa"/>
            <w:shd w:val="clear" w:color="auto" w:fill="DDD9C3" w:themeFill="background2" w:themeFillShade="E6"/>
          </w:tcPr>
          <w:p w:rsidR="00CA6887" w:rsidRPr="00CE0F5F" w:rsidRDefault="00CA6887" w:rsidP="00124599">
            <w:pPr>
              <w:rPr>
                <w:rFonts w:ascii="Calibri" w:hAnsi="Calibri" w:cs="Arial"/>
                <w:b/>
                <w:bCs/>
                <w:sz w:val="16"/>
                <w:szCs w:val="16"/>
              </w:rPr>
            </w:pPr>
            <w:r w:rsidRPr="00CE0F5F">
              <w:rPr>
                <w:rFonts w:ascii="Calibri" w:hAnsi="Calibri" w:cs="Tahoma"/>
                <w:sz w:val="16"/>
                <w:szCs w:val="16"/>
              </w:rPr>
              <w:t>Deliver the savings programme for each year.</w:t>
            </w:r>
          </w:p>
        </w:tc>
        <w:tc>
          <w:tcPr>
            <w:tcW w:w="2055" w:type="dxa"/>
            <w:shd w:val="clear" w:color="auto" w:fill="DDD9C3" w:themeFill="background2" w:themeFillShade="E6"/>
          </w:tcPr>
          <w:p w:rsidR="00CA6887" w:rsidRPr="00CE0F5F" w:rsidRDefault="00CA6887" w:rsidP="00124599">
            <w:pPr>
              <w:rPr>
                <w:rFonts w:ascii="Calibri" w:hAnsi="Calibri" w:cs="Arial"/>
                <w:b/>
                <w:bCs/>
                <w:sz w:val="16"/>
                <w:szCs w:val="16"/>
              </w:rPr>
            </w:pPr>
            <w:r w:rsidRPr="00CE0F5F">
              <w:rPr>
                <w:rFonts w:ascii="Calibri" w:hAnsi="Calibri"/>
                <w:sz w:val="16"/>
                <w:szCs w:val="16"/>
              </w:rPr>
              <w:t>Develop the IM&amp;T plan to support safe, effective and efficient service delivery</w:t>
            </w:r>
          </w:p>
        </w:tc>
        <w:tc>
          <w:tcPr>
            <w:tcW w:w="2056" w:type="dxa"/>
            <w:shd w:val="clear" w:color="auto" w:fill="DDD9C3" w:themeFill="background2" w:themeFillShade="E6"/>
          </w:tcPr>
          <w:p w:rsidR="00CA6887" w:rsidRPr="00CE0F5F" w:rsidRDefault="00CA6887" w:rsidP="00124599">
            <w:pPr>
              <w:rPr>
                <w:rFonts w:ascii="Calibri" w:hAnsi="Calibri"/>
                <w:sz w:val="16"/>
                <w:szCs w:val="16"/>
              </w:rPr>
            </w:pPr>
          </w:p>
        </w:tc>
      </w:tr>
      <w:tr w:rsidR="00CA6887" w:rsidRPr="00CE0F5F" w:rsidTr="00124599">
        <w:trPr>
          <w:trHeight w:val="1016"/>
        </w:trPr>
        <w:tc>
          <w:tcPr>
            <w:tcW w:w="1418" w:type="dxa"/>
            <w:shd w:val="clear" w:color="auto" w:fill="95B3D7" w:themeFill="accent1" w:themeFillTint="99"/>
          </w:tcPr>
          <w:p w:rsidR="00CA6887" w:rsidRPr="00CE0F5F" w:rsidRDefault="00CA6887" w:rsidP="00124599">
            <w:pPr>
              <w:rPr>
                <w:rFonts w:ascii="Calibri" w:hAnsi="Calibri"/>
                <w:b/>
                <w:sz w:val="16"/>
                <w:szCs w:val="16"/>
              </w:rPr>
            </w:pPr>
          </w:p>
        </w:tc>
        <w:tc>
          <w:tcPr>
            <w:tcW w:w="2055" w:type="dxa"/>
            <w:shd w:val="clear" w:color="auto" w:fill="DDD9C3" w:themeFill="background2" w:themeFillShade="E6"/>
          </w:tcPr>
          <w:p w:rsidR="00CA6887" w:rsidRPr="00CE0F5F" w:rsidRDefault="00CA6887" w:rsidP="00124599">
            <w:pPr>
              <w:rPr>
                <w:rFonts w:ascii="Calibri" w:hAnsi="Calibri"/>
                <w:sz w:val="16"/>
                <w:szCs w:val="16"/>
              </w:rPr>
            </w:pPr>
            <w:r w:rsidRPr="00CE0F5F">
              <w:rPr>
                <w:rFonts w:ascii="Calibri" w:hAnsi="Calibri"/>
                <w:sz w:val="16"/>
                <w:szCs w:val="16"/>
              </w:rPr>
              <w:t>Deliver the Trust’s responsibilities within the transition programme as defined in the transition plan.</w:t>
            </w:r>
          </w:p>
        </w:tc>
        <w:tc>
          <w:tcPr>
            <w:tcW w:w="2056" w:type="dxa"/>
            <w:shd w:val="clear" w:color="auto" w:fill="DDD9C3" w:themeFill="background2" w:themeFillShade="E6"/>
          </w:tcPr>
          <w:p w:rsidR="00CA6887" w:rsidRPr="00CE0F5F" w:rsidRDefault="00CA6887" w:rsidP="00124599">
            <w:pPr>
              <w:rPr>
                <w:rFonts w:ascii="Calibri" w:hAnsi="Calibri" w:cs="Arial"/>
                <w:b/>
                <w:bCs/>
                <w:sz w:val="16"/>
                <w:szCs w:val="16"/>
              </w:rPr>
            </w:pPr>
          </w:p>
        </w:tc>
        <w:tc>
          <w:tcPr>
            <w:tcW w:w="2055" w:type="dxa"/>
            <w:shd w:val="clear" w:color="auto" w:fill="DDD9C3" w:themeFill="background2" w:themeFillShade="E6"/>
          </w:tcPr>
          <w:p w:rsidR="00CA6887" w:rsidRPr="00CE0F5F" w:rsidRDefault="00CA6887" w:rsidP="00124599">
            <w:pPr>
              <w:rPr>
                <w:rFonts w:ascii="Calibri" w:hAnsi="Calibri" w:cs="Arial"/>
                <w:b/>
                <w:bCs/>
                <w:sz w:val="16"/>
                <w:szCs w:val="16"/>
              </w:rPr>
            </w:pPr>
          </w:p>
        </w:tc>
        <w:tc>
          <w:tcPr>
            <w:tcW w:w="2056" w:type="dxa"/>
            <w:shd w:val="clear" w:color="auto" w:fill="DDD9C3" w:themeFill="background2" w:themeFillShade="E6"/>
          </w:tcPr>
          <w:p w:rsidR="00CA6887" w:rsidRPr="00CE0F5F" w:rsidRDefault="00CA6887" w:rsidP="00124599">
            <w:pPr>
              <w:rPr>
                <w:rFonts w:ascii="Calibri" w:hAnsi="Calibri" w:cs="Arial"/>
                <w:b/>
                <w:bCs/>
                <w:sz w:val="16"/>
                <w:szCs w:val="16"/>
              </w:rPr>
            </w:pPr>
          </w:p>
        </w:tc>
      </w:tr>
    </w:tbl>
    <w:p w:rsidR="00CA6887" w:rsidRPr="00CE0F5F" w:rsidRDefault="00CA6887" w:rsidP="00CA6887"/>
    <w:p w:rsidR="00CA6887" w:rsidRPr="00CE0F5F" w:rsidRDefault="00CA6887" w:rsidP="00CA6887">
      <w:pPr>
        <w:rPr>
          <w:rFonts w:cs="Arial"/>
          <w:b/>
          <w:color w:val="000000"/>
        </w:rPr>
      </w:pPr>
    </w:p>
    <w:p w:rsidR="00CA6887" w:rsidRPr="00CE0F5F" w:rsidRDefault="00CA6887" w:rsidP="00CA6887">
      <w:pPr>
        <w:pStyle w:val="NoSpacing"/>
        <w:rPr>
          <w:rFonts w:cs="Arial"/>
          <w:color w:val="000000"/>
        </w:rPr>
      </w:pPr>
      <w:r w:rsidRPr="00CE0F5F">
        <w:rPr>
          <w:rFonts w:cs="Arial"/>
          <w:color w:val="000000"/>
        </w:rPr>
        <w:t xml:space="preserve">The Trust demonstrated a generally strong service delivery and performance against objectives during 2014/15.  </w:t>
      </w:r>
    </w:p>
    <w:p w:rsidR="00CA6887" w:rsidRPr="00CE0F5F" w:rsidRDefault="00CA6887" w:rsidP="00CA6887">
      <w:pPr>
        <w:pStyle w:val="NoSpacing"/>
        <w:rPr>
          <w:rFonts w:asciiTheme="minorHAnsi" w:hAnsiTheme="minorHAnsi" w:cs="Arial"/>
          <w:color w:val="000000"/>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1418"/>
        <w:gridCol w:w="6946"/>
      </w:tblGrid>
      <w:tr w:rsidR="00CA6887" w:rsidRPr="00CE0F5F" w:rsidTr="00124599">
        <w:trPr>
          <w:trHeight w:val="269"/>
        </w:trPr>
        <w:tc>
          <w:tcPr>
            <w:tcW w:w="1276" w:type="dxa"/>
            <w:shd w:val="clear" w:color="auto" w:fill="E5B8B7" w:themeFill="accent2" w:themeFillTint="66"/>
          </w:tcPr>
          <w:p w:rsidR="00CA6887" w:rsidRPr="00CE0F5F" w:rsidRDefault="00CA6887" w:rsidP="00124599">
            <w:pPr>
              <w:jc w:val="left"/>
              <w:rPr>
                <w:rFonts w:ascii="Calibri" w:hAnsi="Calibri" w:cs="Arial"/>
                <w:b/>
                <w:bCs/>
                <w:sz w:val="18"/>
                <w:szCs w:val="18"/>
              </w:rPr>
            </w:pPr>
            <w:r w:rsidRPr="00CE0F5F">
              <w:rPr>
                <w:rFonts w:ascii="Calibri" w:hAnsi="Calibri" w:cs="Arial"/>
                <w:b/>
                <w:bCs/>
                <w:sz w:val="18"/>
                <w:szCs w:val="18"/>
              </w:rPr>
              <w:t xml:space="preserve">Ensuring services are safe </w:t>
            </w:r>
          </w:p>
        </w:tc>
        <w:tc>
          <w:tcPr>
            <w:tcW w:w="1418" w:type="dxa"/>
            <w:shd w:val="clear" w:color="auto" w:fill="DDD9C3" w:themeFill="background2" w:themeFillShade="E6"/>
          </w:tcPr>
          <w:p w:rsidR="00CA6887" w:rsidRPr="00CE0F5F" w:rsidRDefault="00CA6887" w:rsidP="00124599">
            <w:pPr>
              <w:pStyle w:val="NoSpacing"/>
              <w:rPr>
                <w:rFonts w:asciiTheme="minorHAnsi" w:hAnsiTheme="minorHAnsi"/>
                <w:b/>
                <w:sz w:val="18"/>
                <w:szCs w:val="18"/>
              </w:rPr>
            </w:pPr>
            <w:r w:rsidRPr="00CE0F5F">
              <w:rPr>
                <w:rFonts w:asciiTheme="minorHAnsi" w:hAnsiTheme="minorHAnsi"/>
                <w:b/>
                <w:sz w:val="18"/>
                <w:szCs w:val="18"/>
              </w:rPr>
              <w:t>Evidence based and benchmarked practice</w:t>
            </w:r>
          </w:p>
        </w:tc>
        <w:tc>
          <w:tcPr>
            <w:tcW w:w="6946" w:type="dxa"/>
            <w:shd w:val="clear" w:color="auto" w:fill="DDD9C3" w:themeFill="background2" w:themeFillShade="E6"/>
          </w:tcPr>
          <w:p w:rsidR="00CA6887" w:rsidRPr="00CE0F5F" w:rsidRDefault="00CA6887" w:rsidP="00124599">
            <w:pPr>
              <w:rPr>
                <w:rFonts w:asciiTheme="minorHAnsi" w:hAnsiTheme="minorHAnsi"/>
                <w:sz w:val="18"/>
                <w:szCs w:val="18"/>
              </w:rPr>
            </w:pPr>
            <w:r w:rsidRPr="00CE0F5F">
              <w:rPr>
                <w:rFonts w:asciiTheme="minorHAnsi" w:hAnsiTheme="minorHAnsi"/>
                <w:sz w:val="18"/>
                <w:szCs w:val="18"/>
              </w:rPr>
              <w:t>Successful implementation and roll-out of the model ward concept resulting in improved senior clinical patient review, reducing length of stay relative to peer and improved management of the discharge process.</w:t>
            </w:r>
          </w:p>
          <w:p w:rsidR="00CA6887" w:rsidRPr="00CE0F5F" w:rsidRDefault="00CA6887" w:rsidP="00124599">
            <w:pPr>
              <w:rPr>
                <w:rFonts w:asciiTheme="minorHAnsi" w:hAnsiTheme="minorHAnsi"/>
                <w:sz w:val="18"/>
                <w:szCs w:val="18"/>
              </w:rPr>
            </w:pPr>
          </w:p>
        </w:tc>
      </w:tr>
      <w:tr w:rsidR="00CA6887" w:rsidRPr="00CE0F5F" w:rsidTr="00124599">
        <w:trPr>
          <w:trHeight w:val="269"/>
        </w:trPr>
        <w:tc>
          <w:tcPr>
            <w:tcW w:w="1276" w:type="dxa"/>
            <w:shd w:val="clear" w:color="auto" w:fill="E5B8B7" w:themeFill="accent2" w:themeFillTint="66"/>
          </w:tcPr>
          <w:p w:rsidR="00CA6887" w:rsidRPr="00CE0F5F" w:rsidRDefault="00CA6887" w:rsidP="00124599">
            <w:pPr>
              <w:jc w:val="left"/>
              <w:rPr>
                <w:rFonts w:ascii="Calibri" w:hAnsi="Calibri" w:cs="Arial"/>
                <w:b/>
                <w:bCs/>
                <w:sz w:val="18"/>
                <w:szCs w:val="18"/>
              </w:rPr>
            </w:pPr>
          </w:p>
        </w:tc>
        <w:tc>
          <w:tcPr>
            <w:tcW w:w="1418" w:type="dxa"/>
            <w:shd w:val="clear" w:color="auto" w:fill="DDD9C3" w:themeFill="background2" w:themeFillShade="E6"/>
          </w:tcPr>
          <w:p w:rsidR="00CA6887" w:rsidRPr="00CE0F5F" w:rsidRDefault="00CA6887" w:rsidP="00124599">
            <w:pPr>
              <w:pStyle w:val="NoSpacing"/>
              <w:rPr>
                <w:rFonts w:asciiTheme="minorHAnsi" w:hAnsiTheme="minorHAnsi"/>
                <w:b/>
                <w:sz w:val="18"/>
                <w:szCs w:val="18"/>
              </w:rPr>
            </w:pPr>
            <w:r w:rsidRPr="00CE0F5F">
              <w:rPr>
                <w:rFonts w:asciiTheme="minorHAnsi" w:hAnsiTheme="minorHAnsi"/>
                <w:b/>
                <w:sz w:val="18"/>
                <w:szCs w:val="18"/>
              </w:rPr>
              <w:t>Best practice</w:t>
            </w:r>
          </w:p>
        </w:tc>
        <w:tc>
          <w:tcPr>
            <w:tcW w:w="6946" w:type="dxa"/>
            <w:shd w:val="clear" w:color="auto" w:fill="DDD9C3" w:themeFill="background2" w:themeFillShade="E6"/>
          </w:tcPr>
          <w:p w:rsidR="00CA6887" w:rsidRPr="00CE0F5F" w:rsidRDefault="00CA6887" w:rsidP="00124599">
            <w:pPr>
              <w:rPr>
                <w:rFonts w:asciiTheme="minorHAnsi" w:hAnsiTheme="minorHAnsi"/>
                <w:sz w:val="18"/>
                <w:szCs w:val="18"/>
              </w:rPr>
            </w:pPr>
            <w:r w:rsidRPr="00CE0F5F">
              <w:rPr>
                <w:rFonts w:asciiTheme="minorHAnsi" w:hAnsiTheme="minorHAnsi"/>
                <w:sz w:val="18"/>
                <w:szCs w:val="18"/>
              </w:rPr>
              <w:t>Implemented the QI methodology through the Quality Improvement Hub to improve response to and implementation of clinical audit findings/recommendations for improvement to practice.</w:t>
            </w:r>
          </w:p>
          <w:p w:rsidR="00CA6887" w:rsidRPr="00CE0F5F" w:rsidRDefault="00CA6887" w:rsidP="00124599">
            <w:pPr>
              <w:rPr>
                <w:rFonts w:asciiTheme="minorHAnsi" w:hAnsiTheme="minorHAnsi"/>
                <w:sz w:val="18"/>
                <w:szCs w:val="18"/>
              </w:rPr>
            </w:pPr>
          </w:p>
        </w:tc>
      </w:tr>
      <w:tr w:rsidR="00CA6887" w:rsidRPr="00CE0F5F" w:rsidTr="00124599">
        <w:trPr>
          <w:trHeight w:val="269"/>
        </w:trPr>
        <w:tc>
          <w:tcPr>
            <w:tcW w:w="1276" w:type="dxa"/>
            <w:shd w:val="clear" w:color="auto" w:fill="E5B8B7" w:themeFill="accent2" w:themeFillTint="66"/>
          </w:tcPr>
          <w:p w:rsidR="00CA6887" w:rsidRPr="00CE0F5F" w:rsidRDefault="00CA6887" w:rsidP="00124599">
            <w:pPr>
              <w:jc w:val="left"/>
              <w:rPr>
                <w:rFonts w:ascii="Calibri" w:hAnsi="Calibri" w:cs="Arial"/>
                <w:b/>
                <w:bCs/>
                <w:sz w:val="18"/>
                <w:szCs w:val="18"/>
              </w:rPr>
            </w:pPr>
            <w:r w:rsidRPr="00CE0F5F">
              <w:rPr>
                <w:rFonts w:ascii="Calibri" w:hAnsi="Calibri" w:cs="Arial"/>
                <w:b/>
                <w:bCs/>
                <w:sz w:val="18"/>
                <w:szCs w:val="18"/>
              </w:rPr>
              <w:t>Ensuring services are caring</w:t>
            </w:r>
          </w:p>
        </w:tc>
        <w:tc>
          <w:tcPr>
            <w:tcW w:w="1418" w:type="dxa"/>
            <w:shd w:val="clear" w:color="auto" w:fill="DDD9C3" w:themeFill="background2" w:themeFillShade="E6"/>
          </w:tcPr>
          <w:p w:rsidR="00CA6887" w:rsidRPr="00CE0F5F" w:rsidRDefault="00CA6887" w:rsidP="00124599">
            <w:pPr>
              <w:pStyle w:val="NoSpacing"/>
              <w:rPr>
                <w:rFonts w:asciiTheme="minorHAnsi" w:hAnsiTheme="minorHAnsi" w:cs="Arial"/>
                <w:b/>
                <w:color w:val="000000"/>
                <w:sz w:val="18"/>
                <w:szCs w:val="18"/>
              </w:rPr>
            </w:pPr>
            <w:r w:rsidRPr="00CE0F5F">
              <w:rPr>
                <w:rFonts w:asciiTheme="minorHAnsi" w:hAnsiTheme="minorHAnsi"/>
                <w:b/>
                <w:sz w:val="18"/>
                <w:szCs w:val="18"/>
              </w:rPr>
              <w:t>Infection control and prevention and harm-free care</w:t>
            </w:r>
          </w:p>
        </w:tc>
        <w:tc>
          <w:tcPr>
            <w:tcW w:w="6946" w:type="dxa"/>
            <w:shd w:val="clear" w:color="auto" w:fill="DDD9C3" w:themeFill="background2" w:themeFillShade="E6"/>
          </w:tcPr>
          <w:p w:rsidR="00CA6887" w:rsidRDefault="00CA6887" w:rsidP="00124599">
            <w:pPr>
              <w:rPr>
                <w:rFonts w:asciiTheme="minorHAnsi" w:hAnsiTheme="minorHAnsi"/>
                <w:sz w:val="18"/>
                <w:szCs w:val="18"/>
              </w:rPr>
            </w:pPr>
            <w:r w:rsidRPr="00CE0F5F">
              <w:rPr>
                <w:rFonts w:asciiTheme="minorHAnsi" w:hAnsiTheme="minorHAnsi"/>
                <w:sz w:val="18"/>
                <w:szCs w:val="18"/>
              </w:rPr>
              <w:t xml:space="preserve">Challenging year, particularly in relation to Clostridium difficile with two cases reported in August and three in September.  We saw an outbreak of Norovirus across a number of wards from September 2014 which has continued into the new calendar year, hampering operational delivery of the four hour target.   </w:t>
            </w:r>
          </w:p>
          <w:p w:rsidR="00A940C8" w:rsidRPr="00CE0F5F" w:rsidRDefault="00A940C8" w:rsidP="00124599">
            <w:pPr>
              <w:rPr>
                <w:rFonts w:asciiTheme="minorHAnsi" w:hAnsiTheme="minorHAnsi" w:cs="Arial"/>
                <w:color w:val="000000"/>
                <w:sz w:val="18"/>
                <w:szCs w:val="18"/>
              </w:rPr>
            </w:pPr>
          </w:p>
        </w:tc>
      </w:tr>
      <w:tr w:rsidR="00CA6887" w:rsidRPr="00CE0F5F" w:rsidTr="00124599">
        <w:trPr>
          <w:trHeight w:val="269"/>
        </w:trPr>
        <w:tc>
          <w:tcPr>
            <w:tcW w:w="1276" w:type="dxa"/>
            <w:shd w:val="clear" w:color="auto" w:fill="E5B8B7" w:themeFill="accent2" w:themeFillTint="66"/>
          </w:tcPr>
          <w:p w:rsidR="00CA6887" w:rsidRPr="00CE0F5F" w:rsidRDefault="00CA6887" w:rsidP="00124599">
            <w:pPr>
              <w:jc w:val="left"/>
              <w:rPr>
                <w:rFonts w:ascii="Calibri" w:hAnsi="Calibri" w:cs="Arial"/>
                <w:b/>
                <w:bCs/>
                <w:sz w:val="18"/>
                <w:szCs w:val="18"/>
              </w:rPr>
            </w:pPr>
          </w:p>
        </w:tc>
        <w:tc>
          <w:tcPr>
            <w:tcW w:w="1418" w:type="dxa"/>
            <w:shd w:val="clear" w:color="auto" w:fill="DDD9C3" w:themeFill="background2" w:themeFillShade="E6"/>
          </w:tcPr>
          <w:p w:rsidR="00CA6887" w:rsidRPr="00CE0F5F" w:rsidRDefault="00CA6887" w:rsidP="00124599">
            <w:pPr>
              <w:pStyle w:val="NoSpacing"/>
              <w:rPr>
                <w:rFonts w:asciiTheme="minorHAnsi" w:hAnsiTheme="minorHAnsi"/>
                <w:b/>
                <w:sz w:val="18"/>
                <w:szCs w:val="18"/>
              </w:rPr>
            </w:pPr>
            <w:r w:rsidRPr="00CE0F5F">
              <w:rPr>
                <w:rFonts w:asciiTheme="minorHAnsi" w:hAnsiTheme="minorHAnsi"/>
                <w:b/>
                <w:sz w:val="18"/>
                <w:szCs w:val="18"/>
              </w:rPr>
              <w:t>Harm-free care</w:t>
            </w:r>
          </w:p>
        </w:tc>
        <w:tc>
          <w:tcPr>
            <w:tcW w:w="6946" w:type="dxa"/>
            <w:shd w:val="clear" w:color="auto" w:fill="DDD9C3" w:themeFill="background2" w:themeFillShade="E6"/>
          </w:tcPr>
          <w:p w:rsidR="00CA6887" w:rsidRPr="00CE0F5F" w:rsidRDefault="00CA6887" w:rsidP="00124599">
            <w:pPr>
              <w:rPr>
                <w:rFonts w:asciiTheme="minorHAnsi" w:hAnsiTheme="minorHAnsi"/>
                <w:sz w:val="18"/>
                <w:szCs w:val="18"/>
              </w:rPr>
            </w:pPr>
            <w:r w:rsidRPr="00CE0F5F">
              <w:rPr>
                <w:rFonts w:asciiTheme="minorHAnsi" w:hAnsiTheme="minorHAnsi"/>
                <w:sz w:val="18"/>
                <w:szCs w:val="18"/>
              </w:rPr>
              <w:t xml:space="preserve">Excellent progress in reducing harm from care with a reduction from 10% to 2% </w:t>
            </w:r>
            <w:r w:rsidR="00A940C8">
              <w:rPr>
                <w:rFonts w:asciiTheme="minorHAnsi" w:hAnsiTheme="minorHAnsi"/>
                <w:sz w:val="18"/>
                <w:szCs w:val="18"/>
              </w:rPr>
              <w:t xml:space="preserve">for new harms </w:t>
            </w:r>
            <w:r w:rsidRPr="00CE0F5F">
              <w:rPr>
                <w:rFonts w:asciiTheme="minorHAnsi" w:hAnsiTheme="minorHAnsi"/>
                <w:sz w:val="18"/>
                <w:szCs w:val="18"/>
              </w:rPr>
              <w:t>during the year, improvements in the reduction of medication errors, a reduction in complaints and increased feedba</w:t>
            </w:r>
            <w:r w:rsidR="00A940C8">
              <w:rPr>
                <w:rFonts w:asciiTheme="minorHAnsi" w:hAnsiTheme="minorHAnsi"/>
                <w:sz w:val="18"/>
                <w:szCs w:val="18"/>
              </w:rPr>
              <w:t>ck from patients</w:t>
            </w:r>
            <w:r w:rsidRPr="00CE0F5F">
              <w:rPr>
                <w:rFonts w:asciiTheme="minorHAnsi" w:hAnsiTheme="minorHAnsi"/>
                <w:sz w:val="18"/>
                <w:szCs w:val="18"/>
              </w:rPr>
              <w:t>.</w:t>
            </w:r>
          </w:p>
          <w:p w:rsidR="00CA6887" w:rsidRPr="00CE0F5F" w:rsidRDefault="00CA6887" w:rsidP="00124599">
            <w:pPr>
              <w:rPr>
                <w:rFonts w:asciiTheme="minorHAnsi" w:hAnsiTheme="minorHAnsi"/>
                <w:sz w:val="18"/>
                <w:szCs w:val="18"/>
              </w:rPr>
            </w:pPr>
          </w:p>
        </w:tc>
      </w:tr>
      <w:tr w:rsidR="00CA6887" w:rsidRPr="00CE0F5F" w:rsidTr="00124599">
        <w:trPr>
          <w:trHeight w:val="665"/>
        </w:trPr>
        <w:tc>
          <w:tcPr>
            <w:tcW w:w="1276" w:type="dxa"/>
            <w:shd w:val="clear" w:color="auto" w:fill="C6D9F1" w:themeFill="text2" w:themeFillTint="33"/>
          </w:tcPr>
          <w:p w:rsidR="00CA6887" w:rsidRPr="00CE0F5F" w:rsidRDefault="00CA6887" w:rsidP="00124599">
            <w:pPr>
              <w:pStyle w:val="PlainText"/>
              <w:tabs>
                <w:tab w:val="left" w:pos="0"/>
              </w:tabs>
              <w:ind w:left="33"/>
              <w:rPr>
                <w:rFonts w:ascii="Calibri" w:hAnsi="Calibri" w:cs="Arial"/>
                <w:b/>
                <w:bCs/>
                <w:sz w:val="18"/>
                <w:szCs w:val="18"/>
              </w:rPr>
            </w:pPr>
            <w:r w:rsidRPr="00CE0F5F">
              <w:rPr>
                <w:rFonts w:ascii="Calibri" w:hAnsi="Calibri" w:cs="Arial"/>
                <w:b/>
                <w:bCs/>
                <w:sz w:val="18"/>
                <w:szCs w:val="18"/>
              </w:rPr>
              <w:t>Ensuring services are well led</w:t>
            </w:r>
          </w:p>
        </w:tc>
        <w:tc>
          <w:tcPr>
            <w:tcW w:w="1418" w:type="dxa"/>
            <w:shd w:val="clear" w:color="auto" w:fill="DDD9C3" w:themeFill="background2" w:themeFillShade="E6"/>
          </w:tcPr>
          <w:p w:rsidR="00CA6887" w:rsidRPr="00CE0F5F" w:rsidRDefault="00CA6887" w:rsidP="00124599">
            <w:pPr>
              <w:rPr>
                <w:rFonts w:ascii="Calibri" w:hAnsi="Calibri" w:cs="Arial"/>
                <w:b/>
                <w:bCs/>
                <w:sz w:val="16"/>
                <w:szCs w:val="16"/>
              </w:rPr>
            </w:pPr>
            <w:r w:rsidRPr="00CE0F5F">
              <w:rPr>
                <w:rFonts w:ascii="Calibri" w:hAnsi="Calibri" w:cs="Arial"/>
                <w:b/>
                <w:bCs/>
                <w:sz w:val="16"/>
                <w:szCs w:val="16"/>
              </w:rPr>
              <w:t>Leadership and management development</w:t>
            </w:r>
          </w:p>
        </w:tc>
        <w:tc>
          <w:tcPr>
            <w:tcW w:w="6946" w:type="dxa"/>
            <w:shd w:val="clear" w:color="auto" w:fill="DDD9C3" w:themeFill="background2" w:themeFillShade="E6"/>
          </w:tcPr>
          <w:p w:rsidR="00CA6887" w:rsidRPr="00CE0F5F" w:rsidRDefault="00CA6887" w:rsidP="00124599">
            <w:pPr>
              <w:rPr>
                <w:rFonts w:asciiTheme="minorHAnsi" w:hAnsiTheme="minorHAnsi"/>
                <w:sz w:val="18"/>
                <w:szCs w:val="18"/>
              </w:rPr>
            </w:pPr>
            <w:r w:rsidRPr="00CE0F5F">
              <w:rPr>
                <w:rFonts w:asciiTheme="minorHAnsi" w:hAnsiTheme="minorHAnsi"/>
                <w:sz w:val="18"/>
                <w:szCs w:val="18"/>
              </w:rPr>
              <w:t xml:space="preserve">Full advantage taken of the opportunities offered through the NHS National Leadership Academy for managers and supervisors to gain nationally recognised qualifications in Leadership.  23 members of staff supported through the Mary </w:t>
            </w:r>
            <w:proofErr w:type="spellStart"/>
            <w:r w:rsidRPr="00CE0F5F">
              <w:rPr>
                <w:rFonts w:asciiTheme="minorHAnsi" w:hAnsiTheme="minorHAnsi"/>
                <w:sz w:val="18"/>
                <w:szCs w:val="18"/>
              </w:rPr>
              <w:t>Seacole</w:t>
            </w:r>
            <w:proofErr w:type="spellEnd"/>
            <w:r w:rsidRPr="00CE0F5F">
              <w:rPr>
                <w:rFonts w:asciiTheme="minorHAnsi" w:hAnsiTheme="minorHAnsi"/>
                <w:sz w:val="18"/>
                <w:szCs w:val="18"/>
              </w:rPr>
              <w:t xml:space="preserve"> programme, a Postgraduate Certificate in Leadership.  Thirteen of those staff </w:t>
            </w:r>
            <w:proofErr w:type="gramStart"/>
            <w:r w:rsidRPr="00CE0F5F">
              <w:rPr>
                <w:rFonts w:asciiTheme="minorHAnsi" w:hAnsiTheme="minorHAnsi"/>
                <w:sz w:val="18"/>
                <w:szCs w:val="18"/>
              </w:rPr>
              <w:t>have</w:t>
            </w:r>
            <w:proofErr w:type="gramEnd"/>
            <w:r w:rsidRPr="00CE0F5F">
              <w:rPr>
                <w:rFonts w:asciiTheme="minorHAnsi" w:hAnsiTheme="minorHAnsi"/>
                <w:sz w:val="18"/>
                <w:szCs w:val="18"/>
              </w:rPr>
              <w:t xml:space="preserve"> recently completed the programme successfully and of those, 6 have obtained a merit. In addition, 3 Senior Managers are continuing to undertake the 2-year Elizabeth Garrett Anderson, Masters in Leadership. </w:t>
            </w:r>
          </w:p>
          <w:p w:rsidR="00CA6887" w:rsidRDefault="00CA6887" w:rsidP="00124599">
            <w:pPr>
              <w:rPr>
                <w:rFonts w:asciiTheme="minorHAnsi" w:hAnsiTheme="minorHAnsi"/>
                <w:sz w:val="18"/>
                <w:szCs w:val="18"/>
              </w:rPr>
            </w:pPr>
            <w:r w:rsidRPr="00CE0F5F">
              <w:rPr>
                <w:rFonts w:asciiTheme="minorHAnsi" w:hAnsiTheme="minorHAnsi"/>
                <w:sz w:val="18"/>
                <w:szCs w:val="18"/>
              </w:rPr>
              <w:t xml:space="preserve">Many Senior Managers have been supported to translate theory into practice through one-to-one coaching opportunities. </w:t>
            </w:r>
          </w:p>
          <w:p w:rsidR="00A940C8" w:rsidRPr="00CE0F5F" w:rsidRDefault="00A940C8" w:rsidP="00124599">
            <w:pPr>
              <w:rPr>
                <w:rFonts w:ascii="Calibri" w:hAnsi="Calibri" w:cs="Arial"/>
                <w:b/>
                <w:bCs/>
                <w:sz w:val="16"/>
                <w:szCs w:val="16"/>
              </w:rPr>
            </w:pPr>
          </w:p>
        </w:tc>
      </w:tr>
      <w:tr w:rsidR="00CA6887" w:rsidRPr="00CE0F5F" w:rsidTr="00124599">
        <w:trPr>
          <w:trHeight w:val="665"/>
        </w:trPr>
        <w:tc>
          <w:tcPr>
            <w:tcW w:w="1276" w:type="dxa"/>
            <w:shd w:val="clear" w:color="auto" w:fill="C6D9F1" w:themeFill="text2" w:themeFillTint="33"/>
          </w:tcPr>
          <w:p w:rsidR="00CA6887" w:rsidRPr="00CE0F5F" w:rsidRDefault="00CA6887" w:rsidP="00124599">
            <w:pPr>
              <w:pStyle w:val="PlainText"/>
              <w:tabs>
                <w:tab w:val="left" w:pos="0"/>
              </w:tabs>
              <w:ind w:left="33"/>
              <w:rPr>
                <w:rFonts w:ascii="Calibri" w:hAnsi="Calibri" w:cs="Arial"/>
                <w:b/>
                <w:bCs/>
                <w:sz w:val="18"/>
                <w:szCs w:val="18"/>
              </w:rPr>
            </w:pPr>
          </w:p>
        </w:tc>
        <w:tc>
          <w:tcPr>
            <w:tcW w:w="1418" w:type="dxa"/>
            <w:shd w:val="clear" w:color="auto" w:fill="DDD9C3" w:themeFill="background2" w:themeFillShade="E6"/>
          </w:tcPr>
          <w:p w:rsidR="00CA6887" w:rsidRPr="00CE0F5F" w:rsidRDefault="00CA6887" w:rsidP="00124599">
            <w:pPr>
              <w:rPr>
                <w:rFonts w:ascii="Calibri" w:hAnsi="Calibri" w:cs="Arial"/>
                <w:b/>
                <w:bCs/>
                <w:sz w:val="16"/>
                <w:szCs w:val="16"/>
              </w:rPr>
            </w:pPr>
            <w:r w:rsidRPr="00CE0F5F">
              <w:rPr>
                <w:rFonts w:ascii="Calibri" w:hAnsi="Calibri" w:cs="Arial"/>
                <w:b/>
                <w:bCs/>
                <w:sz w:val="16"/>
                <w:szCs w:val="16"/>
              </w:rPr>
              <w:t>Staff development and Modern Apprentices</w:t>
            </w:r>
          </w:p>
        </w:tc>
        <w:tc>
          <w:tcPr>
            <w:tcW w:w="6946" w:type="dxa"/>
            <w:shd w:val="clear" w:color="auto" w:fill="DDD9C3" w:themeFill="background2" w:themeFillShade="E6"/>
          </w:tcPr>
          <w:p w:rsidR="00CA6887" w:rsidRPr="00CE0F5F" w:rsidRDefault="00CA6887" w:rsidP="00124599">
            <w:pPr>
              <w:rPr>
                <w:rFonts w:asciiTheme="minorHAnsi" w:hAnsiTheme="minorHAnsi"/>
                <w:sz w:val="18"/>
                <w:szCs w:val="18"/>
              </w:rPr>
            </w:pPr>
            <w:r w:rsidRPr="00CE0F5F">
              <w:rPr>
                <w:rFonts w:asciiTheme="minorHAnsi" w:hAnsiTheme="minorHAnsi"/>
                <w:sz w:val="18"/>
                <w:szCs w:val="18"/>
              </w:rPr>
              <w:t>40 existing staff of all ages enrolled on an Apprenticeship programme run through Weston College.  Staff can select from a range of Apprenticeship opportunities dependent on their job role including Customer Services, Team Leading, Business Administration and Health and Social Care.  Completion takes between 15-18 months with a designated college assessor visiting staff on site, setting tasks to be completed and reviewing progress at subsequent meetings.  Staff feedback is that achieving a nationally recognised qualification has not only improved their performance in role but has given them the confidence to go on to further NHS career opportunities.</w:t>
            </w:r>
          </w:p>
          <w:p w:rsidR="00CA6887" w:rsidRPr="00CE0F5F" w:rsidRDefault="00CA6887" w:rsidP="00124599">
            <w:pPr>
              <w:rPr>
                <w:rFonts w:asciiTheme="minorHAnsi" w:hAnsiTheme="minorHAnsi"/>
                <w:sz w:val="18"/>
                <w:szCs w:val="18"/>
              </w:rPr>
            </w:pPr>
          </w:p>
          <w:p w:rsidR="00CA6887" w:rsidRDefault="00CA6887" w:rsidP="00A940C8">
            <w:pPr>
              <w:rPr>
                <w:rFonts w:asciiTheme="minorHAnsi" w:hAnsiTheme="minorHAnsi"/>
                <w:sz w:val="18"/>
                <w:szCs w:val="18"/>
              </w:rPr>
            </w:pPr>
            <w:r w:rsidRPr="00CE0F5F">
              <w:rPr>
                <w:rFonts w:asciiTheme="minorHAnsi" w:hAnsiTheme="minorHAnsi"/>
                <w:sz w:val="18"/>
                <w:szCs w:val="18"/>
              </w:rPr>
              <w:lastRenderedPageBreak/>
              <w:t xml:space="preserve">The Trust is also pleased to </w:t>
            </w:r>
            <w:proofErr w:type="spellStart"/>
            <w:r w:rsidRPr="00CE0F5F">
              <w:rPr>
                <w:rFonts w:asciiTheme="minorHAnsi" w:hAnsiTheme="minorHAnsi"/>
                <w:sz w:val="18"/>
                <w:szCs w:val="18"/>
              </w:rPr>
              <w:t>recognise</w:t>
            </w:r>
            <w:proofErr w:type="spellEnd"/>
            <w:r w:rsidRPr="00CE0F5F">
              <w:rPr>
                <w:rFonts w:asciiTheme="minorHAnsi" w:hAnsiTheme="minorHAnsi"/>
                <w:sz w:val="18"/>
                <w:szCs w:val="18"/>
              </w:rPr>
              <w:t xml:space="preserve"> the value of its Modern Apprentices, recruited though Weston College and offering a young and vibrant contribution to the workforce.  In 2014 we employed 13 Modern Apprentices.  Recruits typically are contracted to work 15-18 months with day release to attend college and complete the theory elements of their Apprenticeship programme.  In many cases, at the end of their fixed term contract, Modern Apprentices go on to secure permanent employment at the Trust. </w:t>
            </w:r>
          </w:p>
          <w:p w:rsidR="00A940C8" w:rsidRPr="00CE0F5F" w:rsidRDefault="00A940C8" w:rsidP="00A940C8">
            <w:pPr>
              <w:rPr>
                <w:rFonts w:ascii="Calibri" w:hAnsi="Calibri" w:cs="Arial"/>
                <w:b/>
                <w:bCs/>
                <w:sz w:val="16"/>
                <w:szCs w:val="16"/>
              </w:rPr>
            </w:pPr>
          </w:p>
        </w:tc>
      </w:tr>
      <w:tr w:rsidR="00CA6887" w:rsidRPr="00CE0F5F" w:rsidTr="00124599">
        <w:trPr>
          <w:trHeight w:val="269"/>
        </w:trPr>
        <w:tc>
          <w:tcPr>
            <w:tcW w:w="1276" w:type="dxa"/>
            <w:shd w:val="clear" w:color="auto" w:fill="C2D69B" w:themeFill="accent3" w:themeFillTint="99"/>
          </w:tcPr>
          <w:p w:rsidR="00CA6887" w:rsidRPr="00CE0F5F" w:rsidRDefault="00CA6887" w:rsidP="00124599">
            <w:pPr>
              <w:jc w:val="left"/>
              <w:rPr>
                <w:rFonts w:ascii="Calibri" w:hAnsi="Calibri" w:cs="Tahoma"/>
                <w:b/>
                <w:sz w:val="18"/>
                <w:szCs w:val="18"/>
              </w:rPr>
            </w:pPr>
            <w:r w:rsidRPr="00CE0F5F">
              <w:rPr>
                <w:rFonts w:ascii="Calibri" w:hAnsi="Calibri" w:cs="Tahoma"/>
                <w:b/>
                <w:sz w:val="18"/>
                <w:szCs w:val="18"/>
              </w:rPr>
              <w:lastRenderedPageBreak/>
              <w:t>Ensuring services are responsive</w:t>
            </w:r>
          </w:p>
        </w:tc>
        <w:tc>
          <w:tcPr>
            <w:tcW w:w="1418" w:type="dxa"/>
            <w:shd w:val="clear" w:color="auto" w:fill="DDD9C3" w:themeFill="background2" w:themeFillShade="E6"/>
          </w:tcPr>
          <w:p w:rsidR="00CA6887" w:rsidRPr="00CE0F5F" w:rsidRDefault="00CA6887" w:rsidP="00124599">
            <w:pPr>
              <w:pStyle w:val="NoSpacing"/>
              <w:rPr>
                <w:rFonts w:asciiTheme="minorHAnsi" w:hAnsiTheme="minorHAnsi" w:cs="Arial"/>
                <w:b/>
                <w:color w:val="000000"/>
                <w:sz w:val="18"/>
                <w:szCs w:val="18"/>
              </w:rPr>
            </w:pPr>
            <w:r w:rsidRPr="00CE0F5F">
              <w:rPr>
                <w:rFonts w:asciiTheme="minorHAnsi" w:hAnsiTheme="minorHAnsi"/>
                <w:b/>
                <w:sz w:val="18"/>
                <w:szCs w:val="18"/>
              </w:rPr>
              <w:t>Emergency Department four hour target</w:t>
            </w:r>
          </w:p>
        </w:tc>
        <w:tc>
          <w:tcPr>
            <w:tcW w:w="6946" w:type="dxa"/>
            <w:shd w:val="clear" w:color="auto" w:fill="DDD9C3" w:themeFill="background2" w:themeFillShade="E6"/>
          </w:tcPr>
          <w:p w:rsidR="00CA6887" w:rsidRDefault="00CA6887" w:rsidP="00124599">
            <w:pPr>
              <w:pStyle w:val="NoSpacing"/>
              <w:rPr>
                <w:rFonts w:asciiTheme="minorHAnsi" w:hAnsiTheme="minorHAnsi"/>
                <w:sz w:val="18"/>
                <w:szCs w:val="18"/>
              </w:rPr>
            </w:pPr>
            <w:r w:rsidRPr="00CE0F5F">
              <w:rPr>
                <w:rFonts w:asciiTheme="minorHAnsi" w:hAnsiTheme="minorHAnsi"/>
                <w:sz w:val="18"/>
                <w:szCs w:val="18"/>
              </w:rPr>
              <w:t>Challenging due to an ongoing increase in demand coupled with higher numbers of delayed discharges.  The Trust continues to work with the Urgent Care Network, which includes partner organisations from the Local Authority, Community Partnership, Ambulance Trust and Mental Health Services to bring about the required level of improvement.   Plans to deliver sustained recovery coupled with resilience through the winter period are being implemented internally and across the health community.</w:t>
            </w:r>
          </w:p>
          <w:p w:rsidR="00A940C8" w:rsidRPr="00CE0F5F" w:rsidRDefault="00A940C8" w:rsidP="00124599">
            <w:pPr>
              <w:pStyle w:val="NoSpacing"/>
              <w:rPr>
                <w:rFonts w:asciiTheme="minorHAnsi" w:hAnsiTheme="minorHAnsi" w:cs="Arial"/>
                <w:color w:val="000000"/>
                <w:sz w:val="18"/>
                <w:szCs w:val="18"/>
              </w:rPr>
            </w:pPr>
          </w:p>
        </w:tc>
      </w:tr>
      <w:tr w:rsidR="00CA6887" w:rsidRPr="00CE0F5F" w:rsidTr="00124599">
        <w:trPr>
          <w:trHeight w:val="269"/>
        </w:trPr>
        <w:tc>
          <w:tcPr>
            <w:tcW w:w="1276" w:type="dxa"/>
            <w:shd w:val="clear" w:color="auto" w:fill="C2D69B" w:themeFill="accent3" w:themeFillTint="99"/>
          </w:tcPr>
          <w:p w:rsidR="00CA6887" w:rsidRPr="00CE0F5F" w:rsidRDefault="00CA6887" w:rsidP="00124599">
            <w:pPr>
              <w:jc w:val="left"/>
              <w:rPr>
                <w:rFonts w:ascii="Calibri" w:hAnsi="Calibri" w:cs="Tahoma"/>
                <w:b/>
                <w:sz w:val="18"/>
                <w:szCs w:val="18"/>
              </w:rPr>
            </w:pPr>
          </w:p>
        </w:tc>
        <w:tc>
          <w:tcPr>
            <w:tcW w:w="1418" w:type="dxa"/>
            <w:shd w:val="clear" w:color="auto" w:fill="DDD9C3" w:themeFill="background2" w:themeFillShade="E6"/>
          </w:tcPr>
          <w:p w:rsidR="00CA6887" w:rsidRPr="00CE0F5F" w:rsidRDefault="00CA6887" w:rsidP="00124599">
            <w:pPr>
              <w:pStyle w:val="NoSpacing"/>
              <w:rPr>
                <w:rFonts w:asciiTheme="minorHAnsi" w:hAnsiTheme="minorHAnsi" w:cs="Arial"/>
                <w:b/>
                <w:color w:val="000000"/>
                <w:sz w:val="18"/>
                <w:szCs w:val="18"/>
              </w:rPr>
            </w:pPr>
            <w:r w:rsidRPr="00CE0F5F">
              <w:rPr>
                <w:rFonts w:asciiTheme="minorHAnsi" w:hAnsiTheme="minorHAnsi"/>
                <w:b/>
                <w:sz w:val="18"/>
                <w:szCs w:val="18"/>
              </w:rPr>
              <w:t>Cancer targets</w:t>
            </w:r>
          </w:p>
        </w:tc>
        <w:tc>
          <w:tcPr>
            <w:tcW w:w="6946" w:type="dxa"/>
            <w:shd w:val="clear" w:color="auto" w:fill="DDD9C3" w:themeFill="background2" w:themeFillShade="E6"/>
          </w:tcPr>
          <w:p w:rsidR="00CA6887" w:rsidRDefault="00CA6887" w:rsidP="00A940C8">
            <w:pPr>
              <w:pStyle w:val="NoSpacing"/>
              <w:rPr>
                <w:rFonts w:asciiTheme="minorHAnsi" w:hAnsiTheme="minorHAnsi"/>
                <w:sz w:val="18"/>
                <w:szCs w:val="18"/>
              </w:rPr>
            </w:pPr>
            <w:r w:rsidRPr="00CE0F5F">
              <w:rPr>
                <w:rFonts w:asciiTheme="minorHAnsi" w:hAnsiTheme="minorHAnsi"/>
                <w:sz w:val="18"/>
                <w:szCs w:val="18"/>
              </w:rPr>
              <w:t xml:space="preserve">Improved as a result of work undertaken by the Trust with primary care to improve pathways and address issues of data completeness and patient availability on referral.  This target however remains fragile given the number of complex pathways to </w:t>
            </w:r>
            <w:proofErr w:type="spellStart"/>
            <w:r w:rsidRPr="00CE0F5F">
              <w:rPr>
                <w:rFonts w:asciiTheme="minorHAnsi" w:hAnsiTheme="minorHAnsi"/>
                <w:sz w:val="18"/>
                <w:szCs w:val="18"/>
              </w:rPr>
              <w:t>neighbouring</w:t>
            </w:r>
            <w:proofErr w:type="spellEnd"/>
            <w:r w:rsidRPr="00CE0F5F">
              <w:rPr>
                <w:rFonts w:asciiTheme="minorHAnsi" w:hAnsiTheme="minorHAnsi"/>
                <w:sz w:val="18"/>
                <w:szCs w:val="18"/>
              </w:rPr>
              <w:t xml:space="preserve"> tertiary </w:t>
            </w:r>
            <w:proofErr w:type="spellStart"/>
            <w:r w:rsidRPr="00CE0F5F">
              <w:rPr>
                <w:rFonts w:asciiTheme="minorHAnsi" w:hAnsiTheme="minorHAnsi"/>
                <w:sz w:val="18"/>
                <w:szCs w:val="18"/>
              </w:rPr>
              <w:t>centres</w:t>
            </w:r>
            <w:proofErr w:type="spellEnd"/>
            <w:r w:rsidRPr="00CE0F5F">
              <w:rPr>
                <w:rFonts w:asciiTheme="minorHAnsi" w:hAnsiTheme="minorHAnsi"/>
                <w:sz w:val="18"/>
                <w:szCs w:val="18"/>
              </w:rPr>
              <w:t xml:space="preserve"> for a proportion of our patients but we continue to work with these </w:t>
            </w:r>
            <w:proofErr w:type="spellStart"/>
            <w:r w:rsidRPr="00CE0F5F">
              <w:rPr>
                <w:rFonts w:asciiTheme="minorHAnsi" w:hAnsiTheme="minorHAnsi"/>
                <w:sz w:val="18"/>
                <w:szCs w:val="18"/>
              </w:rPr>
              <w:t>centres</w:t>
            </w:r>
            <w:proofErr w:type="spellEnd"/>
            <w:r w:rsidRPr="00CE0F5F">
              <w:rPr>
                <w:rFonts w:asciiTheme="minorHAnsi" w:hAnsiTheme="minorHAnsi"/>
                <w:sz w:val="18"/>
                <w:szCs w:val="18"/>
              </w:rPr>
              <w:t xml:space="preserve"> to ensure a seamless transfer of </w:t>
            </w:r>
            <w:r w:rsidR="00A940C8">
              <w:rPr>
                <w:rFonts w:asciiTheme="minorHAnsi" w:hAnsiTheme="minorHAnsi"/>
                <w:sz w:val="18"/>
                <w:szCs w:val="18"/>
              </w:rPr>
              <w:t>care where this is necessary.</w:t>
            </w:r>
          </w:p>
          <w:p w:rsidR="00A940C8" w:rsidRPr="00CE0F5F" w:rsidRDefault="00A940C8" w:rsidP="00A940C8">
            <w:pPr>
              <w:pStyle w:val="NoSpacing"/>
              <w:rPr>
                <w:rFonts w:asciiTheme="minorHAnsi" w:hAnsiTheme="minorHAnsi" w:cs="Arial"/>
                <w:color w:val="000000"/>
                <w:sz w:val="18"/>
                <w:szCs w:val="18"/>
              </w:rPr>
            </w:pPr>
          </w:p>
        </w:tc>
      </w:tr>
      <w:tr w:rsidR="00CA6887" w:rsidRPr="00CE0F5F" w:rsidTr="00124599">
        <w:trPr>
          <w:trHeight w:val="269"/>
        </w:trPr>
        <w:tc>
          <w:tcPr>
            <w:tcW w:w="1276" w:type="dxa"/>
            <w:shd w:val="clear" w:color="auto" w:fill="C2D69B" w:themeFill="accent3" w:themeFillTint="99"/>
          </w:tcPr>
          <w:p w:rsidR="00CA6887" w:rsidRPr="00CE0F5F" w:rsidRDefault="00CA6887" w:rsidP="00124599">
            <w:pPr>
              <w:jc w:val="left"/>
              <w:rPr>
                <w:rFonts w:ascii="Calibri" w:hAnsi="Calibri" w:cs="Tahoma"/>
                <w:b/>
                <w:sz w:val="18"/>
                <w:szCs w:val="18"/>
              </w:rPr>
            </w:pPr>
          </w:p>
        </w:tc>
        <w:tc>
          <w:tcPr>
            <w:tcW w:w="1418" w:type="dxa"/>
            <w:shd w:val="clear" w:color="auto" w:fill="DDD9C3" w:themeFill="background2" w:themeFillShade="E6"/>
          </w:tcPr>
          <w:p w:rsidR="00CA6887" w:rsidRPr="00CE0F5F" w:rsidRDefault="00CA6887" w:rsidP="00124599">
            <w:pPr>
              <w:pStyle w:val="NoSpacing"/>
              <w:rPr>
                <w:rFonts w:asciiTheme="minorHAnsi" w:hAnsiTheme="minorHAnsi" w:cs="Arial"/>
                <w:b/>
                <w:color w:val="000000"/>
                <w:sz w:val="18"/>
                <w:szCs w:val="18"/>
              </w:rPr>
            </w:pPr>
            <w:r w:rsidRPr="00CE0F5F">
              <w:rPr>
                <w:rFonts w:asciiTheme="minorHAnsi" w:hAnsiTheme="minorHAnsi" w:cstheme="minorHAnsi"/>
                <w:b/>
                <w:sz w:val="18"/>
                <w:szCs w:val="18"/>
              </w:rPr>
              <w:t>RTT Recovery Plan</w:t>
            </w:r>
          </w:p>
        </w:tc>
        <w:tc>
          <w:tcPr>
            <w:tcW w:w="6946" w:type="dxa"/>
            <w:shd w:val="clear" w:color="auto" w:fill="DDD9C3" w:themeFill="background2" w:themeFillShade="E6"/>
          </w:tcPr>
          <w:p w:rsidR="00CA6887" w:rsidRPr="00CE0F5F" w:rsidRDefault="00CA6887" w:rsidP="00124599">
            <w:pPr>
              <w:autoSpaceDE w:val="0"/>
              <w:autoSpaceDN w:val="0"/>
              <w:adjustRightInd w:val="0"/>
              <w:rPr>
                <w:rFonts w:asciiTheme="minorHAnsi" w:hAnsiTheme="minorHAnsi" w:cstheme="minorHAnsi"/>
                <w:sz w:val="18"/>
                <w:szCs w:val="18"/>
              </w:rPr>
            </w:pPr>
            <w:r w:rsidRPr="00CE0F5F">
              <w:rPr>
                <w:rFonts w:asciiTheme="minorHAnsi" w:hAnsiTheme="minorHAnsi" w:cstheme="minorHAnsi"/>
                <w:sz w:val="18"/>
                <w:szCs w:val="18"/>
              </w:rPr>
              <w:t xml:space="preserve">Excellent progress towards delivery.  Whilst the Trust did not have a significant number of patients waiting longer than 18 weeks for treatment to the extent of the majority of Acute Trusts nationally, it was felt that this opportunity should be pursued to enable us to reduce our waiting lists and provide a better service for the local population.  By the end of September the Trust had admitted an additional 248 elective patients and seen almost 700 additional outpatients over </w:t>
            </w:r>
            <w:r w:rsidRPr="00CE0F5F">
              <w:rPr>
                <w:rFonts w:asciiTheme="minorHAnsi" w:hAnsiTheme="minorHAnsi"/>
                <w:sz w:val="18"/>
                <w:szCs w:val="18"/>
              </w:rPr>
              <w:t>the summer months as planned and had met its trajectory to achieve all three referral to treatment targets which has been sustained into the new year 2015.</w:t>
            </w:r>
          </w:p>
          <w:p w:rsidR="00CA6887" w:rsidRPr="00CE0F5F" w:rsidRDefault="00CA6887" w:rsidP="00124599">
            <w:pPr>
              <w:pStyle w:val="NoSpacing"/>
              <w:rPr>
                <w:rFonts w:asciiTheme="minorHAnsi" w:hAnsiTheme="minorHAnsi" w:cs="Arial"/>
                <w:color w:val="000000"/>
                <w:sz w:val="18"/>
                <w:szCs w:val="18"/>
              </w:rPr>
            </w:pPr>
          </w:p>
        </w:tc>
      </w:tr>
      <w:tr w:rsidR="00CA6887" w:rsidRPr="00CE0F5F" w:rsidTr="00124599">
        <w:trPr>
          <w:trHeight w:val="762"/>
        </w:trPr>
        <w:tc>
          <w:tcPr>
            <w:tcW w:w="1276" w:type="dxa"/>
            <w:shd w:val="clear" w:color="auto" w:fill="95B3D7" w:themeFill="accent1" w:themeFillTint="99"/>
          </w:tcPr>
          <w:p w:rsidR="00CA6887" w:rsidRPr="00CE0F5F" w:rsidRDefault="00CA6887" w:rsidP="00124599">
            <w:pPr>
              <w:jc w:val="left"/>
              <w:rPr>
                <w:rFonts w:ascii="Calibri" w:hAnsi="Calibri" w:cs="Tahoma"/>
                <w:b/>
                <w:sz w:val="18"/>
                <w:szCs w:val="18"/>
              </w:rPr>
            </w:pPr>
            <w:r w:rsidRPr="00CE0F5F">
              <w:rPr>
                <w:rFonts w:ascii="Calibri" w:hAnsi="Calibri" w:cs="Tahoma"/>
                <w:b/>
                <w:sz w:val="18"/>
                <w:szCs w:val="18"/>
              </w:rPr>
              <w:t>Ensuring services are effective</w:t>
            </w:r>
          </w:p>
        </w:tc>
        <w:tc>
          <w:tcPr>
            <w:tcW w:w="1418" w:type="dxa"/>
            <w:shd w:val="clear" w:color="auto" w:fill="DDD9C3" w:themeFill="background2" w:themeFillShade="E6"/>
          </w:tcPr>
          <w:p w:rsidR="00CA6887" w:rsidRPr="00CE0F5F" w:rsidRDefault="00CA6887" w:rsidP="00124599">
            <w:pPr>
              <w:pStyle w:val="NoSpacing"/>
              <w:rPr>
                <w:rFonts w:asciiTheme="minorHAnsi" w:hAnsiTheme="minorHAnsi" w:cs="Arial"/>
                <w:b/>
                <w:color w:val="000000"/>
                <w:sz w:val="18"/>
                <w:szCs w:val="18"/>
              </w:rPr>
            </w:pPr>
            <w:r w:rsidRPr="00CE0F5F">
              <w:rPr>
                <w:rFonts w:asciiTheme="minorHAnsi" w:hAnsiTheme="minorHAnsi"/>
                <w:b/>
                <w:sz w:val="18"/>
                <w:szCs w:val="18"/>
              </w:rPr>
              <w:t>Financial plan</w:t>
            </w:r>
          </w:p>
        </w:tc>
        <w:tc>
          <w:tcPr>
            <w:tcW w:w="6946" w:type="dxa"/>
            <w:shd w:val="clear" w:color="auto" w:fill="DDD9C3" w:themeFill="background2" w:themeFillShade="E6"/>
          </w:tcPr>
          <w:p w:rsidR="00CA6887" w:rsidRPr="00CE0F5F" w:rsidRDefault="00CA6887" w:rsidP="00124599">
            <w:pPr>
              <w:rPr>
                <w:rFonts w:asciiTheme="minorHAnsi" w:hAnsiTheme="minorHAnsi"/>
                <w:sz w:val="18"/>
                <w:szCs w:val="18"/>
              </w:rPr>
            </w:pPr>
            <w:r w:rsidRPr="00CE0F5F">
              <w:rPr>
                <w:rFonts w:asciiTheme="minorHAnsi" w:hAnsiTheme="minorHAnsi"/>
                <w:sz w:val="18"/>
                <w:szCs w:val="18"/>
              </w:rPr>
              <w:t xml:space="preserve">The Trust has delivered the plan with significant improvements made in year in the delivery of recurrent savings.  </w:t>
            </w:r>
          </w:p>
          <w:p w:rsidR="00CA6887" w:rsidRPr="00CE0F5F" w:rsidRDefault="00CA6887" w:rsidP="00124599">
            <w:pPr>
              <w:pStyle w:val="NoSpacing"/>
              <w:rPr>
                <w:rFonts w:asciiTheme="minorHAnsi" w:hAnsiTheme="minorHAnsi" w:cs="Arial"/>
                <w:color w:val="000000"/>
                <w:sz w:val="18"/>
                <w:szCs w:val="18"/>
              </w:rPr>
            </w:pPr>
          </w:p>
        </w:tc>
      </w:tr>
    </w:tbl>
    <w:p w:rsidR="00CA6887" w:rsidRPr="00CE0F5F" w:rsidRDefault="00CA6887" w:rsidP="00CA6887">
      <w:pPr>
        <w:pStyle w:val="NoSpacing"/>
        <w:rPr>
          <w:rFonts w:asciiTheme="minorHAnsi" w:hAnsiTheme="minorHAnsi" w:cs="Arial"/>
          <w:color w:val="000000"/>
        </w:rPr>
      </w:pPr>
    </w:p>
    <w:p w:rsidR="00CA6887" w:rsidRPr="00CE0F5F" w:rsidRDefault="00CA6887" w:rsidP="00CA6887">
      <w:pPr>
        <w:autoSpaceDE w:val="0"/>
        <w:autoSpaceDN w:val="0"/>
        <w:adjustRightInd w:val="0"/>
        <w:rPr>
          <w:rFonts w:cs="Arial"/>
          <w:bCs/>
          <w:sz w:val="20"/>
          <w:szCs w:val="20"/>
        </w:rPr>
      </w:pPr>
    </w:p>
    <w:p w:rsidR="00CA6887" w:rsidRPr="00CE0F5F" w:rsidRDefault="00CA6887" w:rsidP="00CA6887">
      <w:pPr>
        <w:rPr>
          <w:rFonts w:cs="Arial"/>
          <w:lang w:val="en-GB"/>
        </w:rPr>
      </w:pPr>
      <w:r w:rsidRPr="00CE0F5F">
        <w:rPr>
          <w:rFonts w:cs="Arial"/>
          <w:lang w:val="en-GB"/>
        </w:rPr>
        <w:t>The environment in which health and social care services nationally and specifically within North Somerset and Sedgemoor are operating is becoming increasingly complex.  Analysis of national and local drivers for ch</w:t>
      </w:r>
      <w:r w:rsidR="00A940C8">
        <w:rPr>
          <w:rFonts w:cs="Arial"/>
          <w:lang w:val="en-GB"/>
        </w:rPr>
        <w:t xml:space="preserve">ange clearly demonstrates that </w:t>
      </w:r>
      <w:r w:rsidRPr="00CE0F5F">
        <w:rPr>
          <w:rFonts w:cs="Arial"/>
          <w:lang w:val="en-GB"/>
        </w:rPr>
        <w:t xml:space="preserve">existing single organisation-focussed responses will be insufficient to meet the challenges facing health and social care services and that instead there needs to be a fundamental redesign of the way in which these services are delivered.   </w:t>
      </w:r>
    </w:p>
    <w:p w:rsidR="00CA6887" w:rsidRPr="00CE0F5F" w:rsidRDefault="00CA6887" w:rsidP="00CA6887">
      <w:pPr>
        <w:rPr>
          <w:rFonts w:cs="Arial"/>
          <w:lang w:val="en-GB"/>
        </w:rPr>
      </w:pPr>
    </w:p>
    <w:p w:rsidR="00CA6887" w:rsidRPr="00CE0F5F" w:rsidRDefault="00CA6887" w:rsidP="00CA6887">
      <w:pPr>
        <w:rPr>
          <w:rFonts w:cs="Arial"/>
          <w:lang w:val="en-GB"/>
        </w:rPr>
      </w:pPr>
      <w:r w:rsidRPr="00CE0F5F">
        <w:rPr>
          <w:rFonts w:cs="Arial"/>
          <w:lang w:val="en-GB"/>
        </w:rPr>
        <w:t>These drivers include:</w:t>
      </w:r>
    </w:p>
    <w:p w:rsidR="00CA6887" w:rsidRPr="00CE0F5F" w:rsidRDefault="00CA6887" w:rsidP="00CA6887">
      <w:pPr>
        <w:numPr>
          <w:ilvl w:val="0"/>
          <w:numId w:val="7"/>
        </w:numPr>
        <w:tabs>
          <w:tab w:val="clear" w:pos="720"/>
        </w:tabs>
        <w:ind w:left="1136" w:hanging="426"/>
        <w:rPr>
          <w:rFonts w:cs="Arial"/>
        </w:rPr>
      </w:pPr>
      <w:r w:rsidRPr="00CE0F5F">
        <w:rPr>
          <w:rFonts w:cs="Arial"/>
        </w:rPr>
        <w:t xml:space="preserve">local and regional population projected growth and increasing aging population suggesting </w:t>
      </w:r>
      <w:r w:rsidR="0072588E">
        <w:rPr>
          <w:rFonts w:cs="Arial"/>
        </w:rPr>
        <w:t xml:space="preserve"> increasing demand for services,</w:t>
      </w:r>
    </w:p>
    <w:p w:rsidR="00CA6887" w:rsidRPr="00CE0F5F" w:rsidRDefault="00CA6887" w:rsidP="00CA6887">
      <w:pPr>
        <w:numPr>
          <w:ilvl w:val="0"/>
          <w:numId w:val="7"/>
        </w:numPr>
        <w:autoSpaceDE w:val="0"/>
        <w:autoSpaceDN w:val="0"/>
        <w:adjustRightInd w:val="0"/>
        <w:ind w:left="1136" w:hanging="426"/>
        <w:rPr>
          <w:rFonts w:cs="Arial"/>
        </w:rPr>
      </w:pPr>
      <w:r w:rsidRPr="00CE0F5F">
        <w:rPr>
          <w:rFonts w:cs="Arial"/>
        </w:rPr>
        <w:t>increasing economic constraints and a local commissioning intent which seeks to reduce activity within the Trust  and the potential challenge in terms of managing demand and critical mass and interdependencies between specialties arising from these reductions,</w:t>
      </w:r>
    </w:p>
    <w:p w:rsidR="00CA6887" w:rsidRPr="00CE0F5F" w:rsidRDefault="00CA6887" w:rsidP="00CA6887">
      <w:pPr>
        <w:numPr>
          <w:ilvl w:val="0"/>
          <w:numId w:val="7"/>
        </w:numPr>
        <w:tabs>
          <w:tab w:val="clear" w:pos="720"/>
        </w:tabs>
        <w:ind w:left="1136" w:hanging="426"/>
        <w:rPr>
          <w:rFonts w:cs="Arial"/>
        </w:rPr>
      </w:pPr>
      <w:proofErr w:type="gramStart"/>
      <w:r w:rsidRPr="00CE0F5F">
        <w:rPr>
          <w:rFonts w:cs="Arial"/>
        </w:rPr>
        <w:t>changes</w:t>
      </w:r>
      <w:proofErr w:type="gramEnd"/>
      <w:r w:rsidRPr="00CE0F5F">
        <w:rPr>
          <w:rFonts w:cs="Arial"/>
        </w:rPr>
        <w:t xml:space="preserve"> to medical training and national recruitment problems in some clinical specialties</w:t>
      </w:r>
      <w:r w:rsidR="0072588E">
        <w:rPr>
          <w:rFonts w:cs="Arial"/>
        </w:rPr>
        <w:t>.</w:t>
      </w:r>
    </w:p>
    <w:p w:rsidR="00CA6887" w:rsidRPr="00CE0F5F" w:rsidRDefault="00CA6887" w:rsidP="00CA6887">
      <w:pPr>
        <w:rPr>
          <w:rFonts w:cs="Arial"/>
          <w:lang w:val="en-GB"/>
        </w:rPr>
      </w:pPr>
    </w:p>
    <w:p w:rsidR="00CA6887" w:rsidRPr="00CE0F5F" w:rsidRDefault="00CA6887" w:rsidP="00CA6887">
      <w:r w:rsidRPr="00CE0F5F">
        <w:rPr>
          <w:rFonts w:cs="Arial"/>
        </w:rPr>
        <w:t xml:space="preserve">Work undertaken by the Weston Area Health NHS Trust in partnership with NHS North Somerset over the last few years has demonstrated that Weston Area Health NHS Trust, as a </w:t>
      </w:r>
      <w:proofErr w:type="spellStart"/>
      <w:r w:rsidRPr="00CE0F5F">
        <w:rPr>
          <w:rFonts w:cs="Arial"/>
        </w:rPr>
        <w:t>stand</w:t>
      </w:r>
      <w:r w:rsidR="0072588E">
        <w:rPr>
          <w:rFonts w:cs="Arial"/>
        </w:rPr>
        <w:t xml:space="preserve"> alone</w:t>
      </w:r>
      <w:proofErr w:type="spellEnd"/>
      <w:r w:rsidR="0072588E">
        <w:rPr>
          <w:rFonts w:cs="Arial"/>
        </w:rPr>
        <w:t xml:space="preserve"> entity, and as an Integrated C</w:t>
      </w:r>
      <w:r w:rsidRPr="00CE0F5F">
        <w:rPr>
          <w:rFonts w:cs="Arial"/>
        </w:rPr>
        <w:t xml:space="preserve">are Organisation in partnership with other local health and social care provider organisations is unable to satisfy the financial requirements required to achieve Foundation </w:t>
      </w:r>
      <w:r w:rsidR="0072588E">
        <w:rPr>
          <w:rFonts w:cs="Arial"/>
        </w:rPr>
        <w:t xml:space="preserve">Trust </w:t>
      </w:r>
      <w:r w:rsidRPr="00CE0F5F">
        <w:rPr>
          <w:rFonts w:cs="Arial"/>
        </w:rPr>
        <w:t xml:space="preserve">status.  </w:t>
      </w:r>
    </w:p>
    <w:p w:rsidR="00CA6887" w:rsidRPr="00CE0F5F" w:rsidRDefault="00CA6887" w:rsidP="00CA6887">
      <w:pPr>
        <w:rPr>
          <w:rFonts w:cs="Arial"/>
        </w:rPr>
      </w:pPr>
    </w:p>
    <w:p w:rsidR="00CA6887" w:rsidRPr="00CE0F5F" w:rsidRDefault="00CA6887" w:rsidP="00CA6887">
      <w:pPr>
        <w:rPr>
          <w:rFonts w:cs="Arial"/>
          <w:b/>
        </w:rPr>
      </w:pPr>
      <w:r w:rsidRPr="00CE0F5F">
        <w:rPr>
          <w:rFonts w:cs="Arial"/>
        </w:rPr>
        <w:t xml:space="preserve">At a meeting with NHS South </w:t>
      </w:r>
      <w:r w:rsidR="00D82992">
        <w:rPr>
          <w:rFonts w:cs="Arial"/>
        </w:rPr>
        <w:t xml:space="preserve">West Health Authority </w:t>
      </w:r>
      <w:r w:rsidRPr="00CE0F5F">
        <w:rPr>
          <w:rFonts w:cs="Arial"/>
        </w:rPr>
        <w:t>on 1 October 2012, it was therefore agreed that a strategic partner should be sought for Weston Area Health NHS Trust by testing the ma</w:t>
      </w:r>
      <w:r w:rsidR="0072588E">
        <w:rPr>
          <w:rFonts w:cs="Arial"/>
        </w:rPr>
        <w:t xml:space="preserve">rket and running a procurement process.  </w:t>
      </w:r>
      <w:r w:rsidRPr="00CE0F5F">
        <w:rPr>
          <w:rFonts w:cs="Helvetica"/>
          <w:color w:val="000000"/>
        </w:rPr>
        <w:t>However, delays arising due to a procurement “pipeline” and concerns that t</w:t>
      </w:r>
      <w:r w:rsidRPr="00CE0F5F">
        <w:t>here was no certainty regarding the likely approvals timescales impacting adversely on the ability of the Tru</w:t>
      </w:r>
      <w:r w:rsidR="0072588E">
        <w:t xml:space="preserve">st to retain </w:t>
      </w:r>
      <w:r w:rsidR="0072588E">
        <w:lastRenderedPageBreak/>
        <w:t xml:space="preserve">and recruit staff </w:t>
      </w:r>
      <w:r w:rsidRPr="00CE0F5F">
        <w:t xml:space="preserve">resulted in consideration and subsequently approval being given by the NHS Trust Development Authority (NTDA) to an NHS-only procurement route </w:t>
      </w:r>
      <w:r w:rsidR="00D82992">
        <w:t xml:space="preserve">- </w:t>
      </w:r>
      <w:r w:rsidRPr="00CE0F5F">
        <w:rPr>
          <w:rFonts w:cs="Arial"/>
          <w:szCs w:val="20"/>
        </w:rPr>
        <w:t>to enable the Trust to achieve the clinical and financial sustainability needed for the local population.</w:t>
      </w:r>
    </w:p>
    <w:p w:rsidR="00CA6887" w:rsidRPr="00CE0F5F" w:rsidRDefault="00CA6887" w:rsidP="00CA6887"/>
    <w:p w:rsidR="00CA6887" w:rsidRPr="00CE0F5F" w:rsidRDefault="00CA6887" w:rsidP="00CA6887">
      <w:r w:rsidRPr="00CE0F5F">
        <w:t>The move to an NHS-only transaction o</w:t>
      </w:r>
      <w:r w:rsidR="00D82992">
        <w:t xml:space="preserve">ffers the benefits of scale to </w:t>
      </w:r>
      <w:r w:rsidRPr="00CE0F5F">
        <w:t>ensure economic and effective clinical service delivery with the continuing local delivery of most services</w:t>
      </w:r>
      <w:r w:rsidR="00D82992">
        <w:t xml:space="preserve">. In addition, </w:t>
      </w:r>
      <w:r w:rsidRPr="00CE0F5F">
        <w:t>formal integration may help to sustain the long-term viability of smaller specialties where opportunity for sub-specialisation is high, thereby improving the range of services available, making some posts more attractive.    The potential to develop, over time, specialist services from a larger pool of professional skills and resources, thereby improving the range of services currently provided may also ensure improved recruitment and retention of staff through enhanced opportunities for staff training, continuing professional development, research and improved career paths.</w:t>
      </w:r>
    </w:p>
    <w:p w:rsidR="00CA6887" w:rsidRPr="00CE0F5F" w:rsidRDefault="00CA6887" w:rsidP="00CA6887">
      <w:pPr>
        <w:rPr>
          <w:rFonts w:cs="Arial"/>
        </w:rPr>
      </w:pPr>
    </w:p>
    <w:p w:rsidR="00CA6887" w:rsidRPr="00CE0F5F" w:rsidRDefault="00CA6887" w:rsidP="00CA6887">
      <w:pPr>
        <w:rPr>
          <w:rFonts w:cs="Arial"/>
        </w:rPr>
      </w:pPr>
      <w:r w:rsidRPr="00CE0F5F">
        <w:rPr>
          <w:rFonts w:cs="Arial"/>
        </w:rPr>
        <w:t>In June 2014, the NTDA and the Trust issued a notice to 14 local Foundation Trusts and NHS Trusts inviting expressions of interest in participating in a Divestment Project: Process to Find a Statutory Acquirer or Merger Partner for Weston Area Health NHS Trust.  Expressions of interest were received from University Hospitals Bristol NHS Foundation Trust, Taunton and Somerset NHS Foundation Trust and Somerset Partnership NHS Foundation Trust.   I</w:t>
      </w:r>
      <w:r w:rsidR="003A461A">
        <w:rPr>
          <w:rFonts w:cs="Arial"/>
        </w:rPr>
        <w:t>n August 2014 an Invitation to P</w:t>
      </w:r>
      <w:r w:rsidRPr="00CE0F5F">
        <w:rPr>
          <w:rFonts w:cs="Arial"/>
        </w:rPr>
        <w:t>articipate (ITP) was se</w:t>
      </w:r>
      <w:r w:rsidR="003A461A">
        <w:rPr>
          <w:rFonts w:cs="Arial"/>
        </w:rPr>
        <w:t>nt to these three organizations.</w:t>
      </w:r>
      <w:r w:rsidRPr="00CE0F5F">
        <w:rPr>
          <w:rFonts w:cs="Arial"/>
        </w:rPr>
        <w:t xml:space="preserve"> One organisation, Taunton &amp; Somerset NHS Foundation Trust, submitted a response. </w:t>
      </w:r>
    </w:p>
    <w:p w:rsidR="00CA6887" w:rsidRPr="00CE0F5F" w:rsidRDefault="00CA6887" w:rsidP="00CA6887">
      <w:pPr>
        <w:pStyle w:val="Default"/>
        <w:rPr>
          <w:rFonts w:cs="Arial"/>
          <w:sz w:val="22"/>
          <w:szCs w:val="22"/>
        </w:rPr>
      </w:pPr>
    </w:p>
    <w:p w:rsidR="00CA6887" w:rsidRPr="00CE0F5F" w:rsidRDefault="00CA6887" w:rsidP="00CA6887">
      <w:pPr>
        <w:rPr>
          <w:rFonts w:cs="Arial"/>
        </w:rPr>
      </w:pPr>
      <w:r w:rsidRPr="00CE0F5F">
        <w:rPr>
          <w:rFonts w:cs="Arial"/>
        </w:rPr>
        <w:t xml:space="preserve">The submission was evaluated against the Financial, Legal, Patient Experience, Service Quality, Service Range and Integration, Workforce, Infrastructure and Administrative Support Service, and </w:t>
      </w:r>
      <w:proofErr w:type="spellStart"/>
      <w:r w:rsidRPr="00CE0F5F">
        <w:rPr>
          <w:rFonts w:cs="Arial"/>
        </w:rPr>
        <w:t>Mobilisation</w:t>
      </w:r>
      <w:proofErr w:type="spellEnd"/>
      <w:r w:rsidRPr="00CE0F5F">
        <w:rPr>
          <w:rFonts w:cs="Arial"/>
        </w:rPr>
        <w:t xml:space="preserve"> criteria described in the ITP.  A vendor legal and financial due diligence were also undertaken. The outcome of the evaluation process was a decision to invite Taunton &amp; Somerset NHS Foundation Trust to enter into negotiations.</w:t>
      </w:r>
    </w:p>
    <w:p w:rsidR="00CA6887" w:rsidRPr="00CE0F5F" w:rsidRDefault="00CA6887" w:rsidP="00CA6887">
      <w:pPr>
        <w:rPr>
          <w:rFonts w:cs="Arial"/>
        </w:rPr>
      </w:pPr>
    </w:p>
    <w:p w:rsidR="00CA6887" w:rsidRPr="00CE0F5F" w:rsidRDefault="00CA6887" w:rsidP="00CA6887">
      <w:pPr>
        <w:rPr>
          <w:rFonts w:cs="Arial"/>
        </w:rPr>
      </w:pPr>
      <w:r w:rsidRPr="00CE0F5F">
        <w:rPr>
          <w:rFonts w:cs="Arial"/>
        </w:rPr>
        <w:t xml:space="preserve">This position was agreed by the Transaction Board, endorsed by the Weston Area Health NHS Trust Board and subsequently by the NTDA at their respective meetings </w:t>
      </w:r>
      <w:r w:rsidR="003A461A" w:rsidRPr="00CE0F5F">
        <w:rPr>
          <w:rFonts w:cs="Arial"/>
        </w:rPr>
        <w:t>in November</w:t>
      </w:r>
      <w:r w:rsidRPr="00CE0F5F">
        <w:rPr>
          <w:rFonts w:cs="Arial"/>
        </w:rPr>
        <w:t xml:space="preserve"> 2014.</w:t>
      </w:r>
    </w:p>
    <w:p w:rsidR="00CA6887" w:rsidRPr="00CE0F5F" w:rsidRDefault="00CA6887" w:rsidP="00CA6887">
      <w:pPr>
        <w:rPr>
          <w:rFonts w:cs="Arial"/>
        </w:rPr>
      </w:pPr>
    </w:p>
    <w:p w:rsidR="00CA6887" w:rsidRPr="00CE0F5F" w:rsidRDefault="00CA6887" w:rsidP="00CA6887">
      <w:pPr>
        <w:rPr>
          <w:rFonts w:cs="Arial"/>
        </w:rPr>
      </w:pPr>
      <w:r w:rsidRPr="00CE0F5F">
        <w:rPr>
          <w:rFonts w:cs="Arial"/>
        </w:rPr>
        <w:t>The objectives for this project are to:</w:t>
      </w:r>
    </w:p>
    <w:p w:rsidR="00CA6887" w:rsidRPr="00CE0F5F" w:rsidRDefault="003A461A" w:rsidP="00CA6887">
      <w:pPr>
        <w:pStyle w:val="ListParagraph"/>
        <w:numPr>
          <w:ilvl w:val="0"/>
          <w:numId w:val="31"/>
        </w:numPr>
        <w:tabs>
          <w:tab w:val="clear" w:pos="720"/>
          <w:tab w:val="num" w:pos="567"/>
        </w:tabs>
        <w:ind w:left="567" w:hanging="567"/>
        <w:rPr>
          <w:rFonts w:cs="Arial"/>
        </w:rPr>
      </w:pPr>
      <w:r>
        <w:rPr>
          <w:rFonts w:cs="Arial"/>
        </w:rPr>
        <w:t xml:space="preserve">Provide </w:t>
      </w:r>
      <w:r w:rsidR="00CA6887" w:rsidRPr="00CE0F5F">
        <w:rPr>
          <w:rFonts w:cs="Arial"/>
        </w:rPr>
        <w:t>a sustainable pattern of appropriate, high quality and safe services for all people in North Somerset and Sedgemoor currently served by the Trust by removing uncertainty concerning</w:t>
      </w:r>
      <w:r>
        <w:rPr>
          <w:rFonts w:cs="Arial"/>
        </w:rPr>
        <w:t xml:space="preserve"> the future of the hospital and</w:t>
      </w:r>
      <w:r w:rsidR="00CA6887" w:rsidRPr="00CE0F5F">
        <w:rPr>
          <w:rFonts w:cs="Arial"/>
        </w:rPr>
        <w:t xml:space="preserve"> improving the ability to fill, in </w:t>
      </w:r>
      <w:r>
        <w:rPr>
          <w:rFonts w:cs="Arial"/>
        </w:rPr>
        <w:t>particular, clinician vacancies,</w:t>
      </w:r>
    </w:p>
    <w:p w:rsidR="00CA6887" w:rsidRPr="00CE0F5F" w:rsidRDefault="00CA6887" w:rsidP="00CA6887">
      <w:pPr>
        <w:pStyle w:val="ListParagraph"/>
        <w:numPr>
          <w:ilvl w:val="0"/>
          <w:numId w:val="31"/>
        </w:numPr>
        <w:tabs>
          <w:tab w:val="clear" w:pos="720"/>
          <w:tab w:val="num" w:pos="567"/>
        </w:tabs>
        <w:spacing w:after="200" w:line="276" w:lineRule="auto"/>
        <w:ind w:left="567" w:hanging="567"/>
        <w:rPr>
          <w:rFonts w:cs="Arial"/>
        </w:rPr>
      </w:pPr>
      <w:r w:rsidRPr="00CE0F5F">
        <w:rPr>
          <w:rFonts w:cs="Arial"/>
        </w:rPr>
        <w:t>Address strategic challenges relating to local demographics, national policy and local str</w:t>
      </w:r>
      <w:r w:rsidR="003A461A">
        <w:rPr>
          <w:rFonts w:cs="Arial"/>
        </w:rPr>
        <w:t>ategic and commissioning intent,</w:t>
      </w:r>
    </w:p>
    <w:p w:rsidR="00CA6887" w:rsidRPr="00CE0F5F" w:rsidRDefault="00CA6887" w:rsidP="00CA6887">
      <w:pPr>
        <w:pStyle w:val="ListParagraph"/>
        <w:numPr>
          <w:ilvl w:val="0"/>
          <w:numId w:val="31"/>
        </w:numPr>
        <w:tabs>
          <w:tab w:val="clear" w:pos="720"/>
          <w:tab w:val="num" w:pos="567"/>
        </w:tabs>
        <w:spacing w:after="200"/>
        <w:ind w:left="567" w:hanging="567"/>
        <w:rPr>
          <w:rFonts w:cs="Arial"/>
        </w:rPr>
      </w:pPr>
      <w:r w:rsidRPr="00CE0F5F">
        <w:rPr>
          <w:rFonts w:cs="Arial"/>
        </w:rPr>
        <w:t>Address strategic and operational medical staffing issues including increasing specialisation, requirement for 24/7 senior doctor cover, planned Junior Doctor reductions by the Deanery, national shortages within some specialties, the difficulty in offering attractive job plans in a smaller DGH offering limited service range, and re</w:t>
      </w:r>
      <w:r w:rsidR="003A461A">
        <w:rPr>
          <w:rFonts w:cs="Arial"/>
        </w:rPr>
        <w:t>liance on locum clinical staff,</w:t>
      </w:r>
    </w:p>
    <w:p w:rsidR="00CA6887" w:rsidRPr="00CE0F5F" w:rsidRDefault="00CA6887" w:rsidP="00CA6887">
      <w:pPr>
        <w:pStyle w:val="ListParagraph"/>
        <w:numPr>
          <w:ilvl w:val="0"/>
          <w:numId w:val="31"/>
        </w:numPr>
        <w:tabs>
          <w:tab w:val="clear" w:pos="720"/>
          <w:tab w:val="num" w:pos="567"/>
        </w:tabs>
        <w:spacing w:after="200"/>
        <w:ind w:left="567" w:hanging="567"/>
        <w:rPr>
          <w:rFonts w:cs="Arial"/>
        </w:rPr>
      </w:pPr>
      <w:r w:rsidRPr="00CE0F5F">
        <w:rPr>
          <w:rFonts w:cs="Arial"/>
        </w:rPr>
        <w:t xml:space="preserve">Commit the maximum spend on services, and the minimum spend on overhead and support the delivery of financial balance within the North Somerset Health Care System by improving economies of scale </w:t>
      </w:r>
      <w:r w:rsidR="003A461A">
        <w:rPr>
          <w:rFonts w:cs="Arial"/>
        </w:rPr>
        <w:t>and so deliver value for money,</w:t>
      </w:r>
      <w:r w:rsidRPr="00CE0F5F">
        <w:rPr>
          <w:rFonts w:cs="Arial"/>
        </w:rPr>
        <w:t xml:space="preserve"> </w:t>
      </w:r>
    </w:p>
    <w:p w:rsidR="00CA6887" w:rsidRPr="00CE0F5F" w:rsidRDefault="003A461A" w:rsidP="00CA6887">
      <w:pPr>
        <w:pStyle w:val="ListParagraph"/>
        <w:numPr>
          <w:ilvl w:val="0"/>
          <w:numId w:val="31"/>
        </w:numPr>
        <w:tabs>
          <w:tab w:val="clear" w:pos="720"/>
          <w:tab w:val="num" w:pos="567"/>
        </w:tabs>
        <w:spacing w:after="200"/>
        <w:ind w:left="567" w:hanging="567"/>
        <w:rPr>
          <w:rFonts w:cs="Arial"/>
        </w:rPr>
      </w:pPr>
      <w:r>
        <w:rPr>
          <w:rFonts w:cs="Arial"/>
        </w:rPr>
        <w:t>Deliver value for money</w:t>
      </w:r>
      <w:r w:rsidR="00CA6887" w:rsidRPr="00CE0F5F">
        <w:rPr>
          <w:rFonts w:cs="Arial"/>
        </w:rPr>
        <w:t xml:space="preserve"> and a balanced financial position by year 3.</w:t>
      </w:r>
    </w:p>
    <w:p w:rsidR="00CA6887" w:rsidRPr="00CE0F5F" w:rsidRDefault="00CA6887" w:rsidP="00CA6887">
      <w:pPr>
        <w:rPr>
          <w:rFonts w:cs="Arial"/>
          <w:lang w:val="en-GB"/>
        </w:rPr>
      </w:pPr>
    </w:p>
    <w:p w:rsidR="003A461A" w:rsidRDefault="00CA6887" w:rsidP="00CA6887">
      <w:pPr>
        <w:rPr>
          <w:rFonts w:cs="Arial"/>
          <w:lang w:val="en-GB"/>
        </w:rPr>
      </w:pPr>
      <w:r w:rsidRPr="00CE0F5F">
        <w:rPr>
          <w:rFonts w:cs="Arial"/>
          <w:lang w:val="en-GB"/>
        </w:rPr>
        <w:t>In addition to managing the transition to a new organisation, the Trust will als</w:t>
      </w:r>
      <w:r w:rsidR="003A461A">
        <w:rPr>
          <w:rFonts w:cs="Arial"/>
          <w:lang w:val="en-GB"/>
        </w:rPr>
        <w:t xml:space="preserve">o need to focus during the coming </w:t>
      </w:r>
      <w:r w:rsidRPr="00CE0F5F">
        <w:rPr>
          <w:rFonts w:cs="Arial"/>
          <w:lang w:val="en-GB"/>
        </w:rPr>
        <w:t xml:space="preserve">months on continuing to deliver high quality services and meet new operational standards detailed within the NHS Five Year Forward View and The Forward View into Action - Planning for 2015/16.    </w:t>
      </w:r>
    </w:p>
    <w:p w:rsidR="003A461A" w:rsidRDefault="003A461A" w:rsidP="00CA6887">
      <w:pPr>
        <w:rPr>
          <w:rFonts w:cs="Arial"/>
          <w:lang w:val="en-GB"/>
        </w:rPr>
      </w:pPr>
    </w:p>
    <w:p w:rsidR="00CA6887" w:rsidRPr="00CE0F5F" w:rsidRDefault="00CA6887" w:rsidP="00CA6887">
      <w:pPr>
        <w:rPr>
          <w:rFonts w:cs="Arial"/>
          <w:lang w:val="en-GB"/>
        </w:rPr>
      </w:pPr>
      <w:r w:rsidRPr="00CE0F5F">
        <w:rPr>
          <w:rFonts w:cs="Arial"/>
          <w:lang w:val="en-GB"/>
        </w:rPr>
        <w:t>The operational strategy for the forthcoming year remains predicated on five key areas of focus:</w:t>
      </w:r>
    </w:p>
    <w:p w:rsidR="00CA6887" w:rsidRPr="00CE0F5F" w:rsidRDefault="00CA6887" w:rsidP="00CA6887">
      <w:pPr>
        <w:ind w:left="1080"/>
        <w:rPr>
          <w:rFonts w:cs="Arial"/>
        </w:rPr>
      </w:pPr>
    </w:p>
    <w:p w:rsidR="00CA6887" w:rsidRPr="00CE0F5F" w:rsidRDefault="00CA6887" w:rsidP="00CA6887">
      <w:pPr>
        <w:numPr>
          <w:ilvl w:val="0"/>
          <w:numId w:val="8"/>
        </w:numPr>
        <w:ind w:left="567" w:hanging="567"/>
        <w:rPr>
          <w:rFonts w:cs="Arial"/>
          <w:bCs/>
        </w:rPr>
      </w:pPr>
      <w:r w:rsidRPr="00CE0F5F">
        <w:rPr>
          <w:rFonts w:cs="Arial"/>
          <w:bCs/>
        </w:rPr>
        <w:t>Ensuring that people have a positive experience of care, being treated in a safe environme</w:t>
      </w:r>
      <w:r w:rsidR="003A461A">
        <w:rPr>
          <w:rFonts w:cs="Arial"/>
          <w:bCs/>
        </w:rPr>
        <w:t>nt that protects them from harm,</w:t>
      </w:r>
    </w:p>
    <w:p w:rsidR="00CA6887" w:rsidRPr="00CE0F5F" w:rsidRDefault="00CA6887" w:rsidP="00CA6887">
      <w:pPr>
        <w:numPr>
          <w:ilvl w:val="0"/>
          <w:numId w:val="8"/>
        </w:numPr>
        <w:ind w:left="567" w:hanging="567"/>
        <w:rPr>
          <w:rFonts w:cs="Arial"/>
        </w:rPr>
      </w:pPr>
      <w:r w:rsidRPr="00CE0F5F">
        <w:rPr>
          <w:rFonts w:cs="Arial"/>
        </w:rPr>
        <w:lastRenderedPageBreak/>
        <w:t>Providing a flexible workforce with the capacity and capability to deliver high standards of patient care in l</w:t>
      </w:r>
      <w:r w:rsidR="003A461A">
        <w:rPr>
          <w:rFonts w:cs="Arial"/>
        </w:rPr>
        <w:t>ine with changing service needs,</w:t>
      </w:r>
    </w:p>
    <w:p w:rsidR="00CA6887" w:rsidRPr="00CE0F5F" w:rsidRDefault="00CA6887" w:rsidP="00CA6887">
      <w:pPr>
        <w:numPr>
          <w:ilvl w:val="0"/>
          <w:numId w:val="8"/>
        </w:numPr>
        <w:ind w:left="567" w:hanging="567"/>
        <w:rPr>
          <w:rFonts w:cs="Arial"/>
        </w:rPr>
      </w:pPr>
      <w:r w:rsidRPr="00CE0F5F">
        <w:rPr>
          <w:rFonts w:cs="Arial"/>
        </w:rPr>
        <w:t>Providing efficient and effective services, affordable and desi</w:t>
      </w:r>
      <w:r w:rsidR="003A461A">
        <w:rPr>
          <w:rFonts w:cs="Arial"/>
        </w:rPr>
        <w:t>rable to patients and referrers,</w:t>
      </w:r>
    </w:p>
    <w:p w:rsidR="00CA6887" w:rsidRPr="00CE0F5F" w:rsidRDefault="00CA6887" w:rsidP="00CA6887">
      <w:pPr>
        <w:numPr>
          <w:ilvl w:val="0"/>
          <w:numId w:val="8"/>
        </w:numPr>
        <w:ind w:left="567" w:hanging="567"/>
        <w:jc w:val="left"/>
        <w:rPr>
          <w:rFonts w:cs="Arial"/>
        </w:rPr>
      </w:pPr>
      <w:r w:rsidRPr="00CE0F5F">
        <w:rPr>
          <w:rFonts w:cs="Arial"/>
        </w:rPr>
        <w:t>Providing  affordable services an</w:t>
      </w:r>
      <w:r w:rsidR="003A461A">
        <w:rPr>
          <w:rFonts w:cs="Arial"/>
        </w:rPr>
        <w:t>d demonstrating value for money,</w:t>
      </w:r>
    </w:p>
    <w:p w:rsidR="00CA6887" w:rsidRPr="00CE0F5F" w:rsidRDefault="00CA6887" w:rsidP="00CA6887">
      <w:pPr>
        <w:numPr>
          <w:ilvl w:val="0"/>
          <w:numId w:val="8"/>
        </w:numPr>
        <w:ind w:left="567" w:hanging="567"/>
        <w:rPr>
          <w:rFonts w:cs="Arial"/>
          <w:i/>
          <w:iCs/>
        </w:rPr>
      </w:pPr>
      <w:r w:rsidRPr="00CE0F5F">
        <w:rPr>
          <w:rFonts w:cs="Arial"/>
          <w:iCs/>
        </w:rPr>
        <w:t xml:space="preserve">Delivering the actions required to ensure successful completion of the transaction and secure the future delivery of clinically and financially sustainable and viable services. </w:t>
      </w:r>
    </w:p>
    <w:p w:rsidR="00CA6887" w:rsidRPr="00CE0F5F" w:rsidRDefault="00CA6887" w:rsidP="00CA6887">
      <w:pPr>
        <w:rPr>
          <w:rFonts w:cs="Arial"/>
          <w:color w:val="FF0000"/>
          <w:sz w:val="16"/>
          <w:szCs w:val="16"/>
        </w:rPr>
      </w:pPr>
    </w:p>
    <w:p w:rsidR="00CA6887" w:rsidRDefault="00CA6887" w:rsidP="00CA6887">
      <w:pPr>
        <w:autoSpaceDE w:val="0"/>
        <w:autoSpaceDN w:val="0"/>
        <w:adjustRightInd w:val="0"/>
        <w:rPr>
          <w:rFonts w:cs="Arial"/>
          <w:bCs/>
        </w:rPr>
      </w:pPr>
      <w:r w:rsidRPr="00CE0F5F">
        <w:rPr>
          <w:rFonts w:cs="Arial"/>
          <w:bCs/>
        </w:rPr>
        <w:t>The strategic and operational objectives for th</w:t>
      </w:r>
      <w:r w:rsidR="003A461A">
        <w:rPr>
          <w:rFonts w:cs="Arial"/>
          <w:bCs/>
        </w:rPr>
        <w:t>e forthcoming year remain</w:t>
      </w:r>
      <w:r w:rsidRPr="00CE0F5F">
        <w:rPr>
          <w:rFonts w:cs="Arial"/>
          <w:bCs/>
        </w:rPr>
        <w:t>.  Each operational objective is underpinned by a range of activities which will support delivery of the objective, taking into account new national imperatives.  This work is detailed in the Trust’s operational plan for 2015/16.</w:t>
      </w:r>
      <w:r>
        <w:rPr>
          <w:rFonts w:cs="Arial"/>
          <w:bCs/>
        </w:rPr>
        <w:t xml:space="preserve"> </w:t>
      </w:r>
    </w:p>
    <w:p w:rsidR="00CA6887" w:rsidRPr="00A01DC3" w:rsidRDefault="00CA6887" w:rsidP="00CA6887">
      <w:pPr>
        <w:rPr>
          <w:rFonts w:cs="Arial"/>
          <w:color w:val="FF0000"/>
          <w:sz w:val="16"/>
          <w:szCs w:val="16"/>
        </w:rPr>
      </w:pPr>
    </w:p>
    <w:p w:rsidR="00F93ABB" w:rsidRPr="004E7A93" w:rsidRDefault="00F93ABB" w:rsidP="0096565E">
      <w:pPr>
        <w:pStyle w:val="Heading2"/>
      </w:pPr>
      <w:bookmarkStart w:id="21" w:name="_Toc293583977"/>
      <w:bookmarkStart w:id="22" w:name="_Toc325024768"/>
      <w:bookmarkStart w:id="23" w:name="_Toc326061973"/>
      <w:bookmarkStart w:id="24" w:name="_Toc387747646"/>
      <w:bookmarkEnd w:id="19"/>
      <w:bookmarkEnd w:id="20"/>
      <w:r w:rsidRPr="001573AE">
        <w:rPr>
          <w:lang w:val="en-GB"/>
        </w:rPr>
        <w:t xml:space="preserve">2.2.1. Improving </w:t>
      </w:r>
      <w:r>
        <w:t>Financial S</w:t>
      </w:r>
      <w:r w:rsidRPr="001573AE">
        <w:t>tanding</w:t>
      </w:r>
      <w:bookmarkEnd w:id="21"/>
      <w:bookmarkEnd w:id="22"/>
      <w:bookmarkEnd w:id="23"/>
      <w:bookmarkEnd w:id="24"/>
    </w:p>
    <w:p w:rsidR="00F93ABB" w:rsidRDefault="00F93ABB" w:rsidP="008905C9">
      <w:pPr>
        <w:autoSpaceDE w:val="0"/>
        <w:autoSpaceDN w:val="0"/>
        <w:adjustRightInd w:val="0"/>
        <w:ind w:left="720" w:hanging="720"/>
        <w:rPr>
          <w:rFonts w:cs="Arial"/>
          <w:bCs/>
        </w:rPr>
      </w:pPr>
    </w:p>
    <w:p w:rsidR="0055730B" w:rsidRPr="008172CC" w:rsidRDefault="0055730B" w:rsidP="0055730B">
      <w:pPr>
        <w:pStyle w:val="BodyTextIndent2"/>
        <w:spacing w:line="240" w:lineRule="auto"/>
        <w:ind w:left="0"/>
        <w:rPr>
          <w:rFonts w:cs="Arial"/>
        </w:rPr>
      </w:pPr>
      <w:r w:rsidRPr="008172CC">
        <w:rPr>
          <w:rFonts w:cs="Arial"/>
        </w:rPr>
        <w:t>The Trust’s financial plan for 2014/15 was to achieve a planned year end deficit position of £4,950,000.</w:t>
      </w:r>
    </w:p>
    <w:p w:rsidR="0055730B" w:rsidRPr="008172CC" w:rsidRDefault="0055730B" w:rsidP="0055730B">
      <w:pPr>
        <w:pStyle w:val="BodyTextIndent2"/>
        <w:spacing w:line="240" w:lineRule="auto"/>
        <w:ind w:left="0"/>
        <w:rPr>
          <w:rFonts w:cs="Arial"/>
        </w:rPr>
      </w:pPr>
      <w:r w:rsidRPr="008172CC">
        <w:rPr>
          <w:rFonts w:cs="Arial"/>
        </w:rPr>
        <w:t xml:space="preserve">The Trust has reported a retained deficit of £4,456,000 in 2014/15. The retained deficit includes an impairment charge of £393,000 and the impact of the elimination of the donated assets reserve of £161,000. As per the Department of Health guidance on break even duty for NHS Trusts the costs relating to impairments and donated assets are excluded when measuring a Trusts breakeven performance see Note 43.1 of the Annual Accounts. Therefore taking this into account the Trust has achieved a deficit of £3,902,000 for the year which is an improvement of £1,048,000 when compared against the planned year end deficit position. </w:t>
      </w:r>
    </w:p>
    <w:p w:rsidR="0055730B" w:rsidRPr="008172CC" w:rsidRDefault="0055730B" w:rsidP="0055730B">
      <w:pPr>
        <w:pStyle w:val="BodyTextIndent2"/>
        <w:spacing w:line="240" w:lineRule="auto"/>
        <w:ind w:left="0"/>
        <w:rPr>
          <w:rFonts w:cs="Arial"/>
        </w:rPr>
      </w:pPr>
      <w:r w:rsidRPr="008172CC">
        <w:rPr>
          <w:rFonts w:cs="Arial"/>
        </w:rPr>
        <w:t xml:space="preserve">To get to this position savings of £4,504,000 were achieved during the year. The Trust has met or improved on its planned position over the previous three years, after taking into account the Department of Health guidance on break-even duty for NHS Trusts, £4,683,000 deficit (2013-14), £2,250,000 surplus (2012-13) and £3,610,000 surplus (2011-12). </w:t>
      </w:r>
    </w:p>
    <w:p w:rsidR="0055730B" w:rsidRPr="008172CC" w:rsidRDefault="0055730B" w:rsidP="0055730B">
      <w:pPr>
        <w:pStyle w:val="BodyTextIndent2"/>
        <w:spacing w:line="240" w:lineRule="auto"/>
        <w:ind w:left="0"/>
        <w:rPr>
          <w:rFonts w:cs="Arial"/>
        </w:rPr>
      </w:pPr>
      <w:r w:rsidRPr="008172CC">
        <w:rPr>
          <w:rFonts w:cs="Arial"/>
        </w:rPr>
        <w:t>The other statutory requirements of absorbing the rate of capital and managing external financing limit (EFL) and capital resource limits (CRL) were satisfactorily met.</w:t>
      </w:r>
    </w:p>
    <w:p w:rsidR="0055730B" w:rsidRPr="008172CC" w:rsidRDefault="0055730B" w:rsidP="0055730B">
      <w:pPr>
        <w:pStyle w:val="BodyTextIndent2"/>
        <w:spacing w:line="240" w:lineRule="auto"/>
        <w:ind w:left="0"/>
        <w:rPr>
          <w:rFonts w:cs="Arial"/>
        </w:rPr>
      </w:pPr>
      <w:r w:rsidRPr="008172CC">
        <w:rPr>
          <w:rFonts w:cs="Arial"/>
        </w:rPr>
        <w:t xml:space="preserve">The Trust is required to absorb the cost of capital at a rate of 3.5% of average relevant net assets. The rate is calculated as the percentage of dividends paid on public dividend capital, </w:t>
      </w:r>
      <w:r w:rsidRPr="008172CC">
        <w:rPr>
          <w:rFonts w:cs="Arial"/>
          <w:lang w:val="en-GB"/>
        </w:rPr>
        <w:t>totalling</w:t>
      </w:r>
      <w:r w:rsidRPr="008172CC">
        <w:rPr>
          <w:rFonts w:cs="Arial"/>
        </w:rPr>
        <w:t xml:space="preserve"> £1,8</w:t>
      </w:r>
      <w:r>
        <w:rPr>
          <w:rFonts w:cs="Arial"/>
        </w:rPr>
        <w:t>95</w:t>
      </w:r>
      <w:r w:rsidRPr="008172CC">
        <w:rPr>
          <w:rFonts w:cs="Arial"/>
        </w:rPr>
        <w:t>,000 when compared to the average relevant net assets of £5</w:t>
      </w:r>
      <w:r>
        <w:rPr>
          <w:rFonts w:cs="Arial"/>
        </w:rPr>
        <w:t>4</w:t>
      </w:r>
      <w:r w:rsidRPr="008172CC">
        <w:rPr>
          <w:rFonts w:cs="Arial"/>
        </w:rPr>
        <w:t>.</w:t>
      </w:r>
      <w:r>
        <w:rPr>
          <w:rFonts w:cs="Arial"/>
        </w:rPr>
        <w:t>2</w:t>
      </w:r>
      <w:r w:rsidRPr="008172CC">
        <w:rPr>
          <w:rFonts w:cs="Arial"/>
        </w:rPr>
        <w:t xml:space="preserve">m. </w:t>
      </w:r>
    </w:p>
    <w:p w:rsidR="0055730B" w:rsidRPr="008172CC" w:rsidRDefault="0055730B" w:rsidP="0055730B">
      <w:pPr>
        <w:pStyle w:val="BodyTextIndent2"/>
        <w:spacing w:line="240" w:lineRule="auto"/>
        <w:ind w:left="0"/>
        <w:rPr>
          <w:rFonts w:cs="Arial"/>
        </w:rPr>
      </w:pPr>
      <w:r w:rsidRPr="008172CC">
        <w:rPr>
          <w:rFonts w:cs="Arial"/>
        </w:rPr>
        <w:t>The EFL is a measure of the Trust’s change in its borrowings and cash balances during the year. The limit set for 201</w:t>
      </w:r>
      <w:r>
        <w:rPr>
          <w:rFonts w:cs="Arial"/>
        </w:rPr>
        <w:t>4</w:t>
      </w:r>
      <w:r w:rsidRPr="008172CC">
        <w:rPr>
          <w:rFonts w:cs="Arial"/>
        </w:rPr>
        <w:t>/1</w:t>
      </w:r>
      <w:r>
        <w:rPr>
          <w:rFonts w:cs="Arial"/>
        </w:rPr>
        <w:t>5</w:t>
      </w:r>
      <w:r w:rsidRPr="008172CC">
        <w:rPr>
          <w:rFonts w:cs="Arial"/>
        </w:rPr>
        <w:t xml:space="preserve"> was (£</w:t>
      </w:r>
      <w:r>
        <w:rPr>
          <w:rFonts w:cs="Arial"/>
        </w:rPr>
        <w:t>5</w:t>
      </w:r>
      <w:r w:rsidRPr="008172CC">
        <w:rPr>
          <w:rFonts w:cs="Arial"/>
        </w:rPr>
        <w:t>,</w:t>
      </w:r>
      <w:r>
        <w:rPr>
          <w:rFonts w:cs="Arial"/>
        </w:rPr>
        <w:t>292</w:t>
      </w:r>
      <w:r w:rsidRPr="008172CC">
        <w:rPr>
          <w:rFonts w:cs="Arial"/>
        </w:rPr>
        <w:t>,000), which meant the Trust needed to increase its cash or decrease borrowings by at least this amount.  This target was met.</w:t>
      </w:r>
    </w:p>
    <w:p w:rsidR="0055730B" w:rsidRPr="008172CC" w:rsidRDefault="0055730B" w:rsidP="0055730B">
      <w:pPr>
        <w:pStyle w:val="BodyTextIndent2"/>
        <w:spacing w:line="240" w:lineRule="auto"/>
        <w:ind w:left="0"/>
        <w:rPr>
          <w:rFonts w:cs="Arial"/>
        </w:rPr>
      </w:pPr>
      <w:r w:rsidRPr="008172CC">
        <w:rPr>
          <w:rFonts w:cs="Arial"/>
        </w:rPr>
        <w:t>The CRL is a control that measures capital expenditure against a limit set annually by the Department of Health and which the Trust is not allowed to exceed.  The limit for 201</w:t>
      </w:r>
      <w:r>
        <w:rPr>
          <w:rFonts w:cs="Arial"/>
        </w:rPr>
        <w:t>4</w:t>
      </w:r>
      <w:r w:rsidRPr="008172CC">
        <w:rPr>
          <w:rFonts w:cs="Arial"/>
        </w:rPr>
        <w:t>/1</w:t>
      </w:r>
      <w:r>
        <w:rPr>
          <w:rFonts w:cs="Arial"/>
        </w:rPr>
        <w:t>5</w:t>
      </w:r>
      <w:r w:rsidRPr="008172CC">
        <w:rPr>
          <w:rFonts w:cs="Arial"/>
        </w:rPr>
        <w:t xml:space="preserve"> was £3,</w:t>
      </w:r>
      <w:r>
        <w:rPr>
          <w:rFonts w:cs="Arial"/>
        </w:rPr>
        <w:t>982</w:t>
      </w:r>
      <w:r w:rsidRPr="008172CC">
        <w:rPr>
          <w:rFonts w:cs="Arial"/>
        </w:rPr>
        <w:t>,000 and the charge made against it was £1</w:t>
      </w:r>
      <w:r>
        <w:rPr>
          <w:rFonts w:cs="Arial"/>
        </w:rPr>
        <w:t>86</w:t>
      </w:r>
      <w:r w:rsidRPr="008172CC">
        <w:rPr>
          <w:rFonts w:cs="Arial"/>
        </w:rPr>
        <w:t>,000 below, and within an acceptable tolerance.</w:t>
      </w:r>
    </w:p>
    <w:p w:rsidR="0055730B" w:rsidRPr="0033429D" w:rsidRDefault="0055730B" w:rsidP="0055730B">
      <w:pPr>
        <w:pStyle w:val="BodyTextIndent2"/>
        <w:spacing w:line="240" w:lineRule="auto"/>
        <w:ind w:left="0"/>
        <w:rPr>
          <w:rFonts w:cs="Arial"/>
        </w:rPr>
      </w:pPr>
      <w:r w:rsidRPr="008172CC">
        <w:rPr>
          <w:rFonts w:cs="Arial"/>
        </w:rPr>
        <w:t>The Trust continued to strengthen its key controls in order to achieve these targets in 201</w:t>
      </w:r>
      <w:r>
        <w:rPr>
          <w:rFonts w:cs="Arial"/>
        </w:rPr>
        <w:t>4</w:t>
      </w:r>
      <w:r w:rsidRPr="008172CC">
        <w:rPr>
          <w:rFonts w:cs="Arial"/>
        </w:rPr>
        <w:t>/1</w:t>
      </w:r>
      <w:r>
        <w:rPr>
          <w:rFonts w:cs="Arial"/>
        </w:rPr>
        <w:t>5</w:t>
      </w:r>
      <w:r w:rsidRPr="008172CC">
        <w:rPr>
          <w:rFonts w:cs="Arial"/>
        </w:rPr>
        <w:t xml:space="preserve"> including, improvement in monitoring and reporting of activity and additional measures in year to control costs with delivery of a significant in year savings programme.</w:t>
      </w:r>
    </w:p>
    <w:p w:rsidR="008F0269" w:rsidRDefault="008F0269" w:rsidP="008905C9">
      <w:pPr>
        <w:autoSpaceDE w:val="0"/>
        <w:autoSpaceDN w:val="0"/>
        <w:adjustRightInd w:val="0"/>
        <w:ind w:left="720" w:hanging="720"/>
        <w:rPr>
          <w:rFonts w:cs="Arial"/>
          <w:b/>
          <w:bCs/>
        </w:rPr>
      </w:pPr>
    </w:p>
    <w:p w:rsidR="00F93ABB" w:rsidRPr="001573AE" w:rsidRDefault="00F93ABB" w:rsidP="0096565E">
      <w:pPr>
        <w:pStyle w:val="Heading2"/>
      </w:pPr>
      <w:bookmarkStart w:id="25" w:name="_Toc293583978"/>
      <w:bookmarkStart w:id="26" w:name="_Toc325024769"/>
      <w:bookmarkStart w:id="27" w:name="_Toc326061974"/>
      <w:bookmarkStart w:id="28" w:name="_Toc387747647"/>
      <w:r w:rsidRPr="001573AE">
        <w:t>2.2.2. Meeting National Performance Objectives</w:t>
      </w:r>
      <w:bookmarkEnd w:id="25"/>
      <w:bookmarkEnd w:id="26"/>
      <w:bookmarkEnd w:id="27"/>
      <w:bookmarkEnd w:id="28"/>
    </w:p>
    <w:p w:rsidR="00FE3B47" w:rsidRDefault="00FE3B47" w:rsidP="00FE3B47">
      <w:pPr>
        <w:rPr>
          <w:rStyle w:val="IntenseEmphasis"/>
          <w:bCs/>
          <w:iCs/>
          <w:color w:val="548DD4" w:themeColor="text2" w:themeTint="99"/>
        </w:rPr>
      </w:pPr>
    </w:p>
    <w:p w:rsidR="00FE3B47" w:rsidRPr="00FE3B47" w:rsidRDefault="00FE3B47" w:rsidP="00FE3B47">
      <w:pPr>
        <w:rPr>
          <w:rStyle w:val="IntenseEmphasis"/>
          <w:bCs/>
          <w:i w:val="0"/>
          <w:iCs/>
          <w:color w:val="auto"/>
        </w:rPr>
      </w:pPr>
      <w:r w:rsidRPr="00FE3B47">
        <w:rPr>
          <w:rStyle w:val="IntenseEmphasis"/>
          <w:bCs/>
          <w:i w:val="0"/>
          <w:iCs/>
          <w:color w:val="auto"/>
        </w:rPr>
        <w:t>Our Performance</w:t>
      </w:r>
    </w:p>
    <w:p w:rsidR="00FE3B47" w:rsidRPr="0033429D" w:rsidRDefault="00FE3B47" w:rsidP="00FE3B47">
      <w:pPr>
        <w:pStyle w:val="NoSpacing"/>
      </w:pPr>
      <w:r w:rsidRPr="0033429D">
        <w:t>This section sets out the Trust performance for the financial year ending 31</w:t>
      </w:r>
      <w:r w:rsidRPr="0033429D">
        <w:rPr>
          <w:vertAlign w:val="superscript"/>
        </w:rPr>
        <w:t>st</w:t>
      </w:r>
      <w:r>
        <w:t xml:space="preserve"> March 2015</w:t>
      </w:r>
      <w:r w:rsidRPr="0033429D">
        <w:t xml:space="preserve">. The first part describes patient admissions by type of patient.  The second part shows the Trust’s performance against some specific, nationally-set operational access and quality targets. Performance against each of these targets together with a wide range of clinical quality, patient safety, operational, human resource and </w:t>
      </w:r>
      <w:r w:rsidRPr="0033429D">
        <w:lastRenderedPageBreak/>
        <w:t xml:space="preserve">financial targets is reported to the Trust Board in public meeting, in the Trust’s “Integrated Performance Report”.  Copies of these reports are available on the Trust website on </w:t>
      </w:r>
      <w:hyperlink r:id="rId18" w:history="1">
        <w:r w:rsidRPr="0033429D">
          <w:rPr>
            <w:rStyle w:val="Hyperlink"/>
          </w:rPr>
          <w:t>www.waht.nhs.uk</w:t>
        </w:r>
      </w:hyperlink>
    </w:p>
    <w:p w:rsidR="00FE3B47" w:rsidRPr="0033429D" w:rsidRDefault="00FE3B47" w:rsidP="00FE3B47">
      <w:pPr>
        <w:pStyle w:val="NoSpacing"/>
      </w:pPr>
    </w:p>
    <w:p w:rsidR="00FE3B47" w:rsidRPr="0033429D" w:rsidRDefault="00FE3B47" w:rsidP="00FE3B47">
      <w:pPr>
        <w:pStyle w:val="NoSpacing"/>
      </w:pPr>
      <w:r w:rsidRPr="0033429D">
        <w:t xml:space="preserve">Further detail relating to achievement of clinical quality and patient safety targets, together with our plans to further improve achievement in these key areas are detailed in our Annual Quality Account which is also available on the Trust’s website. </w:t>
      </w:r>
    </w:p>
    <w:p w:rsidR="00FE3B47" w:rsidRPr="0033429D" w:rsidRDefault="00FE3B47" w:rsidP="00FE3B47">
      <w:pPr>
        <w:pStyle w:val="NoSpacing"/>
      </w:pPr>
    </w:p>
    <w:p w:rsidR="00FE3B47" w:rsidRPr="00FE3B47" w:rsidRDefault="00FE3B47" w:rsidP="00FE3B47">
      <w:pPr>
        <w:rPr>
          <w:rStyle w:val="Emphasis"/>
          <w:bCs/>
          <w:i w:val="0"/>
          <w:iCs/>
          <w:color w:val="auto"/>
        </w:rPr>
      </w:pPr>
      <w:r w:rsidRPr="00FE3B47">
        <w:rPr>
          <w:rStyle w:val="Emphasis"/>
          <w:bCs/>
          <w:i w:val="0"/>
          <w:iCs/>
          <w:color w:val="auto"/>
        </w:rPr>
        <w:t>Patient Admissions</w:t>
      </w:r>
    </w:p>
    <w:p w:rsidR="00FE3B47" w:rsidRPr="0033429D" w:rsidRDefault="00FE3B47" w:rsidP="00FE3B47">
      <w:pPr>
        <w:rPr>
          <w:rStyle w:val="Emphasis"/>
          <w:bCs/>
          <w:iCs/>
        </w:rPr>
      </w:pPr>
      <w:r w:rsidRPr="00DA7A7F">
        <w:rPr>
          <w:noProof/>
          <w:lang w:val="en-GB" w:eastAsia="en-GB"/>
        </w:rPr>
        <w:drawing>
          <wp:inline distT="0" distB="0" distL="0" distR="0">
            <wp:extent cx="5731510" cy="2923694"/>
            <wp:effectExtent l="1905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731510" cy="2923694"/>
                    </a:xfrm>
                    <a:prstGeom prst="rect">
                      <a:avLst/>
                    </a:prstGeom>
                    <a:noFill/>
                    <a:ln w="9525">
                      <a:noFill/>
                      <a:miter lim="800000"/>
                      <a:headEnd/>
                      <a:tailEnd/>
                    </a:ln>
                  </pic:spPr>
                </pic:pic>
              </a:graphicData>
            </a:graphic>
          </wp:inline>
        </w:drawing>
      </w:r>
    </w:p>
    <w:p w:rsidR="00FE3B47" w:rsidRPr="0033429D" w:rsidRDefault="00FE3B47" w:rsidP="00FE3B47">
      <w:pPr>
        <w:pStyle w:val="NoSpacing"/>
      </w:pPr>
    </w:p>
    <w:p w:rsidR="00FE3B47" w:rsidRPr="0033429D" w:rsidRDefault="00FE3B47" w:rsidP="00FE3B47">
      <w:pPr>
        <w:pStyle w:val="NoSpacing"/>
      </w:pPr>
      <w:r w:rsidRPr="0033429D">
        <w:t>‘Elective’ inpatients are patients who come into hospital for planned operations, procedures and treatment. ‘Emergency’ patients are admitted without appointment and generally need urgent treatment. The population the hospital cares for has a higher than average proportion of people who are elderly and frail, which means patients often have to be treated for more than one condition and on occasions their discharge is dependent on suitable care being available for them at home or in the community. For a small acute hospital Weston has an unusually high proportion of emergency inpatient admissions to beds. Weston’s av</w:t>
      </w:r>
      <w:r>
        <w:t>erage length of stay during 2014/15 was 2.7</w:t>
      </w:r>
      <w:r w:rsidRPr="0033429D">
        <w:t xml:space="preserve"> days while </w:t>
      </w:r>
      <w:r>
        <w:t>the peer-group average was 2.5</w:t>
      </w:r>
      <w:r w:rsidRPr="0033429D">
        <w:t xml:space="preserve"> days.</w:t>
      </w:r>
    </w:p>
    <w:p w:rsidR="00FE3B47" w:rsidRPr="0033429D" w:rsidRDefault="00FE3B47" w:rsidP="00FE3B47">
      <w:pPr>
        <w:pStyle w:val="NoSpacing"/>
      </w:pPr>
    </w:p>
    <w:p w:rsidR="00FE3B47" w:rsidRPr="0033429D" w:rsidRDefault="00FE3B47" w:rsidP="00FE3B47">
      <w:pPr>
        <w:pStyle w:val="NoSpacing"/>
        <w:jc w:val="center"/>
      </w:pPr>
      <w:r w:rsidRPr="007E1FBA">
        <w:rPr>
          <w:noProof/>
          <w:lang w:val="en-GB" w:eastAsia="en-GB"/>
        </w:rPr>
        <w:lastRenderedPageBreak/>
        <w:drawing>
          <wp:inline distT="0" distB="0" distL="0" distR="0">
            <wp:extent cx="5731510" cy="3293133"/>
            <wp:effectExtent l="1905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731510" cy="3293133"/>
                    </a:xfrm>
                    <a:prstGeom prst="rect">
                      <a:avLst/>
                    </a:prstGeom>
                    <a:noFill/>
                    <a:ln w="9525">
                      <a:noFill/>
                      <a:miter lim="800000"/>
                      <a:headEnd/>
                      <a:tailEnd/>
                    </a:ln>
                  </pic:spPr>
                </pic:pic>
              </a:graphicData>
            </a:graphic>
          </wp:inline>
        </w:drawing>
      </w:r>
    </w:p>
    <w:p w:rsidR="00FE3B47" w:rsidRPr="0033429D" w:rsidRDefault="00FE3B47" w:rsidP="00FE3B47">
      <w:pPr>
        <w:pStyle w:val="NoSpacing"/>
      </w:pPr>
    </w:p>
    <w:p w:rsidR="00FE3B47" w:rsidRPr="0033429D" w:rsidRDefault="00FE3B47" w:rsidP="00FE3B47">
      <w:pPr>
        <w:pStyle w:val="NoSpacing"/>
      </w:pPr>
      <w:r w:rsidRPr="0033429D">
        <w:t>The graph above shows all th</w:t>
      </w:r>
      <w:r>
        <w:t>e hospital activity between 2010/11 and 2014/15</w:t>
      </w:r>
      <w:r w:rsidR="00B83F43">
        <w:t>. T</w:t>
      </w:r>
      <w:r w:rsidRPr="0033429D">
        <w:t>he following graphs describe the performance against plan for those five years. (“Plan” is the level of activity each year expected by the Hospital in agreement with the Clinical Commissioning Group.)</w:t>
      </w:r>
    </w:p>
    <w:p w:rsidR="00FE3B47" w:rsidRPr="0033429D" w:rsidRDefault="00FE3B47" w:rsidP="00FE3B47">
      <w:pPr>
        <w:pStyle w:val="NoSpacing"/>
        <w:rPr>
          <w:rStyle w:val="IntenseEmphasis"/>
          <w:bCs/>
          <w:iCs/>
          <w:sz w:val="20"/>
        </w:rPr>
      </w:pPr>
    </w:p>
    <w:p w:rsidR="00FE3B47" w:rsidRPr="0033429D" w:rsidRDefault="00FE3B47" w:rsidP="00FE3B47">
      <w:pPr>
        <w:pStyle w:val="NoSpacing"/>
        <w:jc w:val="center"/>
      </w:pPr>
      <w:r w:rsidRPr="00BD59E5">
        <w:rPr>
          <w:noProof/>
          <w:lang w:val="en-GB" w:eastAsia="en-GB"/>
        </w:rPr>
        <w:drawing>
          <wp:inline distT="0" distB="0" distL="0" distR="0">
            <wp:extent cx="5731510" cy="3175448"/>
            <wp:effectExtent l="19050" t="0" r="254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731510" cy="3175448"/>
                    </a:xfrm>
                    <a:prstGeom prst="rect">
                      <a:avLst/>
                    </a:prstGeom>
                    <a:noFill/>
                    <a:ln w="9525">
                      <a:noFill/>
                      <a:miter lim="800000"/>
                      <a:headEnd/>
                      <a:tailEnd/>
                    </a:ln>
                  </pic:spPr>
                </pic:pic>
              </a:graphicData>
            </a:graphic>
          </wp:inline>
        </w:drawing>
      </w:r>
    </w:p>
    <w:p w:rsidR="00FE3B47" w:rsidRPr="0033429D" w:rsidRDefault="00FE3B47" w:rsidP="00FE3B47">
      <w:pPr>
        <w:pStyle w:val="NoSpacing"/>
        <w:jc w:val="center"/>
      </w:pPr>
    </w:p>
    <w:p w:rsidR="00FE3B47" w:rsidRPr="0033429D" w:rsidRDefault="00FE3B47" w:rsidP="00FE3B47">
      <w:r w:rsidRPr="0033429D">
        <w:t xml:space="preserve">The Trust has experienced a </w:t>
      </w:r>
      <w:r>
        <w:t>slight increase in elective activity against plan in 2014/15 which is reflective of the increased population of North Somerset and lower mortality rates across the area.</w:t>
      </w:r>
    </w:p>
    <w:p w:rsidR="00FE3B47" w:rsidRPr="00D85B70" w:rsidRDefault="00FE3B47" w:rsidP="00FE3B47">
      <w:pPr>
        <w:rPr>
          <w:color w:val="FF0000"/>
        </w:rPr>
      </w:pPr>
    </w:p>
    <w:p w:rsidR="00FE3B47" w:rsidRPr="00D85B70" w:rsidRDefault="00FE3B47" w:rsidP="00FE3B47">
      <w:pPr>
        <w:rPr>
          <w:color w:val="FF0000"/>
        </w:rPr>
      </w:pPr>
    </w:p>
    <w:p w:rsidR="00FE3B47" w:rsidRPr="00D85B70" w:rsidRDefault="00FE3B47" w:rsidP="00FE3B47">
      <w:pPr>
        <w:pStyle w:val="NoSpacing"/>
        <w:jc w:val="center"/>
        <w:rPr>
          <w:color w:val="FF0000"/>
        </w:rPr>
      </w:pPr>
      <w:r w:rsidRPr="00D242EA">
        <w:rPr>
          <w:noProof/>
          <w:lang w:val="en-GB" w:eastAsia="en-GB"/>
        </w:rPr>
        <w:lastRenderedPageBreak/>
        <w:drawing>
          <wp:inline distT="0" distB="0" distL="0" distR="0">
            <wp:extent cx="5731510" cy="2852130"/>
            <wp:effectExtent l="19050" t="0" r="254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731510" cy="2852130"/>
                    </a:xfrm>
                    <a:prstGeom prst="rect">
                      <a:avLst/>
                    </a:prstGeom>
                    <a:noFill/>
                    <a:ln w="9525">
                      <a:noFill/>
                      <a:miter lim="800000"/>
                      <a:headEnd/>
                      <a:tailEnd/>
                    </a:ln>
                  </pic:spPr>
                </pic:pic>
              </a:graphicData>
            </a:graphic>
          </wp:inline>
        </w:drawing>
      </w:r>
    </w:p>
    <w:p w:rsidR="00FE3B47" w:rsidRPr="0033429D" w:rsidRDefault="00FE3B47" w:rsidP="00FE3B47">
      <w:pPr>
        <w:pStyle w:val="NoSpacing"/>
        <w:jc w:val="center"/>
      </w:pPr>
    </w:p>
    <w:p w:rsidR="00FE3B47" w:rsidRPr="0033429D" w:rsidRDefault="00FE3B47" w:rsidP="00FE3B47">
      <w:r w:rsidRPr="0033429D">
        <w:t xml:space="preserve">The number of day cases undertaken </w:t>
      </w:r>
      <w:r>
        <w:t>by the Trust has increased by 17.7</w:t>
      </w:r>
      <w:r w:rsidRPr="0033429D">
        <w:t xml:space="preserve">% over the past five years. This is due in some part to advancements in medicine - many procedures that used to mean patients needed to stay in hospital at least one night can now be done with patients going home the same day (“day cases”).  </w:t>
      </w:r>
    </w:p>
    <w:p w:rsidR="00FE3B47" w:rsidRPr="0033429D" w:rsidRDefault="00FE3B47" w:rsidP="00FE3B47"/>
    <w:p w:rsidR="00FE3B47" w:rsidRPr="0033429D" w:rsidRDefault="00FE3B47" w:rsidP="00FE3B47">
      <w:pPr>
        <w:rPr>
          <w:lang w:val="en-GB"/>
        </w:rPr>
      </w:pPr>
      <w:r w:rsidRPr="0033429D">
        <w:t>The increase is also due to an increase in demand as a result of the ageing population in the Trust</w:t>
      </w:r>
      <w:r w:rsidR="00B83F43">
        <w:t>’s catchment area with around 23.8</w:t>
      </w:r>
      <w:r w:rsidRPr="0033429D">
        <w:t>% of the population being over 65 compared to the national average of 19.5%.</w:t>
      </w:r>
      <w:r w:rsidRPr="0033429D">
        <w:rPr>
          <w:rFonts w:ascii="Times New Roman" w:hAnsi="Times New Roman"/>
          <w:sz w:val="12"/>
          <w:szCs w:val="12"/>
          <w:lang w:val="en-GB" w:eastAsia="en-GB"/>
        </w:rPr>
        <w:t xml:space="preserve"> </w:t>
      </w:r>
    </w:p>
    <w:p w:rsidR="00FE3B47" w:rsidRPr="0033429D" w:rsidRDefault="00FE3B47" w:rsidP="00FE3B47">
      <w:pPr>
        <w:rPr>
          <w:lang w:val="en-GB"/>
        </w:rPr>
      </w:pPr>
    </w:p>
    <w:p w:rsidR="00FE3B47" w:rsidRPr="0033429D" w:rsidRDefault="00FE3B47" w:rsidP="00FE3B47">
      <w:pPr>
        <w:pStyle w:val="NoSpacing"/>
      </w:pPr>
    </w:p>
    <w:p w:rsidR="00FE3B47" w:rsidRPr="0033429D" w:rsidRDefault="00FE3B47" w:rsidP="00FE3B47">
      <w:pPr>
        <w:pStyle w:val="NoSpacing"/>
        <w:jc w:val="center"/>
      </w:pPr>
      <w:r w:rsidRPr="002F369F">
        <w:rPr>
          <w:noProof/>
          <w:lang w:val="en-GB" w:eastAsia="en-GB"/>
        </w:rPr>
        <w:drawing>
          <wp:inline distT="0" distB="0" distL="0" distR="0">
            <wp:extent cx="5731510" cy="2591419"/>
            <wp:effectExtent l="19050" t="0" r="254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5731510" cy="2591419"/>
                    </a:xfrm>
                    <a:prstGeom prst="rect">
                      <a:avLst/>
                    </a:prstGeom>
                    <a:noFill/>
                    <a:ln w="9525">
                      <a:noFill/>
                      <a:miter lim="800000"/>
                      <a:headEnd/>
                      <a:tailEnd/>
                    </a:ln>
                  </pic:spPr>
                </pic:pic>
              </a:graphicData>
            </a:graphic>
          </wp:inline>
        </w:drawing>
      </w:r>
    </w:p>
    <w:p w:rsidR="00FE3B47" w:rsidRPr="0033429D" w:rsidRDefault="00FE3B47" w:rsidP="00FE3B47">
      <w:pPr>
        <w:pStyle w:val="NoSpacing"/>
        <w:jc w:val="center"/>
      </w:pPr>
    </w:p>
    <w:p w:rsidR="00FE3B47" w:rsidRPr="0033429D" w:rsidRDefault="00FE3B47" w:rsidP="00FE3B47">
      <w:r w:rsidRPr="0033429D">
        <w:t xml:space="preserve">The number of emergency inpatients </w:t>
      </w:r>
      <w:r>
        <w:t>seen by the Trust has increased, although remains in line with planned activity.</w:t>
      </w:r>
      <w:r w:rsidRPr="0033429D">
        <w:t xml:space="preserve">  Despite improvements in partnership working between the Trust, Local Authority and Community Partnership there remains increasing demand on the hospital’s services.  </w:t>
      </w:r>
    </w:p>
    <w:p w:rsidR="00FE3B47" w:rsidRDefault="00FE3B47" w:rsidP="00FE3B47">
      <w:pPr>
        <w:rPr>
          <w:rStyle w:val="Emphasis"/>
          <w:bCs/>
          <w:iCs/>
        </w:rPr>
      </w:pPr>
    </w:p>
    <w:p w:rsidR="00B83F43" w:rsidRDefault="00B83F43" w:rsidP="00FE3B47">
      <w:pPr>
        <w:rPr>
          <w:rStyle w:val="Emphasis"/>
          <w:bCs/>
          <w:iCs/>
        </w:rPr>
      </w:pPr>
    </w:p>
    <w:p w:rsidR="00B83F43" w:rsidRDefault="00B83F43" w:rsidP="00FE3B47">
      <w:pPr>
        <w:rPr>
          <w:rStyle w:val="Emphasis"/>
          <w:bCs/>
          <w:iCs/>
        </w:rPr>
      </w:pPr>
    </w:p>
    <w:p w:rsidR="00B83F43" w:rsidRDefault="00B83F43" w:rsidP="00FE3B47">
      <w:pPr>
        <w:rPr>
          <w:rStyle w:val="Emphasis"/>
          <w:bCs/>
          <w:iCs/>
        </w:rPr>
      </w:pPr>
    </w:p>
    <w:p w:rsidR="00B83F43" w:rsidRPr="0033429D" w:rsidRDefault="00B83F43" w:rsidP="00FE3B47">
      <w:pPr>
        <w:rPr>
          <w:rStyle w:val="Emphasis"/>
          <w:bCs/>
          <w:iCs/>
        </w:rPr>
      </w:pPr>
    </w:p>
    <w:p w:rsidR="00FE3B47" w:rsidRPr="00FE3B47" w:rsidRDefault="00FE3B47" w:rsidP="00FE3B47">
      <w:pPr>
        <w:rPr>
          <w:rStyle w:val="Emphasis"/>
          <w:bCs/>
          <w:i w:val="0"/>
          <w:iCs/>
          <w:color w:val="auto"/>
        </w:rPr>
      </w:pPr>
      <w:r w:rsidRPr="00FE3B47">
        <w:rPr>
          <w:rStyle w:val="Emphasis"/>
          <w:bCs/>
          <w:i w:val="0"/>
          <w:iCs/>
          <w:color w:val="auto"/>
        </w:rPr>
        <w:lastRenderedPageBreak/>
        <w:t xml:space="preserve">Outpatient Clinics </w:t>
      </w:r>
    </w:p>
    <w:p w:rsidR="00FE3B47" w:rsidRPr="0033429D" w:rsidRDefault="00FE3B47" w:rsidP="00FE3B47">
      <w:pPr>
        <w:rPr>
          <w:rStyle w:val="Emphasis"/>
          <w:bCs/>
          <w:iCs/>
        </w:rPr>
      </w:pPr>
    </w:p>
    <w:p w:rsidR="00FE3B47" w:rsidRPr="0033429D" w:rsidRDefault="00FE3B47" w:rsidP="00FE3B47">
      <w:r w:rsidRPr="0033429D">
        <w:t xml:space="preserve">The Trust provides a wide range of specialist clinics, some of which are supported by visiting Consultants from Bristol. These services reduce the need for local residents to travel long distances for specialist opinion and support. </w:t>
      </w:r>
    </w:p>
    <w:p w:rsidR="00FE3B47" w:rsidRPr="0033429D" w:rsidRDefault="00FE3B47" w:rsidP="00FE3B47"/>
    <w:p w:rsidR="00FE3B47" w:rsidRDefault="00FE3B47" w:rsidP="00FE3B47">
      <w:r w:rsidRPr="0033429D">
        <w:t xml:space="preserve">The total number of patients seen in Outpatients Clinics (includes first and follow up appointments) is shown in the table below.  </w:t>
      </w:r>
    </w:p>
    <w:p w:rsidR="00FE3B47" w:rsidRDefault="00FE3B47" w:rsidP="00FE3B47"/>
    <w:p w:rsidR="00FE3B47" w:rsidRPr="0033429D" w:rsidRDefault="00FE3B47" w:rsidP="00FE3B47">
      <w:pPr>
        <w:jc w:val="center"/>
      </w:pPr>
      <w:r w:rsidRPr="00D20C30">
        <w:rPr>
          <w:noProof/>
          <w:lang w:val="en-GB" w:eastAsia="en-GB"/>
        </w:rPr>
        <w:drawing>
          <wp:inline distT="0" distB="0" distL="0" distR="0">
            <wp:extent cx="5731510" cy="1005244"/>
            <wp:effectExtent l="19050" t="0" r="2540"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5731510" cy="1005244"/>
                    </a:xfrm>
                    <a:prstGeom prst="rect">
                      <a:avLst/>
                    </a:prstGeom>
                    <a:noFill/>
                    <a:ln w="9525">
                      <a:noFill/>
                      <a:miter lim="800000"/>
                      <a:headEnd/>
                      <a:tailEnd/>
                    </a:ln>
                  </pic:spPr>
                </pic:pic>
              </a:graphicData>
            </a:graphic>
          </wp:inline>
        </w:drawing>
      </w:r>
    </w:p>
    <w:p w:rsidR="00FE3B47" w:rsidRPr="0033429D" w:rsidRDefault="00FE3B47" w:rsidP="00FE3B47">
      <w:r>
        <w:rPr>
          <w:i/>
          <w:sz w:val="16"/>
          <w:szCs w:val="16"/>
        </w:rPr>
        <w:t>NB:  Maternity S</w:t>
      </w:r>
      <w:r w:rsidRPr="0033429D">
        <w:rPr>
          <w:i/>
          <w:sz w:val="16"/>
          <w:szCs w:val="16"/>
        </w:rPr>
        <w:t>ervices ceased being recorded as outpatients in 2013/14.  Planned Ambulatory care activity recorded from 2013/14.  Anticoagulation, oral surgery and orthodontics services ceased 31.3.13.</w:t>
      </w:r>
      <w:r>
        <w:rPr>
          <w:i/>
          <w:sz w:val="16"/>
          <w:szCs w:val="16"/>
        </w:rPr>
        <w:t xml:space="preserve">  Some ‘</w:t>
      </w:r>
      <w:proofErr w:type="spellStart"/>
      <w:r>
        <w:rPr>
          <w:i/>
          <w:sz w:val="16"/>
          <w:szCs w:val="16"/>
        </w:rPr>
        <w:t>daycase</w:t>
      </w:r>
      <w:proofErr w:type="spellEnd"/>
      <w:r>
        <w:rPr>
          <w:i/>
          <w:sz w:val="16"/>
          <w:szCs w:val="16"/>
        </w:rPr>
        <w:t>’ procedures are now being offered and performed as outpatient appointments, in the outpatient department.</w:t>
      </w:r>
    </w:p>
    <w:p w:rsidR="00FE3B47" w:rsidRPr="0033429D" w:rsidRDefault="00FE3B47" w:rsidP="00FE3B47"/>
    <w:p w:rsidR="00FE3B47" w:rsidRPr="0033429D" w:rsidRDefault="00FE3B47" w:rsidP="00FE3B47">
      <w:pPr>
        <w:pStyle w:val="NoSpacing"/>
        <w:jc w:val="center"/>
      </w:pPr>
      <w:r w:rsidRPr="005C568F">
        <w:rPr>
          <w:noProof/>
          <w:lang w:val="en-GB" w:eastAsia="en-GB"/>
        </w:rPr>
        <w:drawing>
          <wp:inline distT="0" distB="0" distL="0" distR="0">
            <wp:extent cx="5731510" cy="3022670"/>
            <wp:effectExtent l="1905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5731510" cy="3022670"/>
                    </a:xfrm>
                    <a:prstGeom prst="rect">
                      <a:avLst/>
                    </a:prstGeom>
                    <a:noFill/>
                    <a:ln w="9525">
                      <a:noFill/>
                      <a:miter lim="800000"/>
                      <a:headEnd/>
                      <a:tailEnd/>
                    </a:ln>
                  </pic:spPr>
                </pic:pic>
              </a:graphicData>
            </a:graphic>
          </wp:inline>
        </w:drawing>
      </w:r>
    </w:p>
    <w:p w:rsidR="00FE3B47" w:rsidRPr="0033429D" w:rsidRDefault="00FE3B47" w:rsidP="00FE3B47"/>
    <w:p w:rsidR="00FE3B47" w:rsidRPr="0033429D" w:rsidRDefault="00FE3B47" w:rsidP="00FE3B47">
      <w:r w:rsidRPr="0033429D">
        <w:t>The graph above shows that overall the number of outpatient appointments provided by the Trust has remained re</w:t>
      </w:r>
      <w:r>
        <w:t>latively static</w:t>
      </w:r>
      <w:r w:rsidRPr="0033429D">
        <w:t xml:space="preserve">.   </w:t>
      </w:r>
    </w:p>
    <w:p w:rsidR="00FE3B47" w:rsidRPr="0033429D" w:rsidRDefault="00FE3B47" w:rsidP="00FE3B47"/>
    <w:p w:rsidR="00FE3B47" w:rsidRPr="00FE3B47" w:rsidRDefault="00FE3B47" w:rsidP="00FE3B47">
      <w:pPr>
        <w:rPr>
          <w:rStyle w:val="Emphasis"/>
          <w:bCs/>
          <w:i w:val="0"/>
          <w:iCs/>
          <w:color w:val="auto"/>
        </w:rPr>
      </w:pPr>
      <w:r w:rsidRPr="00FE3B47">
        <w:rPr>
          <w:rStyle w:val="Emphasis"/>
          <w:bCs/>
          <w:i w:val="0"/>
          <w:iCs/>
          <w:color w:val="auto"/>
        </w:rPr>
        <w:t xml:space="preserve">18 Weeks Referral to Treatment Access Target </w:t>
      </w:r>
    </w:p>
    <w:p w:rsidR="00FE3B47" w:rsidRPr="0033429D" w:rsidRDefault="00FE3B47" w:rsidP="00FE3B47">
      <w:pPr>
        <w:rPr>
          <w:rStyle w:val="Emphasis"/>
          <w:bCs/>
          <w:iCs/>
        </w:rPr>
      </w:pPr>
    </w:p>
    <w:p w:rsidR="00FE3B47" w:rsidRPr="0033429D" w:rsidRDefault="00FE3B47" w:rsidP="00FE3B47">
      <w:pPr>
        <w:pStyle w:val="NoSpacing"/>
      </w:pPr>
      <w:r w:rsidRPr="0033429D">
        <w:t xml:space="preserve">The Trust performed well against this national target which sets a maximum wait of 18 weeks from initial point of referral to the start of any treatment necessary.  This demonstrates that the Trust continues to deliver efficient and effective pathways of care to our patients.  </w:t>
      </w:r>
    </w:p>
    <w:p w:rsidR="00FE3B47" w:rsidRDefault="00FE3B47" w:rsidP="00FE3B47">
      <w:pPr>
        <w:pStyle w:val="NoSpacing"/>
      </w:pPr>
    </w:p>
    <w:p w:rsidR="00FE3B47" w:rsidRPr="0033429D" w:rsidRDefault="00FE3B47" w:rsidP="00FE3B47">
      <w:pPr>
        <w:pStyle w:val="NoSpacing"/>
      </w:pPr>
      <w:r w:rsidRPr="00C53733">
        <w:rPr>
          <w:noProof/>
          <w:lang w:val="en-GB" w:eastAsia="en-GB"/>
        </w:rPr>
        <w:lastRenderedPageBreak/>
        <w:drawing>
          <wp:inline distT="0" distB="0" distL="0" distR="0">
            <wp:extent cx="5731510" cy="1285875"/>
            <wp:effectExtent l="1905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5731510" cy="1285875"/>
                    </a:xfrm>
                    <a:prstGeom prst="rect">
                      <a:avLst/>
                    </a:prstGeom>
                    <a:noFill/>
                    <a:ln w="9525">
                      <a:noFill/>
                      <a:miter lim="800000"/>
                      <a:headEnd/>
                      <a:tailEnd/>
                    </a:ln>
                  </pic:spPr>
                </pic:pic>
              </a:graphicData>
            </a:graphic>
          </wp:inline>
        </w:drawing>
      </w:r>
    </w:p>
    <w:p w:rsidR="00FE3B47" w:rsidRPr="0033429D" w:rsidRDefault="00FE3B47" w:rsidP="00FE3B47">
      <w:pPr>
        <w:pStyle w:val="NoSpacing"/>
      </w:pPr>
    </w:p>
    <w:p w:rsidR="00FE3B47" w:rsidRPr="00FE3B47" w:rsidRDefault="00FE3B47" w:rsidP="00FE3B47">
      <w:pPr>
        <w:rPr>
          <w:rStyle w:val="Emphasis"/>
          <w:bCs/>
          <w:i w:val="0"/>
          <w:iCs/>
          <w:color w:val="auto"/>
        </w:rPr>
      </w:pPr>
      <w:r w:rsidRPr="00FE3B47">
        <w:rPr>
          <w:rStyle w:val="Emphasis"/>
          <w:bCs/>
          <w:i w:val="0"/>
          <w:iCs/>
          <w:color w:val="auto"/>
        </w:rPr>
        <w:t xml:space="preserve">Cancelled Operations </w:t>
      </w:r>
    </w:p>
    <w:p w:rsidR="00FE3B47" w:rsidRPr="0033429D" w:rsidRDefault="00FE3B47" w:rsidP="00FE3B47">
      <w:pPr>
        <w:rPr>
          <w:rStyle w:val="Emphasis"/>
          <w:bCs/>
          <w:iCs/>
        </w:rPr>
      </w:pPr>
    </w:p>
    <w:p w:rsidR="00FE3B47" w:rsidRPr="0033429D" w:rsidRDefault="00FE3B47" w:rsidP="00FE3B47">
      <w:pPr>
        <w:pStyle w:val="NoSpacing"/>
      </w:pPr>
      <w:r w:rsidRPr="0033429D">
        <w:t>The Trust recognises that having to cancel operati</w:t>
      </w:r>
      <w:r w:rsidR="00B83F43">
        <w:t xml:space="preserve">ons is very distressing for </w:t>
      </w:r>
      <w:r w:rsidRPr="0033429D">
        <w:t xml:space="preserve">patients and their families at a time that is already very worrying </w:t>
      </w:r>
      <w:r>
        <w:t>and stressful. The Trust missed the</w:t>
      </w:r>
      <w:r w:rsidRPr="0033429D">
        <w:t xml:space="preserve"> national target to cancel no more than 0.8% of</w:t>
      </w:r>
      <w:r>
        <w:t xml:space="preserve"> operations for the year due to </w:t>
      </w:r>
      <w:r w:rsidRPr="0033429D">
        <w:t>pressures of emerg</w:t>
      </w:r>
      <w:r>
        <w:t>ency admissions during the latter half</w:t>
      </w:r>
      <w:r w:rsidRPr="0033429D">
        <w:t xml:space="preserve"> of the</w:t>
      </w:r>
      <w:r>
        <w:t xml:space="preserve"> year. 99.88% of</w:t>
      </w:r>
      <w:r w:rsidRPr="0033429D">
        <w:t xml:space="preserve"> patients cancelled had their operations rebooked within 28 days.</w:t>
      </w:r>
    </w:p>
    <w:p w:rsidR="00FE3B47" w:rsidRPr="0033429D" w:rsidRDefault="00FE3B47" w:rsidP="00FE3B47">
      <w:pPr>
        <w:pStyle w:val="NoSpacing"/>
      </w:pPr>
    </w:p>
    <w:p w:rsidR="00FE3B47" w:rsidRPr="0033429D" w:rsidRDefault="00FE3B47" w:rsidP="00FE3B47">
      <w:pPr>
        <w:rPr>
          <w:rStyle w:val="Emphasis"/>
          <w:bCs/>
          <w:iCs/>
        </w:rPr>
      </w:pPr>
      <w:r w:rsidRPr="007240D9">
        <w:rPr>
          <w:noProof/>
          <w:lang w:val="en-GB" w:eastAsia="en-GB"/>
        </w:rPr>
        <w:drawing>
          <wp:inline distT="0" distB="0" distL="0" distR="0">
            <wp:extent cx="5731510" cy="1167380"/>
            <wp:effectExtent l="1905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a:stretch>
                      <a:fillRect/>
                    </a:stretch>
                  </pic:blipFill>
                  <pic:spPr bwMode="auto">
                    <a:xfrm>
                      <a:off x="0" y="0"/>
                      <a:ext cx="5731510" cy="1167380"/>
                    </a:xfrm>
                    <a:prstGeom prst="rect">
                      <a:avLst/>
                    </a:prstGeom>
                    <a:noFill/>
                    <a:ln w="9525">
                      <a:noFill/>
                      <a:miter lim="800000"/>
                      <a:headEnd/>
                      <a:tailEnd/>
                    </a:ln>
                  </pic:spPr>
                </pic:pic>
              </a:graphicData>
            </a:graphic>
          </wp:inline>
        </w:drawing>
      </w:r>
    </w:p>
    <w:p w:rsidR="00FE3B47" w:rsidRDefault="00FE3B47" w:rsidP="00FE3B47">
      <w:pPr>
        <w:rPr>
          <w:rStyle w:val="Emphasis"/>
          <w:bCs/>
          <w:iCs/>
        </w:rPr>
      </w:pPr>
    </w:p>
    <w:p w:rsidR="000C5939" w:rsidRPr="0033429D" w:rsidRDefault="000C5939" w:rsidP="00FE3B47">
      <w:pPr>
        <w:rPr>
          <w:rStyle w:val="Emphasis"/>
          <w:bCs/>
          <w:iCs/>
        </w:rPr>
      </w:pPr>
    </w:p>
    <w:p w:rsidR="00FE3B47" w:rsidRPr="00FE3B47" w:rsidRDefault="00FE3B47" w:rsidP="00FE3B47">
      <w:pPr>
        <w:rPr>
          <w:rStyle w:val="Emphasis"/>
          <w:bCs/>
          <w:i w:val="0"/>
          <w:iCs/>
          <w:color w:val="auto"/>
        </w:rPr>
      </w:pPr>
      <w:r w:rsidRPr="00FE3B47">
        <w:rPr>
          <w:rStyle w:val="Emphasis"/>
          <w:bCs/>
          <w:i w:val="0"/>
          <w:iCs/>
          <w:color w:val="auto"/>
        </w:rPr>
        <w:t xml:space="preserve">Cancer Patients </w:t>
      </w:r>
    </w:p>
    <w:p w:rsidR="00FE3B47" w:rsidRPr="0033429D" w:rsidRDefault="00FE3B47" w:rsidP="00FE3B47">
      <w:pPr>
        <w:rPr>
          <w:rStyle w:val="Emphasis"/>
          <w:bCs/>
          <w:iCs/>
        </w:rPr>
      </w:pPr>
    </w:p>
    <w:p w:rsidR="00FE3B47" w:rsidRPr="0033429D" w:rsidRDefault="00FE3B47" w:rsidP="00FE3B47">
      <w:pPr>
        <w:pStyle w:val="NoSpacing"/>
      </w:pPr>
      <w:r w:rsidRPr="0033429D">
        <w:t xml:space="preserve">The 2009 Cancer Reform Strategy sets out 8 national cancer performance objectives for Trusts </w:t>
      </w:r>
      <w:r>
        <w:t>to deliver against.  During 2014/15</w:t>
      </w:r>
      <w:r w:rsidRPr="0033429D">
        <w:t xml:space="preserve"> the Trust met </w:t>
      </w:r>
      <w:r>
        <w:t>six</w:t>
      </w:r>
      <w:r w:rsidRPr="0033429D">
        <w:t xml:space="preserve"> of the nationa</w:t>
      </w:r>
      <w:r w:rsidR="00B83F43">
        <w:t>l targets in full.</w:t>
      </w:r>
    </w:p>
    <w:p w:rsidR="00FE3B47" w:rsidRPr="0033429D" w:rsidRDefault="00FE3B47" w:rsidP="00FE3B47">
      <w:pPr>
        <w:pStyle w:val="NoSpacing"/>
      </w:pPr>
    </w:p>
    <w:p w:rsidR="00FE3B47" w:rsidRPr="0033429D" w:rsidRDefault="00FE3B47" w:rsidP="00FE3B47">
      <w:pPr>
        <w:pStyle w:val="NoSpacing"/>
      </w:pPr>
      <w:r w:rsidRPr="0033429D">
        <w:t>The following table sets out the 8 key targets and the Trust pe</w:t>
      </w:r>
      <w:r w:rsidR="00B83F43">
        <w:t>rformance against each.</w:t>
      </w:r>
    </w:p>
    <w:p w:rsidR="00FE3B47" w:rsidRPr="0033429D" w:rsidRDefault="00FE3B47" w:rsidP="00FE3B47">
      <w:pPr>
        <w:pStyle w:val="NoSpacing"/>
      </w:pPr>
    </w:p>
    <w:p w:rsidR="00FE3B47" w:rsidRDefault="00FE3B47" w:rsidP="00FE3B47">
      <w:pPr>
        <w:rPr>
          <w:rStyle w:val="Emphasis"/>
          <w:bCs/>
          <w:iCs/>
        </w:rPr>
      </w:pPr>
      <w:r w:rsidRPr="000A2018">
        <w:rPr>
          <w:noProof/>
          <w:lang w:val="en-GB" w:eastAsia="en-GB"/>
        </w:rPr>
        <w:drawing>
          <wp:inline distT="0" distB="0" distL="0" distR="0">
            <wp:extent cx="5731510" cy="3352800"/>
            <wp:effectExtent l="19050" t="0" r="2540" b="0"/>
            <wp:docPr id="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5731510" cy="3352800"/>
                    </a:xfrm>
                    <a:prstGeom prst="rect">
                      <a:avLst/>
                    </a:prstGeom>
                    <a:noFill/>
                    <a:ln w="9525">
                      <a:noFill/>
                      <a:miter lim="800000"/>
                      <a:headEnd/>
                      <a:tailEnd/>
                    </a:ln>
                  </pic:spPr>
                </pic:pic>
              </a:graphicData>
            </a:graphic>
          </wp:inline>
        </w:drawing>
      </w:r>
    </w:p>
    <w:p w:rsidR="00FE3B47" w:rsidRPr="0033429D" w:rsidRDefault="00FE3B47" w:rsidP="00FE3B47">
      <w:pPr>
        <w:rPr>
          <w:rStyle w:val="Emphasis"/>
          <w:bCs/>
          <w:iCs/>
        </w:rPr>
      </w:pPr>
    </w:p>
    <w:p w:rsidR="00FE3B47" w:rsidRPr="00FE3B47" w:rsidRDefault="00FE3B47" w:rsidP="00FE3B47">
      <w:pPr>
        <w:rPr>
          <w:rStyle w:val="Emphasis"/>
          <w:bCs/>
          <w:i w:val="0"/>
          <w:iCs/>
          <w:color w:val="auto"/>
        </w:rPr>
      </w:pPr>
      <w:r w:rsidRPr="00FE3B47">
        <w:rPr>
          <w:rStyle w:val="Emphasis"/>
          <w:bCs/>
          <w:i w:val="0"/>
          <w:iCs/>
          <w:color w:val="auto"/>
        </w:rPr>
        <w:t xml:space="preserve">4 Hour Emergency Access Target </w:t>
      </w:r>
    </w:p>
    <w:p w:rsidR="00FE3B47" w:rsidRPr="0033429D" w:rsidRDefault="00FE3B47" w:rsidP="00FE3B47">
      <w:pPr>
        <w:rPr>
          <w:rStyle w:val="Emphasis"/>
          <w:bCs/>
          <w:iCs/>
        </w:rPr>
      </w:pPr>
    </w:p>
    <w:p w:rsidR="00FE3B47" w:rsidRPr="0033429D" w:rsidRDefault="00FE3B47" w:rsidP="00FE3B47">
      <w:pPr>
        <w:pStyle w:val="NoSpacing"/>
      </w:pPr>
      <w:r w:rsidRPr="0033429D">
        <w:t>The Emergency Department is the department where many patients come initially for care.  The graph below demonstrates that over the past five years emergency department a</w:t>
      </w:r>
      <w:r>
        <w:t>ttendances have increased overall by 3.2</w:t>
      </w:r>
      <w:r w:rsidRPr="0033429D">
        <w:t xml:space="preserve">%.  </w:t>
      </w:r>
    </w:p>
    <w:p w:rsidR="00FE3B47" w:rsidRPr="00D85B70" w:rsidRDefault="00FE3B47" w:rsidP="00FE3B47">
      <w:pPr>
        <w:autoSpaceDE w:val="0"/>
        <w:autoSpaceDN w:val="0"/>
        <w:adjustRightInd w:val="0"/>
        <w:rPr>
          <w:rFonts w:ascii="Helvetica" w:hAnsi="Helvetica" w:cs="Helvetica"/>
          <w:color w:val="FF0000"/>
          <w:sz w:val="20"/>
          <w:szCs w:val="20"/>
        </w:rPr>
      </w:pPr>
    </w:p>
    <w:p w:rsidR="00FE3B47" w:rsidRPr="00D85B70" w:rsidRDefault="00FE3B47" w:rsidP="00FE3B47">
      <w:pPr>
        <w:ind w:firstLine="360"/>
        <w:jc w:val="center"/>
        <w:rPr>
          <w:color w:val="FF0000"/>
        </w:rPr>
      </w:pPr>
      <w:r w:rsidRPr="00E0778D">
        <w:rPr>
          <w:noProof/>
          <w:lang w:val="en-GB" w:eastAsia="en-GB"/>
        </w:rPr>
        <w:drawing>
          <wp:inline distT="0" distB="0" distL="0" distR="0">
            <wp:extent cx="5731510" cy="3038729"/>
            <wp:effectExtent l="19050" t="0" r="2540" b="0"/>
            <wp:docPr id="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srcRect/>
                    <a:stretch>
                      <a:fillRect/>
                    </a:stretch>
                  </pic:blipFill>
                  <pic:spPr bwMode="auto">
                    <a:xfrm>
                      <a:off x="0" y="0"/>
                      <a:ext cx="5731510" cy="3038729"/>
                    </a:xfrm>
                    <a:prstGeom prst="rect">
                      <a:avLst/>
                    </a:prstGeom>
                    <a:noFill/>
                    <a:ln w="9525">
                      <a:noFill/>
                      <a:miter lim="800000"/>
                      <a:headEnd/>
                      <a:tailEnd/>
                    </a:ln>
                  </pic:spPr>
                </pic:pic>
              </a:graphicData>
            </a:graphic>
          </wp:inline>
        </w:drawing>
      </w:r>
    </w:p>
    <w:p w:rsidR="00FE3B47" w:rsidRPr="00D85B70" w:rsidRDefault="00FE3B47" w:rsidP="00FE3B47">
      <w:pPr>
        <w:ind w:firstLine="360"/>
        <w:jc w:val="center"/>
        <w:rPr>
          <w:color w:val="FF0000"/>
        </w:rPr>
      </w:pPr>
    </w:p>
    <w:p w:rsidR="00FE3B47" w:rsidRPr="0033429D" w:rsidRDefault="00FE3B47" w:rsidP="00FE3B47">
      <w:pPr>
        <w:pStyle w:val="NoSpacing"/>
      </w:pPr>
      <w:r w:rsidRPr="0033429D">
        <w:t>The Trust is required to meet the target of 95% of patients spending four hours or less from arrival to admission, transfer or discharge.  The Trust did not achieve the target for the year w</w:t>
      </w:r>
      <w:r>
        <w:t xml:space="preserve">ith a year-end position of 92.55%.  Increasing demand from June onwards (summer and winter pressures) </w:t>
      </w:r>
      <w:r w:rsidR="002E2C5D">
        <w:t>meant</w:t>
      </w:r>
      <w:r>
        <w:t xml:space="preserve"> that performance against this standard dipped.</w:t>
      </w:r>
      <w:r w:rsidRPr="0033429D">
        <w:t xml:space="preserve"> </w:t>
      </w:r>
    </w:p>
    <w:p w:rsidR="00FE3B47" w:rsidRPr="0033429D" w:rsidRDefault="00FE3B47" w:rsidP="00FE3B47">
      <w:pPr>
        <w:rPr>
          <w:rStyle w:val="Emphasis"/>
          <w:bCs/>
          <w:iCs/>
        </w:rPr>
      </w:pPr>
    </w:p>
    <w:p w:rsidR="00FE3B47" w:rsidRDefault="00FE3B47" w:rsidP="00FE3B47">
      <w:pPr>
        <w:rPr>
          <w:rStyle w:val="Emphasis"/>
          <w:bCs/>
          <w:i w:val="0"/>
          <w:iCs/>
          <w:color w:val="auto"/>
        </w:rPr>
      </w:pPr>
      <w:r w:rsidRPr="00FE3B47">
        <w:rPr>
          <w:rStyle w:val="Emphasis"/>
          <w:bCs/>
          <w:i w:val="0"/>
          <w:iCs/>
          <w:color w:val="auto"/>
        </w:rPr>
        <w:t>Stroke</w:t>
      </w:r>
    </w:p>
    <w:p w:rsidR="00FE3B47" w:rsidRPr="00FE3B47" w:rsidRDefault="00FE3B47" w:rsidP="00FE3B47">
      <w:pPr>
        <w:rPr>
          <w:rStyle w:val="Emphasis"/>
          <w:bCs/>
          <w:i w:val="0"/>
          <w:iCs/>
          <w:color w:val="auto"/>
        </w:rPr>
      </w:pPr>
    </w:p>
    <w:p w:rsidR="00FE3B47" w:rsidRPr="0033429D" w:rsidRDefault="00FE3B47" w:rsidP="00FE3B47">
      <w:pPr>
        <w:pStyle w:val="NoSpacing"/>
      </w:pPr>
      <w:r w:rsidRPr="0033429D">
        <w:t xml:space="preserve">All Trusts have been set a target to ensure 80% of stroke patients spend 90% of their stay in a </w:t>
      </w:r>
      <w:proofErr w:type="spellStart"/>
      <w:r w:rsidRPr="0033429D">
        <w:t>s</w:t>
      </w:r>
      <w:r>
        <w:t>pecialised</w:t>
      </w:r>
      <w:proofErr w:type="spellEnd"/>
      <w:r>
        <w:t xml:space="preserve"> stroke unit.  In 2014/15 the Trust achieved 88.92% </w:t>
      </w:r>
      <w:r w:rsidRPr="0033429D">
        <w:t>of stroke patients spending 90% of their stay in a stroke unit, for 2</w:t>
      </w:r>
      <w:r>
        <w:t>013/14 the figure was 83.5</w:t>
      </w:r>
      <w:r w:rsidRPr="0033429D">
        <w:t xml:space="preserve">% demonstrating that key work in this area has improved performance and patient care significantly during the last year.  </w:t>
      </w:r>
    </w:p>
    <w:p w:rsidR="00FE3B47" w:rsidRPr="0033429D" w:rsidRDefault="00FE3B47" w:rsidP="00FE3B47">
      <w:pPr>
        <w:pStyle w:val="NoSpacing"/>
      </w:pPr>
    </w:p>
    <w:p w:rsidR="00FE3B47" w:rsidRDefault="00FE3B47" w:rsidP="00FE3B47">
      <w:pPr>
        <w:widowControl w:val="0"/>
        <w:autoSpaceDE w:val="0"/>
        <w:autoSpaceDN w:val="0"/>
        <w:adjustRightInd w:val="0"/>
        <w:rPr>
          <w:rFonts w:cs="Arial"/>
          <w:b/>
          <w:bCs/>
          <w:iCs/>
        </w:rPr>
      </w:pPr>
      <w:r w:rsidRPr="00FE3B47">
        <w:rPr>
          <w:rFonts w:cs="Arial"/>
          <w:b/>
          <w:bCs/>
          <w:iCs/>
        </w:rPr>
        <w:t>Clostridium Difficile Infections</w:t>
      </w:r>
    </w:p>
    <w:p w:rsidR="00FE3B47" w:rsidRPr="00FE3B47" w:rsidRDefault="00FE3B47" w:rsidP="00FE3B47">
      <w:pPr>
        <w:widowControl w:val="0"/>
        <w:autoSpaceDE w:val="0"/>
        <w:autoSpaceDN w:val="0"/>
        <w:adjustRightInd w:val="0"/>
        <w:rPr>
          <w:rFonts w:cs="Arial"/>
          <w:b/>
        </w:rPr>
      </w:pPr>
    </w:p>
    <w:p w:rsidR="00FE3B47" w:rsidRPr="0033429D" w:rsidRDefault="00FE3B47" w:rsidP="00FE3B47">
      <w:pPr>
        <w:rPr>
          <w:rFonts w:cs="Arial"/>
        </w:rPr>
      </w:pPr>
      <w:r w:rsidRPr="0033429D">
        <w:rPr>
          <w:rFonts w:cs="Arial"/>
        </w:rPr>
        <w:t>A Clostridium difficile infection (CDI) is a type of bacterial infection that can affect the digestive system. It more commonly affects people who are receiving healthcare either in hospital or in community residential settings.</w:t>
      </w:r>
    </w:p>
    <w:p w:rsidR="00FE3B47" w:rsidRPr="0033429D" w:rsidRDefault="00FE3B47" w:rsidP="00FE3B47">
      <w:pPr>
        <w:widowControl w:val="0"/>
        <w:autoSpaceDE w:val="0"/>
        <w:autoSpaceDN w:val="0"/>
        <w:adjustRightInd w:val="0"/>
        <w:rPr>
          <w:rFonts w:cs="Arial"/>
        </w:rPr>
      </w:pPr>
    </w:p>
    <w:p w:rsidR="00FE3B47" w:rsidRPr="0033429D" w:rsidRDefault="00FE3B47" w:rsidP="00FE3B47">
      <w:pPr>
        <w:widowControl w:val="0"/>
        <w:autoSpaceDE w:val="0"/>
        <w:autoSpaceDN w:val="0"/>
        <w:adjustRightInd w:val="0"/>
        <w:rPr>
          <w:rFonts w:cs="Arial"/>
        </w:rPr>
      </w:pPr>
      <w:r w:rsidRPr="0033429D">
        <w:rPr>
          <w:rFonts w:cs="Arial"/>
        </w:rPr>
        <w:t xml:space="preserve">The two most commonly quoted risk factors for this infection are age (over 65 years) and receiving antibiotic treatment. Weston therefore has a large “risk group” since a high proportion of patients admitted to this hospital are over 65 years in age and up to a third of them are receiving antibiotic treatment at any one time. </w:t>
      </w:r>
    </w:p>
    <w:p w:rsidR="00FE3B47" w:rsidRPr="0033429D" w:rsidRDefault="00FE3B47" w:rsidP="00FE3B47">
      <w:pPr>
        <w:widowControl w:val="0"/>
        <w:autoSpaceDE w:val="0"/>
        <w:autoSpaceDN w:val="0"/>
        <w:adjustRightInd w:val="0"/>
        <w:rPr>
          <w:rFonts w:cs="Arial"/>
        </w:rPr>
      </w:pPr>
    </w:p>
    <w:p w:rsidR="00FE3B47" w:rsidRPr="0033429D" w:rsidRDefault="00FE3B47" w:rsidP="00FE3B47">
      <w:pPr>
        <w:widowControl w:val="0"/>
        <w:autoSpaceDE w:val="0"/>
        <w:autoSpaceDN w:val="0"/>
        <w:adjustRightInd w:val="0"/>
        <w:spacing w:before="240" w:after="240"/>
        <w:rPr>
          <w:rFonts w:cs="Arial"/>
        </w:rPr>
      </w:pPr>
      <w:r w:rsidRPr="006F2DCD">
        <w:rPr>
          <w:noProof/>
          <w:lang w:val="en-GB" w:eastAsia="en-GB"/>
        </w:rPr>
        <w:lastRenderedPageBreak/>
        <w:drawing>
          <wp:inline distT="0" distB="0" distL="0" distR="0">
            <wp:extent cx="5731510" cy="935939"/>
            <wp:effectExtent l="1905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srcRect/>
                    <a:stretch>
                      <a:fillRect/>
                    </a:stretch>
                  </pic:blipFill>
                  <pic:spPr bwMode="auto">
                    <a:xfrm>
                      <a:off x="0" y="0"/>
                      <a:ext cx="5731510" cy="935939"/>
                    </a:xfrm>
                    <a:prstGeom prst="rect">
                      <a:avLst/>
                    </a:prstGeom>
                    <a:noFill/>
                    <a:ln w="9525">
                      <a:noFill/>
                      <a:miter lim="800000"/>
                      <a:headEnd/>
                      <a:tailEnd/>
                    </a:ln>
                  </pic:spPr>
                </pic:pic>
              </a:graphicData>
            </a:graphic>
          </wp:inline>
        </w:drawing>
      </w:r>
      <w:r w:rsidR="0020200D">
        <w:rPr>
          <w:rFonts w:cs="Arial"/>
        </w:rPr>
        <w:t xml:space="preserve">In response to our </w:t>
      </w:r>
      <w:r w:rsidRPr="0033429D">
        <w:rPr>
          <w:rFonts w:cs="Arial"/>
        </w:rPr>
        <w:t xml:space="preserve">performance, the Trust has worked with Community Partners to improve awareness of the risks of antibiotic prescribing to all Doctors in the hospital and in primary care.  Enhanced monitoring of antibiotic prescribing in hospital was put in place from October 2013.  A revised risk assessment for patients with </w:t>
      </w:r>
      <w:proofErr w:type="spellStart"/>
      <w:r w:rsidRPr="000B3015">
        <w:rPr>
          <w:rFonts w:cs="Arial"/>
          <w:color w:val="000000" w:themeColor="text1"/>
        </w:rPr>
        <w:t>diarrhoea</w:t>
      </w:r>
      <w:proofErr w:type="spellEnd"/>
      <w:r w:rsidRPr="0033429D">
        <w:rPr>
          <w:rFonts w:cs="Arial"/>
        </w:rPr>
        <w:t xml:space="preserve"> was introduced and the infection control nursing team enhanced their monitoring of ward based practice. </w:t>
      </w:r>
    </w:p>
    <w:p w:rsidR="00FE3B47" w:rsidRPr="0033429D" w:rsidRDefault="00FE3B47" w:rsidP="00FE3B47">
      <w:pPr>
        <w:widowControl w:val="0"/>
        <w:autoSpaceDE w:val="0"/>
        <w:autoSpaceDN w:val="0"/>
        <w:adjustRightInd w:val="0"/>
        <w:spacing w:after="240"/>
        <w:rPr>
          <w:rFonts w:cs="Arial"/>
        </w:rPr>
      </w:pPr>
      <w:r>
        <w:rPr>
          <w:rFonts w:cs="Arial"/>
        </w:rPr>
        <w:t>In 2014/15 the Trust further increased</w:t>
      </w:r>
      <w:r w:rsidRPr="0033429D">
        <w:rPr>
          <w:rFonts w:cs="Arial"/>
        </w:rPr>
        <w:t xml:space="preserve"> monitoring of antibiotic prescribing, supported by a newly introduced drug chart.  The work that was commenced with primary and communi</w:t>
      </w:r>
      <w:r>
        <w:rPr>
          <w:rFonts w:cs="Arial"/>
        </w:rPr>
        <w:t>ty care colleagues continued, ensuring</w:t>
      </w:r>
      <w:r w:rsidRPr="0033429D">
        <w:rPr>
          <w:rFonts w:cs="Arial"/>
        </w:rPr>
        <w:t xml:space="preserve"> that patients receive</w:t>
      </w:r>
      <w:r>
        <w:rPr>
          <w:rFonts w:cs="Arial"/>
        </w:rPr>
        <w:t>d</w:t>
      </w:r>
      <w:r w:rsidRPr="0033429D">
        <w:rPr>
          <w:rFonts w:cs="Arial"/>
        </w:rPr>
        <w:t xml:space="preserve"> the highest standard of care across the whole patient pathway.  We are investigating the potential for introducing new cleaning and disinfection technologies during the year. </w:t>
      </w:r>
    </w:p>
    <w:p w:rsidR="00FE3B47" w:rsidRPr="0033429D" w:rsidRDefault="00FE3B47" w:rsidP="00FE3B47">
      <w:pPr>
        <w:widowControl w:val="0"/>
        <w:autoSpaceDE w:val="0"/>
        <w:autoSpaceDN w:val="0"/>
        <w:adjustRightInd w:val="0"/>
        <w:rPr>
          <w:rFonts w:cs="Arial"/>
          <w:b/>
          <w:bCs/>
          <w:i/>
        </w:rPr>
      </w:pPr>
    </w:p>
    <w:p w:rsidR="00FE3B47" w:rsidRDefault="00FE3B47" w:rsidP="00FE3B47">
      <w:pPr>
        <w:widowControl w:val="0"/>
        <w:autoSpaceDE w:val="0"/>
        <w:autoSpaceDN w:val="0"/>
        <w:adjustRightInd w:val="0"/>
        <w:rPr>
          <w:rFonts w:cs="Arial"/>
          <w:b/>
          <w:bCs/>
        </w:rPr>
      </w:pPr>
      <w:r w:rsidRPr="00FE3B47">
        <w:rPr>
          <w:rFonts w:cs="Arial"/>
          <w:b/>
          <w:bCs/>
        </w:rPr>
        <w:t>MRSA Blood Infections</w:t>
      </w:r>
    </w:p>
    <w:p w:rsidR="00FE3B47" w:rsidRPr="00FE3B47" w:rsidRDefault="00FE3B47" w:rsidP="00FE3B47">
      <w:pPr>
        <w:widowControl w:val="0"/>
        <w:autoSpaceDE w:val="0"/>
        <w:autoSpaceDN w:val="0"/>
        <w:adjustRightInd w:val="0"/>
        <w:rPr>
          <w:rFonts w:cs="Arial"/>
        </w:rPr>
      </w:pPr>
    </w:p>
    <w:p w:rsidR="00FE3B47" w:rsidRPr="0033429D" w:rsidRDefault="00FE3B47" w:rsidP="00FE3B47">
      <w:pPr>
        <w:widowControl w:val="0"/>
        <w:autoSpaceDE w:val="0"/>
        <w:autoSpaceDN w:val="0"/>
        <w:adjustRightInd w:val="0"/>
        <w:rPr>
          <w:rFonts w:cs="Arial"/>
        </w:rPr>
      </w:pPr>
      <w:r w:rsidRPr="0033429D">
        <w:rPr>
          <w:rFonts w:cs="Arial"/>
        </w:rPr>
        <w:t>Having had no MRSA bloodstream infections for 1,000 days, the Trust reported two cases of hospital apportioned MRSA bloo</w:t>
      </w:r>
      <w:r>
        <w:rPr>
          <w:rFonts w:cs="Arial"/>
        </w:rPr>
        <w:t>d stream infections in 2013/14 and a further two cases in 2014/15.</w:t>
      </w:r>
      <w:r w:rsidRPr="0033429D">
        <w:rPr>
          <w:rFonts w:cs="Arial"/>
        </w:rPr>
        <w:t xml:space="preserve"> In response to these cases, the Trust has reviewed diagnostic procedures for diabetic patients with foot ulcers, has introduced MRSA screening for patients with extended hospital stays, and has commenced further training on the procedures for taking blood cultures.  These specific actions are in addition to ongoing monitoring of practice, including hand washing, isolation practices and care of invasive devices.   </w:t>
      </w:r>
    </w:p>
    <w:p w:rsidR="00FE3B47" w:rsidRPr="0033429D" w:rsidRDefault="00FE3B47" w:rsidP="00FE3B47">
      <w:pPr>
        <w:rPr>
          <w:rFonts w:cs="Arial"/>
          <w:b/>
          <w:i/>
        </w:rPr>
      </w:pPr>
    </w:p>
    <w:p w:rsidR="00FE3B47" w:rsidRPr="00FE3B47" w:rsidRDefault="00FE3B47" w:rsidP="00FE3B47">
      <w:pPr>
        <w:rPr>
          <w:rFonts w:cs="Arial"/>
          <w:b/>
        </w:rPr>
      </w:pPr>
      <w:r w:rsidRPr="00FE3B47">
        <w:rPr>
          <w:rFonts w:cs="Arial"/>
          <w:b/>
        </w:rPr>
        <w:t xml:space="preserve">Venous </w:t>
      </w:r>
      <w:proofErr w:type="spellStart"/>
      <w:r w:rsidRPr="00FE3B47">
        <w:rPr>
          <w:rFonts w:cs="Arial"/>
          <w:b/>
        </w:rPr>
        <w:t>Thrombo</w:t>
      </w:r>
      <w:proofErr w:type="spellEnd"/>
      <w:r w:rsidRPr="00FE3B47">
        <w:rPr>
          <w:rFonts w:cs="Arial"/>
          <w:b/>
        </w:rPr>
        <w:t xml:space="preserve"> Embolism </w:t>
      </w:r>
    </w:p>
    <w:p w:rsidR="00FE3B47" w:rsidRPr="000D4FCC" w:rsidRDefault="00FE3B47" w:rsidP="00FE3B47">
      <w:pPr>
        <w:rPr>
          <w:rFonts w:cs="Arial"/>
          <w:b/>
          <w:i/>
          <w:color w:val="548DD4" w:themeColor="text2" w:themeTint="99"/>
        </w:rPr>
      </w:pPr>
    </w:p>
    <w:p w:rsidR="00FE3B47" w:rsidRPr="0033429D" w:rsidRDefault="0020200D" w:rsidP="00FE3B47">
      <w:pPr>
        <w:rPr>
          <w:rFonts w:cs="Arial"/>
        </w:rPr>
      </w:pPr>
      <w:r>
        <w:rPr>
          <w:rFonts w:cs="Arial"/>
        </w:rPr>
        <w:t>It is a n</w:t>
      </w:r>
      <w:r w:rsidR="00FE3B47" w:rsidRPr="0033429D">
        <w:rPr>
          <w:rFonts w:cs="Arial"/>
        </w:rPr>
        <w:t xml:space="preserve">ational requirement that 90% of patients admitted to hospital should be assessed as to their risk of developing a venous thrombosis (blood clot). </w:t>
      </w:r>
      <w:r w:rsidR="00FE3B47">
        <w:rPr>
          <w:rFonts w:cs="Arial"/>
        </w:rPr>
        <w:t xml:space="preserve">In </w:t>
      </w:r>
      <w:r w:rsidR="00FE3B47" w:rsidRPr="0033429D">
        <w:rPr>
          <w:rFonts w:cs="Arial"/>
        </w:rPr>
        <w:t>2</w:t>
      </w:r>
      <w:r w:rsidR="00FE3B47">
        <w:rPr>
          <w:rFonts w:cs="Arial"/>
        </w:rPr>
        <w:t>013/2014, assessment levels fell</w:t>
      </w:r>
      <w:r>
        <w:rPr>
          <w:rFonts w:cs="Arial"/>
        </w:rPr>
        <w:t xml:space="preserve"> </w:t>
      </w:r>
      <w:r w:rsidR="00FE3B47" w:rsidRPr="0033429D">
        <w:rPr>
          <w:rFonts w:cs="Arial"/>
        </w:rPr>
        <w:t>below t</w:t>
      </w:r>
      <w:r w:rsidR="00FE3B47">
        <w:rPr>
          <w:rFonts w:cs="Arial"/>
        </w:rPr>
        <w:t>he 90% level expected. There were</w:t>
      </w:r>
      <w:r>
        <w:rPr>
          <w:rFonts w:cs="Arial"/>
        </w:rPr>
        <w:t xml:space="preserve"> two principal reasons for this </w:t>
      </w:r>
      <w:r w:rsidR="00FE3B47" w:rsidRPr="0033429D">
        <w:rPr>
          <w:rFonts w:cs="Arial"/>
        </w:rPr>
        <w:t>failure. In May 2013, to comply with NICE guidanc</w:t>
      </w:r>
      <w:r>
        <w:rPr>
          <w:rFonts w:cs="Arial"/>
        </w:rPr>
        <w:t xml:space="preserve">e, only those patients who were assessed within the first 24 hours of their </w:t>
      </w:r>
      <w:r w:rsidR="00FE3B47" w:rsidRPr="0033429D">
        <w:rPr>
          <w:rFonts w:cs="Arial"/>
        </w:rPr>
        <w:t>admission were regarded as having been properly asses</w:t>
      </w:r>
      <w:r>
        <w:rPr>
          <w:rFonts w:cs="Arial"/>
        </w:rPr>
        <w:t xml:space="preserve">sed. Assessments made outside of this time frame </w:t>
      </w:r>
      <w:r w:rsidR="00FE3B47" w:rsidRPr="0033429D">
        <w:rPr>
          <w:rFonts w:cs="Arial"/>
        </w:rPr>
        <w:t xml:space="preserve">were discounted for the </w:t>
      </w:r>
      <w:r w:rsidR="004138A3">
        <w:rPr>
          <w:rFonts w:cs="Arial"/>
        </w:rPr>
        <w:t xml:space="preserve">purposes of the audit, and this undoubtedly impacted on the assessment rate. </w:t>
      </w:r>
      <w:r w:rsidR="00FE3B47" w:rsidRPr="0033429D">
        <w:rPr>
          <w:rFonts w:cs="Arial"/>
        </w:rPr>
        <w:t xml:space="preserve">The </w:t>
      </w:r>
      <w:r w:rsidR="004138A3">
        <w:rPr>
          <w:rFonts w:cs="Arial"/>
        </w:rPr>
        <w:t xml:space="preserve">second reason for the failure </w:t>
      </w:r>
      <w:r w:rsidR="00FE3B47">
        <w:rPr>
          <w:rFonts w:cs="Arial"/>
        </w:rPr>
        <w:t xml:space="preserve">was </w:t>
      </w:r>
      <w:r w:rsidR="004138A3">
        <w:rPr>
          <w:rFonts w:cs="Arial"/>
        </w:rPr>
        <w:t xml:space="preserve">a lack of </w:t>
      </w:r>
      <w:r w:rsidR="00FE3B47" w:rsidRPr="0033429D">
        <w:rPr>
          <w:rFonts w:cs="Arial"/>
        </w:rPr>
        <w:t>'auditors' to ascertain ea</w:t>
      </w:r>
      <w:r w:rsidR="00FE3B47">
        <w:rPr>
          <w:rFonts w:cs="Arial"/>
        </w:rPr>
        <w:t>ch month which patients were</w:t>
      </w:r>
      <w:r w:rsidR="004138A3">
        <w:rPr>
          <w:rFonts w:cs="Arial"/>
        </w:rPr>
        <w:t xml:space="preserve"> </w:t>
      </w:r>
      <w:r w:rsidR="00FE3B47" w:rsidRPr="0033429D">
        <w:rPr>
          <w:rFonts w:cs="Arial"/>
        </w:rPr>
        <w:t>asse</w:t>
      </w:r>
      <w:r w:rsidR="004138A3">
        <w:rPr>
          <w:rFonts w:cs="Arial"/>
        </w:rPr>
        <w:t xml:space="preserve">ssed and which not, - an exercise that </w:t>
      </w:r>
      <w:r w:rsidR="00FE3B47" w:rsidRPr="0033429D">
        <w:rPr>
          <w:rFonts w:cs="Arial"/>
        </w:rPr>
        <w:t xml:space="preserve">involves </w:t>
      </w:r>
      <w:r w:rsidR="004138A3">
        <w:rPr>
          <w:rFonts w:cs="Arial"/>
        </w:rPr>
        <w:t xml:space="preserve">checking the medical records of about 2500 patients. Of these 2500 patients as many as 500 patients </w:t>
      </w:r>
      <w:r w:rsidR="00FE3B47" w:rsidRPr="0033429D">
        <w:rPr>
          <w:rFonts w:cs="Arial"/>
        </w:rPr>
        <w:t xml:space="preserve">are lost to the auditors simply </w:t>
      </w:r>
      <w:r w:rsidR="004138A3">
        <w:rPr>
          <w:rFonts w:cs="Arial"/>
        </w:rPr>
        <w:t xml:space="preserve">because their number is too few </w:t>
      </w:r>
      <w:r w:rsidR="00FE3B47" w:rsidRPr="0033429D">
        <w:rPr>
          <w:rFonts w:cs="Arial"/>
        </w:rPr>
        <w:t>to collect all the data.</w:t>
      </w:r>
    </w:p>
    <w:p w:rsidR="00FE3B47" w:rsidRPr="0033429D" w:rsidRDefault="00FE3B47" w:rsidP="00FE3B47">
      <w:pPr>
        <w:rPr>
          <w:rFonts w:cs="Arial"/>
        </w:rPr>
      </w:pPr>
    </w:p>
    <w:p w:rsidR="00FE3B47" w:rsidRPr="0033429D" w:rsidRDefault="004138A3" w:rsidP="00FE3B47">
      <w:pPr>
        <w:rPr>
          <w:rFonts w:cs="Arial"/>
        </w:rPr>
      </w:pPr>
      <w:r>
        <w:rPr>
          <w:rFonts w:cs="Arial"/>
        </w:rPr>
        <w:t>Addressing b</w:t>
      </w:r>
      <w:r w:rsidR="00FE3B47">
        <w:rPr>
          <w:rFonts w:cs="Arial"/>
        </w:rPr>
        <w:t>oth of these measu</w:t>
      </w:r>
      <w:r>
        <w:rPr>
          <w:rFonts w:cs="Arial"/>
        </w:rPr>
        <w:t>res was</w:t>
      </w:r>
      <w:r w:rsidR="00FE3B47" w:rsidRPr="0033429D">
        <w:rPr>
          <w:rFonts w:cs="Arial"/>
        </w:rPr>
        <w:t xml:space="preserve"> expected to return the Trust'</w:t>
      </w:r>
      <w:r w:rsidR="00FE3B47">
        <w:rPr>
          <w:rFonts w:cs="Arial"/>
        </w:rPr>
        <w:t>s performance to that expected nationally</w:t>
      </w:r>
      <w:r>
        <w:rPr>
          <w:rFonts w:cs="Arial"/>
        </w:rPr>
        <w:t>. T</w:t>
      </w:r>
      <w:r w:rsidR="00FE3B47">
        <w:rPr>
          <w:rFonts w:cs="Arial"/>
        </w:rPr>
        <w:t xml:space="preserve">his </w:t>
      </w:r>
      <w:r>
        <w:rPr>
          <w:rFonts w:cs="Arial"/>
        </w:rPr>
        <w:t>was the case as</w:t>
      </w:r>
      <w:r w:rsidR="00FE3B47">
        <w:rPr>
          <w:rFonts w:cs="Arial"/>
        </w:rPr>
        <w:t xml:space="preserve"> reflected in the 2014/15 figures below</w:t>
      </w:r>
      <w:r w:rsidR="00FE3B47" w:rsidRPr="0033429D">
        <w:rPr>
          <w:rFonts w:cs="Arial"/>
        </w:rPr>
        <w:t>.</w:t>
      </w:r>
    </w:p>
    <w:p w:rsidR="00FE3B47" w:rsidRDefault="00FE3B47" w:rsidP="00FE3B47">
      <w:pPr>
        <w:rPr>
          <w:rFonts w:cs="Arial"/>
        </w:rPr>
      </w:pPr>
    </w:p>
    <w:p w:rsidR="00FE3B47" w:rsidRDefault="00FE3B47" w:rsidP="00FE3B47">
      <w:r w:rsidRPr="009E301B">
        <w:rPr>
          <w:noProof/>
          <w:lang w:val="en-GB" w:eastAsia="en-GB"/>
        </w:rPr>
        <w:drawing>
          <wp:inline distT="0" distB="0" distL="0" distR="0">
            <wp:extent cx="5731510" cy="1009650"/>
            <wp:effectExtent l="1905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srcRect/>
                    <a:stretch>
                      <a:fillRect/>
                    </a:stretch>
                  </pic:blipFill>
                  <pic:spPr bwMode="auto">
                    <a:xfrm>
                      <a:off x="0" y="0"/>
                      <a:ext cx="5731510" cy="1009650"/>
                    </a:xfrm>
                    <a:prstGeom prst="rect">
                      <a:avLst/>
                    </a:prstGeom>
                    <a:noFill/>
                    <a:ln w="9525">
                      <a:noFill/>
                      <a:miter lim="800000"/>
                      <a:headEnd/>
                      <a:tailEnd/>
                    </a:ln>
                  </pic:spPr>
                </pic:pic>
              </a:graphicData>
            </a:graphic>
          </wp:inline>
        </w:drawing>
      </w:r>
    </w:p>
    <w:p w:rsidR="00FE3B47" w:rsidRDefault="00FE3B47" w:rsidP="00FE3B47"/>
    <w:p w:rsidR="004138A3" w:rsidRDefault="004138A3" w:rsidP="00FE3B47"/>
    <w:p w:rsidR="004138A3" w:rsidRDefault="004138A3" w:rsidP="00FE3B47"/>
    <w:p w:rsidR="00F93ABB" w:rsidRPr="001573AE" w:rsidRDefault="00F93ABB" w:rsidP="00CF5E74">
      <w:pPr>
        <w:pStyle w:val="Heading2"/>
      </w:pPr>
      <w:bookmarkStart w:id="29" w:name="_Toc387747648"/>
      <w:bookmarkStart w:id="30" w:name="_Toc293583979"/>
      <w:r>
        <w:lastRenderedPageBreak/>
        <w:t>2.2.3 Improving Service Quality and P</w:t>
      </w:r>
      <w:r w:rsidRPr="001573AE">
        <w:t>a</w:t>
      </w:r>
      <w:r>
        <w:t>tient S</w:t>
      </w:r>
      <w:r w:rsidRPr="001573AE">
        <w:t>atisfaction</w:t>
      </w:r>
      <w:bookmarkEnd w:id="29"/>
    </w:p>
    <w:p w:rsidR="0099633F" w:rsidRPr="0099633F" w:rsidRDefault="0099633F" w:rsidP="008F0269">
      <w:pPr>
        <w:rPr>
          <w:rFonts w:cs="Arial"/>
          <w:b/>
        </w:rPr>
      </w:pPr>
      <w:r w:rsidRPr="0099633F">
        <w:rPr>
          <w:rFonts w:cs="Arial"/>
          <w:b/>
        </w:rPr>
        <w:t>Learning from the Care Quality Commissions new inspection framework</w:t>
      </w:r>
    </w:p>
    <w:p w:rsidR="0099633F" w:rsidRDefault="0099633F" w:rsidP="008F0269">
      <w:pPr>
        <w:rPr>
          <w:rFonts w:cs="Arial"/>
        </w:rPr>
      </w:pPr>
    </w:p>
    <w:p w:rsidR="001F7345" w:rsidRDefault="001F7345" w:rsidP="008F0269">
      <w:pPr>
        <w:rPr>
          <w:rFonts w:cs="Arial"/>
        </w:rPr>
      </w:pPr>
      <w:r w:rsidRPr="009C7AF7">
        <w:rPr>
          <w:rFonts w:cs="Arial"/>
        </w:rPr>
        <w:t>Weston Area Health NHS Trust is required to register with the CQC and the Trust’s current registration status is ‘registered without conditions or restrictions’</w:t>
      </w:r>
    </w:p>
    <w:p w:rsidR="0050064A" w:rsidRDefault="0050064A" w:rsidP="008F0269">
      <w:pPr>
        <w:rPr>
          <w:rFonts w:cs="Arial"/>
        </w:rPr>
      </w:pPr>
    </w:p>
    <w:p w:rsidR="0050064A" w:rsidRDefault="0050064A" w:rsidP="008F0269">
      <w:pPr>
        <w:rPr>
          <w:rFonts w:cs="Arial"/>
        </w:rPr>
      </w:pPr>
      <w:r>
        <w:rPr>
          <w:rFonts w:cs="Arial"/>
        </w:rPr>
        <w:t xml:space="preserve">The Trust has not been inspected by the CQC during </w:t>
      </w:r>
      <w:r w:rsidR="00AF48EE">
        <w:rPr>
          <w:rFonts w:cs="Arial"/>
        </w:rPr>
        <w:t>2014/15 but has developed its internal self assessment pr</w:t>
      </w:r>
      <w:r w:rsidR="00375E1F">
        <w:rPr>
          <w:rFonts w:cs="Arial"/>
        </w:rPr>
        <w:t xml:space="preserve">ocesses in response to their </w:t>
      </w:r>
      <w:r w:rsidR="00AF48EE">
        <w:rPr>
          <w:rFonts w:cs="Arial"/>
        </w:rPr>
        <w:t xml:space="preserve">new inspection framework. It has done this by, for example aligning committee agendas and risk reporting to the CQC domains of safe, </w:t>
      </w:r>
      <w:r w:rsidR="00375E1F">
        <w:rPr>
          <w:rFonts w:cs="Arial"/>
        </w:rPr>
        <w:t>effective, caring, responsive and well led, introducing mock inspections for all services, briefing staff of the changes and de</w:t>
      </w:r>
      <w:r w:rsidR="004138A3">
        <w:rPr>
          <w:rFonts w:cs="Arial"/>
        </w:rPr>
        <w:t>veloping audit tools for ward sisters</w:t>
      </w:r>
      <w:r w:rsidR="00375E1F">
        <w:rPr>
          <w:rFonts w:cs="Arial"/>
        </w:rPr>
        <w:t xml:space="preserve"> based on the new CQC prompts.</w:t>
      </w:r>
    </w:p>
    <w:p w:rsidR="000C5939" w:rsidRDefault="000C5939" w:rsidP="008F0269">
      <w:pPr>
        <w:rPr>
          <w:rFonts w:cs="Arial"/>
        </w:rPr>
      </w:pPr>
    </w:p>
    <w:p w:rsidR="001F7345" w:rsidRPr="009C7AF7" w:rsidRDefault="001F7345" w:rsidP="00C30E92">
      <w:pPr>
        <w:pStyle w:val="Heading3"/>
        <w:pBdr>
          <w:bottom w:val="none" w:sz="0" w:space="0" w:color="auto"/>
        </w:pBdr>
        <w:rPr>
          <w:rFonts w:cs="Arial"/>
          <w:color w:val="auto"/>
        </w:rPr>
      </w:pPr>
      <w:bookmarkStart w:id="31" w:name="_Toc355089344"/>
      <w:bookmarkStart w:id="32" w:name="_Toc387747649"/>
      <w:r w:rsidRPr="009C7AF7">
        <w:rPr>
          <w:rFonts w:cs="Arial"/>
          <w:color w:val="auto"/>
        </w:rPr>
        <w:t>Patient</w:t>
      </w:r>
      <w:bookmarkEnd w:id="31"/>
      <w:bookmarkEnd w:id="32"/>
      <w:r w:rsidR="0099633F">
        <w:rPr>
          <w:rFonts w:cs="Arial"/>
          <w:color w:val="auto"/>
        </w:rPr>
        <w:t xml:space="preserve"> Experience Monitoring</w:t>
      </w:r>
    </w:p>
    <w:p w:rsidR="001F7345" w:rsidRPr="009C7AF7" w:rsidRDefault="001F7345" w:rsidP="001F7345"/>
    <w:p w:rsidR="001F7345" w:rsidRPr="009C7AF7" w:rsidRDefault="00FA2FAF" w:rsidP="001F7345">
      <w:pPr>
        <w:rPr>
          <w:rFonts w:cs="Arial"/>
        </w:rPr>
      </w:pPr>
      <w:r>
        <w:rPr>
          <w:rFonts w:cs="Arial"/>
        </w:rPr>
        <w:t>Our ability to measure patient e</w:t>
      </w:r>
      <w:r w:rsidR="001F7345" w:rsidRPr="009C7AF7">
        <w:rPr>
          <w:rFonts w:cs="Arial"/>
        </w:rPr>
        <w:t>xperience is critical to making positive changes and supporting staff in deliverin</w:t>
      </w:r>
      <w:r w:rsidR="008F0269">
        <w:rPr>
          <w:rFonts w:cs="Arial"/>
        </w:rPr>
        <w:t xml:space="preserve">g best care. Throughout 2014/15 </w:t>
      </w:r>
      <w:r w:rsidR="001F7345" w:rsidRPr="009C7AF7">
        <w:rPr>
          <w:rFonts w:cs="Arial"/>
        </w:rPr>
        <w:t xml:space="preserve">there has been a significant focus on care delivery and the engagement of patients in informing how care and hospital services should and can be delivered. </w:t>
      </w:r>
    </w:p>
    <w:p w:rsidR="00A015A4" w:rsidRDefault="00A015A4" w:rsidP="001F7345">
      <w:pPr>
        <w:rPr>
          <w:rFonts w:cs="Arial"/>
        </w:rPr>
      </w:pPr>
    </w:p>
    <w:p w:rsidR="001F7345" w:rsidRPr="009C7AF7" w:rsidRDefault="00FA2FAF" w:rsidP="001F7345">
      <w:pPr>
        <w:rPr>
          <w:rFonts w:cs="Arial"/>
        </w:rPr>
      </w:pPr>
      <w:r>
        <w:rPr>
          <w:rFonts w:cs="Arial"/>
        </w:rPr>
        <w:t>The Trust has</w:t>
      </w:r>
      <w:r w:rsidR="001F7345" w:rsidRPr="009C7AF7">
        <w:rPr>
          <w:rFonts w:cs="Arial"/>
        </w:rPr>
        <w:t xml:space="preserve"> demonstrated a commitment to improving the experience of patients with the devel</w:t>
      </w:r>
      <w:r w:rsidR="00477781">
        <w:rPr>
          <w:rFonts w:cs="Arial"/>
        </w:rPr>
        <w:t>opment and implementation of a service user c</w:t>
      </w:r>
      <w:r w:rsidR="001F7345" w:rsidRPr="009C7AF7">
        <w:rPr>
          <w:rFonts w:cs="Arial"/>
        </w:rPr>
        <w:t>ouncil (the Patients’ Council).  They have a remit to challenge and hold the Trust to account on delivery of and improvement of excellent patient experience.</w:t>
      </w:r>
      <w:r w:rsidR="006B45BA">
        <w:rPr>
          <w:rFonts w:cs="Arial"/>
        </w:rPr>
        <w:t xml:space="preserve"> </w:t>
      </w:r>
    </w:p>
    <w:p w:rsidR="001F7345" w:rsidRPr="009C7AF7" w:rsidRDefault="001F7345" w:rsidP="001F7345">
      <w:pPr>
        <w:rPr>
          <w:rFonts w:cs="Arial"/>
          <w:highlight w:val="yellow"/>
        </w:rPr>
      </w:pPr>
    </w:p>
    <w:p w:rsidR="0099633F" w:rsidRDefault="008F0269" w:rsidP="001F7345">
      <w:pPr>
        <w:rPr>
          <w:rFonts w:cs="Arial"/>
        </w:rPr>
      </w:pPr>
      <w:proofErr w:type="gramStart"/>
      <w:r>
        <w:rPr>
          <w:rFonts w:cs="Arial"/>
        </w:rPr>
        <w:t>During 2014/15</w:t>
      </w:r>
      <w:r w:rsidR="0099633F">
        <w:rPr>
          <w:rFonts w:cs="Arial"/>
        </w:rPr>
        <w:t xml:space="preserve"> </w:t>
      </w:r>
      <w:r w:rsidR="001F7345" w:rsidRPr="009C7AF7">
        <w:rPr>
          <w:rFonts w:cs="Arial"/>
        </w:rPr>
        <w:t>Council member</w:t>
      </w:r>
      <w:r w:rsidR="00FA2FAF">
        <w:rPr>
          <w:rFonts w:cs="Arial"/>
        </w:rPr>
        <w:t xml:space="preserve">s have continued as members </w:t>
      </w:r>
      <w:r w:rsidR="001F7345" w:rsidRPr="009C7AF7">
        <w:rPr>
          <w:rFonts w:cs="Arial"/>
        </w:rPr>
        <w:t>of the key committees in the Trust.</w:t>
      </w:r>
      <w:proofErr w:type="gramEnd"/>
      <w:r w:rsidR="001F7345" w:rsidRPr="009C7AF7">
        <w:rPr>
          <w:rFonts w:cs="Arial"/>
        </w:rPr>
        <w:t xml:space="preserve"> They have piloted two new approaches to assessing the quality of care at the Trust through gathering patient stories </w:t>
      </w:r>
      <w:r w:rsidR="00FA2FAF">
        <w:rPr>
          <w:rFonts w:cs="Arial"/>
        </w:rPr>
        <w:t xml:space="preserve">using a modified </w:t>
      </w:r>
      <w:r w:rsidR="0099633F">
        <w:rPr>
          <w:rFonts w:cs="Arial"/>
        </w:rPr>
        <w:t>‘</w:t>
      </w:r>
      <w:r w:rsidR="00FA2FAF">
        <w:rPr>
          <w:rFonts w:cs="Arial"/>
        </w:rPr>
        <w:t>Discovery Interview</w:t>
      </w:r>
      <w:r w:rsidR="0099633F">
        <w:rPr>
          <w:rFonts w:cs="Arial"/>
        </w:rPr>
        <w:t>’</w:t>
      </w:r>
      <w:r w:rsidR="00FA2FAF">
        <w:rPr>
          <w:rFonts w:cs="Arial"/>
        </w:rPr>
        <w:t xml:space="preserve"> </w:t>
      </w:r>
      <w:r w:rsidR="001F7345" w:rsidRPr="009C7AF7">
        <w:rPr>
          <w:rFonts w:cs="Arial"/>
        </w:rPr>
        <w:t xml:space="preserve">and </w:t>
      </w:r>
      <w:r w:rsidR="00FA2FAF">
        <w:rPr>
          <w:rFonts w:cs="Arial"/>
        </w:rPr>
        <w:t xml:space="preserve">surveying patients using prompts from the Care Quality Commission caring domain. </w:t>
      </w:r>
      <w:r w:rsidR="001F7345" w:rsidRPr="009C7AF7">
        <w:rPr>
          <w:rFonts w:cs="Arial"/>
        </w:rPr>
        <w:t xml:space="preserve"> </w:t>
      </w:r>
    </w:p>
    <w:p w:rsidR="001F7345" w:rsidRDefault="001F7345" w:rsidP="001F7345">
      <w:pPr>
        <w:rPr>
          <w:rFonts w:cs="Arial"/>
        </w:rPr>
      </w:pPr>
    </w:p>
    <w:p w:rsidR="00C30E92" w:rsidRPr="003145B6" w:rsidRDefault="00C30E92" w:rsidP="00C30E92">
      <w:pPr>
        <w:rPr>
          <w:rFonts w:cs="Arial"/>
        </w:rPr>
      </w:pPr>
      <w:r w:rsidRPr="003145B6">
        <w:rPr>
          <w:rFonts w:cs="Arial"/>
        </w:rPr>
        <w:t xml:space="preserve">The Patient Experience Review Group is </w:t>
      </w:r>
      <w:proofErr w:type="gramStart"/>
      <w:r w:rsidRPr="003145B6">
        <w:rPr>
          <w:rFonts w:cs="Arial"/>
        </w:rPr>
        <w:t>key</w:t>
      </w:r>
      <w:proofErr w:type="gramEnd"/>
      <w:r w:rsidRPr="003145B6">
        <w:rPr>
          <w:rFonts w:cs="Arial"/>
        </w:rPr>
        <w:t xml:space="preserve"> to demonstrating openness and accountability to patients and key stakeholders across the community. The Group includes membership from local charities and ensures that the Trust reviews and acts on the results of patient experience monitoring. This includes, but is not limited to;</w:t>
      </w:r>
    </w:p>
    <w:p w:rsidR="00C30E92" w:rsidRPr="003145B6" w:rsidRDefault="00C30E92" w:rsidP="00C30E92">
      <w:pPr>
        <w:pStyle w:val="ListParagraph"/>
        <w:numPr>
          <w:ilvl w:val="0"/>
          <w:numId w:val="28"/>
        </w:numPr>
        <w:spacing w:after="200" w:line="276" w:lineRule="auto"/>
        <w:jc w:val="left"/>
        <w:rPr>
          <w:rFonts w:cs="Arial"/>
        </w:rPr>
      </w:pPr>
      <w:r w:rsidRPr="003145B6">
        <w:rPr>
          <w:rFonts w:cs="Arial"/>
        </w:rPr>
        <w:t xml:space="preserve">Patient or </w:t>
      </w:r>
      <w:proofErr w:type="spellStart"/>
      <w:r w:rsidRPr="003145B6">
        <w:rPr>
          <w:rFonts w:cs="Arial"/>
        </w:rPr>
        <w:t>carer</w:t>
      </w:r>
      <w:proofErr w:type="spellEnd"/>
      <w:r w:rsidRPr="003145B6">
        <w:rPr>
          <w:rFonts w:cs="Arial"/>
        </w:rPr>
        <w:t xml:space="preserve"> surveys </w:t>
      </w:r>
    </w:p>
    <w:p w:rsidR="00C30E92" w:rsidRPr="003145B6" w:rsidRDefault="00C30E92" w:rsidP="00C30E92">
      <w:pPr>
        <w:pStyle w:val="ListParagraph"/>
        <w:numPr>
          <w:ilvl w:val="0"/>
          <w:numId w:val="28"/>
        </w:numPr>
        <w:spacing w:after="200" w:line="276" w:lineRule="auto"/>
        <w:jc w:val="left"/>
        <w:rPr>
          <w:rFonts w:cs="Arial"/>
        </w:rPr>
      </w:pPr>
      <w:r w:rsidRPr="003145B6">
        <w:rPr>
          <w:rFonts w:cs="Arial"/>
        </w:rPr>
        <w:t>Observations of care</w:t>
      </w:r>
    </w:p>
    <w:p w:rsidR="00C30E92" w:rsidRPr="003145B6" w:rsidRDefault="00C30E92" w:rsidP="00C30E92">
      <w:pPr>
        <w:pStyle w:val="ListParagraph"/>
        <w:numPr>
          <w:ilvl w:val="0"/>
          <w:numId w:val="28"/>
        </w:numPr>
        <w:spacing w:after="200" w:line="276" w:lineRule="auto"/>
        <w:jc w:val="left"/>
        <w:rPr>
          <w:rFonts w:cs="Arial"/>
        </w:rPr>
      </w:pPr>
      <w:r w:rsidRPr="003145B6">
        <w:rPr>
          <w:rFonts w:cs="Arial"/>
        </w:rPr>
        <w:t xml:space="preserve">Service reviews that involve patients or their </w:t>
      </w:r>
      <w:proofErr w:type="spellStart"/>
      <w:r w:rsidRPr="003145B6">
        <w:rPr>
          <w:rFonts w:cs="Arial"/>
        </w:rPr>
        <w:t>carers</w:t>
      </w:r>
      <w:proofErr w:type="spellEnd"/>
    </w:p>
    <w:p w:rsidR="00C30E92" w:rsidRPr="003145B6" w:rsidRDefault="00C30E92" w:rsidP="00C30E92">
      <w:pPr>
        <w:pStyle w:val="ListParagraph"/>
        <w:numPr>
          <w:ilvl w:val="0"/>
          <w:numId w:val="28"/>
        </w:numPr>
        <w:spacing w:after="200" w:line="276" w:lineRule="auto"/>
        <w:jc w:val="left"/>
        <w:rPr>
          <w:rFonts w:cs="Arial"/>
        </w:rPr>
      </w:pPr>
      <w:r w:rsidRPr="003145B6">
        <w:rPr>
          <w:rFonts w:cs="Arial"/>
        </w:rPr>
        <w:t xml:space="preserve">Patient stories </w:t>
      </w:r>
    </w:p>
    <w:p w:rsidR="00C30E92" w:rsidRPr="003145B6" w:rsidRDefault="00C30E92" w:rsidP="00C30E92">
      <w:pPr>
        <w:pStyle w:val="ListParagraph"/>
        <w:numPr>
          <w:ilvl w:val="0"/>
          <w:numId w:val="28"/>
        </w:numPr>
        <w:spacing w:after="200" w:line="276" w:lineRule="auto"/>
        <w:jc w:val="left"/>
        <w:rPr>
          <w:rFonts w:cs="Arial"/>
        </w:rPr>
      </w:pPr>
      <w:r w:rsidRPr="003145B6">
        <w:rPr>
          <w:rFonts w:cs="Arial"/>
        </w:rPr>
        <w:t>Departmental audits that include measures of patient experience</w:t>
      </w:r>
    </w:p>
    <w:p w:rsidR="00C30E92" w:rsidRPr="003145B6" w:rsidRDefault="00C30E92" w:rsidP="00C30E92">
      <w:pPr>
        <w:pStyle w:val="ListParagraph"/>
        <w:numPr>
          <w:ilvl w:val="0"/>
          <w:numId w:val="28"/>
        </w:numPr>
        <w:spacing w:after="200" w:line="276" w:lineRule="auto"/>
        <w:jc w:val="left"/>
        <w:rPr>
          <w:rFonts w:cs="Arial"/>
        </w:rPr>
      </w:pPr>
      <w:r w:rsidRPr="003145B6">
        <w:rPr>
          <w:rFonts w:cs="Arial"/>
        </w:rPr>
        <w:t>Direct approaches from patients via PALs, complaints, letters to the media, complements and social media feedback.</w:t>
      </w:r>
    </w:p>
    <w:p w:rsidR="001F7345" w:rsidRDefault="00AF25FD" w:rsidP="001F7345">
      <w:pPr>
        <w:rPr>
          <w:rFonts w:cs="Arial"/>
        </w:rPr>
      </w:pPr>
      <w:r>
        <w:rPr>
          <w:rFonts w:cs="Arial"/>
        </w:rPr>
        <w:t>During 2014/15 both the Patients’ Council and Patient Experience Review Group worked with us to review and refresh our Patient and Public Engage</w:t>
      </w:r>
      <w:r w:rsidR="00477781">
        <w:rPr>
          <w:rFonts w:cs="Arial"/>
        </w:rPr>
        <w:t>ment Strategy</w:t>
      </w:r>
      <w:r>
        <w:rPr>
          <w:rFonts w:cs="Arial"/>
        </w:rPr>
        <w:t xml:space="preserve"> and patient experience improvement priorities for 2015/16 described in our 2014/15 Qu</w:t>
      </w:r>
      <w:r w:rsidR="00477781">
        <w:rPr>
          <w:rFonts w:cs="Arial"/>
        </w:rPr>
        <w:t>ality Account. Both of these documents are available on the Trust’s website.</w:t>
      </w:r>
    </w:p>
    <w:p w:rsidR="00AF25FD" w:rsidRPr="009C7AF7" w:rsidRDefault="00AF25FD" w:rsidP="001F7345">
      <w:pPr>
        <w:rPr>
          <w:rFonts w:cs="Arial"/>
        </w:rPr>
      </w:pPr>
    </w:p>
    <w:p w:rsidR="001F7345" w:rsidRDefault="001F7345" w:rsidP="001F7345">
      <w:pPr>
        <w:rPr>
          <w:rFonts w:cs="Arial"/>
          <w:b/>
        </w:rPr>
      </w:pPr>
      <w:r w:rsidRPr="009C7AF7">
        <w:rPr>
          <w:rFonts w:cs="Arial"/>
          <w:b/>
        </w:rPr>
        <w:t>National Inpatient Survey</w:t>
      </w:r>
    </w:p>
    <w:p w:rsidR="000C5939" w:rsidRPr="009C7AF7" w:rsidRDefault="000C5939" w:rsidP="001F7345">
      <w:pPr>
        <w:rPr>
          <w:rFonts w:cs="Arial"/>
          <w:b/>
        </w:rPr>
      </w:pPr>
    </w:p>
    <w:p w:rsidR="004207F8" w:rsidRPr="004207F8" w:rsidRDefault="004207F8" w:rsidP="004207F8">
      <w:pPr>
        <w:rPr>
          <w:rFonts w:cs="Arial"/>
        </w:rPr>
      </w:pPr>
      <w:r w:rsidRPr="004207F8">
        <w:rPr>
          <w:rFonts w:cs="Arial"/>
        </w:rPr>
        <w:t>The annual adult inpatient survey is carried out in 156 Trusts (</w:t>
      </w:r>
      <w:hyperlink r:id="rId32" w:history="1">
        <w:r w:rsidRPr="004207F8">
          <w:rPr>
            <w:rStyle w:val="Hyperlink"/>
            <w:rFonts w:cs="Arial"/>
          </w:rPr>
          <w:t>www.cqc.org.uk</w:t>
        </w:r>
      </w:hyperlink>
      <w:r w:rsidRPr="004207F8">
        <w:rPr>
          <w:rFonts w:cs="Arial"/>
        </w:rPr>
        <w:t xml:space="preserve">).  The survey is based on a sample of consecutively discharged inpatients who attended Weston in June, July and August 2014. At Weston 850 questionnaires were sent to patients of </w:t>
      </w:r>
      <w:proofErr w:type="gramStart"/>
      <w:r w:rsidRPr="004207F8">
        <w:rPr>
          <w:rFonts w:cs="Arial"/>
        </w:rPr>
        <w:t>which</w:t>
      </w:r>
      <w:proofErr w:type="gramEnd"/>
      <w:r w:rsidRPr="004207F8">
        <w:rPr>
          <w:rFonts w:cs="Arial"/>
        </w:rPr>
        <w:t xml:space="preserve"> 813 were eligible to partake in the survey.  The Trust received 406 completed responses giving the Trust a response rate of 50%, slightly higher than the previous year of 48%.</w:t>
      </w:r>
    </w:p>
    <w:p w:rsidR="004207F8" w:rsidRPr="004207F8" w:rsidRDefault="004207F8" w:rsidP="004207F8">
      <w:pPr>
        <w:rPr>
          <w:rFonts w:cs="Arial"/>
        </w:rPr>
      </w:pPr>
    </w:p>
    <w:p w:rsidR="004207F8" w:rsidRPr="004207F8" w:rsidRDefault="004207F8" w:rsidP="004207F8">
      <w:pPr>
        <w:rPr>
          <w:rFonts w:cs="Arial"/>
        </w:rPr>
      </w:pPr>
      <w:r w:rsidRPr="004207F8">
        <w:rPr>
          <w:rFonts w:cs="Arial"/>
        </w:rPr>
        <w:t>Overall our results have changed little since the 2013 survey. Of the questions used in both the 2013 and 2014 surveys, the Trust performed significantly better on 1 question, significantly worse on 2 questions and showed no significant differences in 57 questions.</w:t>
      </w:r>
    </w:p>
    <w:p w:rsidR="004207F8" w:rsidRPr="004207F8" w:rsidRDefault="004207F8" w:rsidP="004207F8">
      <w:pPr>
        <w:rPr>
          <w:rFonts w:cs="Arial"/>
        </w:rPr>
      </w:pPr>
    </w:p>
    <w:p w:rsidR="004207F8" w:rsidRPr="004207F8" w:rsidRDefault="004207F8" w:rsidP="004207F8">
      <w:pPr>
        <w:rPr>
          <w:rFonts w:cs="Arial"/>
        </w:rPr>
      </w:pPr>
      <w:r w:rsidRPr="004207F8">
        <w:rPr>
          <w:rFonts w:cs="Arial"/>
        </w:rPr>
        <w:t>In comparison with other Trusts, in 2013 we scored worse than average on 24 questions. In 2014 this figure has slightly improved and we scored worse than average on 22 questions.</w:t>
      </w:r>
    </w:p>
    <w:p w:rsidR="004207F8" w:rsidRPr="004207F8" w:rsidRDefault="004207F8" w:rsidP="004207F8">
      <w:pPr>
        <w:rPr>
          <w:rFonts w:cs="Arial"/>
        </w:rPr>
      </w:pPr>
    </w:p>
    <w:p w:rsidR="004207F8" w:rsidRPr="004207F8" w:rsidRDefault="004207F8" w:rsidP="004207F8">
      <w:pPr>
        <w:rPr>
          <w:rFonts w:cs="Arial"/>
        </w:rPr>
      </w:pPr>
      <w:r w:rsidRPr="004207F8">
        <w:rPr>
          <w:rFonts w:cs="Arial"/>
        </w:rPr>
        <w:t>The Picker Institute, who manages the survey on behalf of the Trust, noted significant improvements for the Trust.  Patients reported improved satisfaction levels with;</w:t>
      </w:r>
    </w:p>
    <w:p w:rsidR="004207F8" w:rsidRPr="004207F8" w:rsidRDefault="004207F8" w:rsidP="004207F8">
      <w:pPr>
        <w:rPr>
          <w:rFonts w:cs="Arial"/>
        </w:rPr>
      </w:pPr>
    </w:p>
    <w:p w:rsidR="004207F8" w:rsidRPr="004207F8" w:rsidRDefault="004207F8" w:rsidP="004207F8">
      <w:pPr>
        <w:pStyle w:val="ListParagraph"/>
        <w:numPr>
          <w:ilvl w:val="0"/>
          <w:numId w:val="34"/>
        </w:numPr>
        <w:jc w:val="left"/>
        <w:rPr>
          <w:rFonts w:cs="Arial"/>
        </w:rPr>
      </w:pPr>
      <w:r w:rsidRPr="004207F8">
        <w:rPr>
          <w:rFonts w:cs="Arial"/>
        </w:rPr>
        <w:t>Using bath or shower area not shared with the opposite sex</w:t>
      </w:r>
    </w:p>
    <w:p w:rsidR="004207F8" w:rsidRPr="004207F8" w:rsidRDefault="004207F8" w:rsidP="004207F8">
      <w:pPr>
        <w:pStyle w:val="ListParagraph"/>
        <w:numPr>
          <w:ilvl w:val="0"/>
          <w:numId w:val="34"/>
        </w:numPr>
        <w:jc w:val="left"/>
        <w:rPr>
          <w:rFonts w:cs="Arial"/>
        </w:rPr>
      </w:pPr>
      <w:r w:rsidRPr="004207F8">
        <w:rPr>
          <w:rFonts w:cs="Arial"/>
        </w:rPr>
        <w:t>Cleanliness of the toilets</w:t>
      </w:r>
    </w:p>
    <w:p w:rsidR="004207F8" w:rsidRPr="004207F8" w:rsidRDefault="004207F8" w:rsidP="004207F8">
      <w:pPr>
        <w:pStyle w:val="ListParagraph"/>
        <w:numPr>
          <w:ilvl w:val="0"/>
          <w:numId w:val="34"/>
        </w:numPr>
        <w:jc w:val="left"/>
        <w:rPr>
          <w:rFonts w:cs="Arial"/>
        </w:rPr>
      </w:pPr>
      <w:r w:rsidRPr="004207F8">
        <w:rPr>
          <w:rFonts w:cs="Arial"/>
        </w:rPr>
        <w:t>Offered choice of food</w:t>
      </w:r>
    </w:p>
    <w:p w:rsidR="004207F8" w:rsidRPr="004207F8" w:rsidRDefault="004207F8" w:rsidP="004207F8">
      <w:pPr>
        <w:rPr>
          <w:rFonts w:cs="Arial"/>
        </w:rPr>
      </w:pPr>
    </w:p>
    <w:p w:rsidR="004207F8" w:rsidRPr="004207F8" w:rsidRDefault="004207F8" w:rsidP="004207F8">
      <w:pPr>
        <w:rPr>
          <w:rFonts w:cs="Arial"/>
        </w:rPr>
      </w:pPr>
      <w:r w:rsidRPr="004207F8">
        <w:rPr>
          <w:rFonts w:cs="Arial"/>
        </w:rPr>
        <w:t>Areas of concern and ongoing improvement include;</w:t>
      </w:r>
    </w:p>
    <w:p w:rsidR="004207F8" w:rsidRPr="004207F8" w:rsidRDefault="004207F8" w:rsidP="004207F8">
      <w:pPr>
        <w:rPr>
          <w:rFonts w:cs="Arial"/>
        </w:rPr>
      </w:pPr>
    </w:p>
    <w:p w:rsidR="004207F8" w:rsidRPr="004207F8" w:rsidRDefault="004207F8" w:rsidP="004207F8">
      <w:pPr>
        <w:pStyle w:val="ListParagraph"/>
        <w:numPr>
          <w:ilvl w:val="0"/>
          <w:numId w:val="35"/>
        </w:numPr>
        <w:jc w:val="left"/>
        <w:rPr>
          <w:rFonts w:cs="Arial"/>
          <w:i/>
        </w:rPr>
      </w:pPr>
      <w:r w:rsidRPr="004207F8">
        <w:rPr>
          <w:rFonts w:cs="Arial"/>
        </w:rPr>
        <w:t xml:space="preserve">Involving patients more in decisions about their care </w:t>
      </w:r>
    </w:p>
    <w:p w:rsidR="004207F8" w:rsidRPr="004207F8" w:rsidRDefault="004207F8" w:rsidP="004207F8">
      <w:pPr>
        <w:pStyle w:val="ListParagraph"/>
        <w:numPr>
          <w:ilvl w:val="0"/>
          <w:numId w:val="35"/>
        </w:numPr>
        <w:jc w:val="left"/>
        <w:rPr>
          <w:rFonts w:cs="Arial"/>
          <w:i/>
        </w:rPr>
      </w:pPr>
      <w:r w:rsidRPr="004207F8">
        <w:rPr>
          <w:rFonts w:cs="Arial"/>
        </w:rPr>
        <w:t>Patients not being given notice of when discharge from hospital would occur</w:t>
      </w:r>
    </w:p>
    <w:p w:rsidR="004207F8" w:rsidRPr="004207F8" w:rsidRDefault="004207F8" w:rsidP="004207F8">
      <w:pPr>
        <w:pStyle w:val="ListParagraph"/>
        <w:numPr>
          <w:ilvl w:val="0"/>
          <w:numId w:val="35"/>
        </w:numPr>
        <w:jc w:val="left"/>
        <w:rPr>
          <w:rFonts w:cs="Arial"/>
          <w:i/>
        </w:rPr>
      </w:pPr>
      <w:r w:rsidRPr="004207F8">
        <w:rPr>
          <w:rFonts w:cs="Arial"/>
        </w:rPr>
        <w:t xml:space="preserve">Patients not being informed of the side effects of medication </w:t>
      </w:r>
    </w:p>
    <w:p w:rsidR="004207F8" w:rsidRPr="004207F8" w:rsidRDefault="004207F8" w:rsidP="004207F8">
      <w:pPr>
        <w:pStyle w:val="ListParagraph"/>
        <w:numPr>
          <w:ilvl w:val="0"/>
          <w:numId w:val="35"/>
        </w:numPr>
        <w:jc w:val="left"/>
        <w:rPr>
          <w:rFonts w:cs="Arial"/>
          <w:i/>
        </w:rPr>
      </w:pPr>
      <w:r w:rsidRPr="004207F8">
        <w:rPr>
          <w:rFonts w:cs="Arial"/>
        </w:rPr>
        <w:t>Being fully told of the danger signals to look for after discharge</w:t>
      </w:r>
    </w:p>
    <w:p w:rsidR="004207F8" w:rsidRPr="004207F8" w:rsidRDefault="004207F8" w:rsidP="004207F8">
      <w:pPr>
        <w:pStyle w:val="ListParagraph"/>
        <w:numPr>
          <w:ilvl w:val="0"/>
          <w:numId w:val="35"/>
        </w:numPr>
        <w:jc w:val="left"/>
        <w:rPr>
          <w:rFonts w:cs="Arial"/>
          <w:i/>
        </w:rPr>
      </w:pPr>
      <w:r w:rsidRPr="004207F8">
        <w:rPr>
          <w:rFonts w:cs="Arial"/>
        </w:rPr>
        <w:t>Patients not told who to contact if worried</w:t>
      </w:r>
    </w:p>
    <w:p w:rsidR="004207F8" w:rsidRPr="004207F8" w:rsidRDefault="004207F8" w:rsidP="004207F8">
      <w:pPr>
        <w:rPr>
          <w:rFonts w:cs="Arial"/>
        </w:rPr>
      </w:pPr>
    </w:p>
    <w:p w:rsidR="004207F8" w:rsidRPr="004207F8" w:rsidRDefault="004207F8" w:rsidP="004207F8">
      <w:pPr>
        <w:rPr>
          <w:rFonts w:cs="Arial"/>
        </w:rPr>
      </w:pPr>
      <w:r w:rsidRPr="004207F8">
        <w:rPr>
          <w:rFonts w:cs="Arial"/>
        </w:rPr>
        <w:t>The Trust is investing in improving the ways it provides information to patients, for example by reviewing pharmacy activities with the aim of improving patient contact with pharmacists at the hospital.</w:t>
      </w:r>
    </w:p>
    <w:p w:rsidR="001F7345" w:rsidRDefault="001F7345" w:rsidP="001F7345">
      <w:pPr>
        <w:rPr>
          <w:rFonts w:cs="Arial"/>
          <w:b/>
        </w:rPr>
      </w:pPr>
    </w:p>
    <w:p w:rsidR="00A72ED9" w:rsidRDefault="00A72ED9" w:rsidP="00A72ED9">
      <w:pPr>
        <w:rPr>
          <w:rFonts w:cs="Arial"/>
          <w:b/>
        </w:rPr>
      </w:pPr>
      <w:r>
        <w:rPr>
          <w:rFonts w:cs="Arial"/>
          <w:b/>
        </w:rPr>
        <w:t xml:space="preserve">Local </w:t>
      </w:r>
      <w:r w:rsidR="005E12A0">
        <w:rPr>
          <w:rFonts w:cs="Arial"/>
          <w:b/>
        </w:rPr>
        <w:t>inpatient survey</w:t>
      </w:r>
    </w:p>
    <w:p w:rsidR="000C5939" w:rsidRDefault="000C5939" w:rsidP="00A72ED9">
      <w:pPr>
        <w:rPr>
          <w:rFonts w:cs="Arial"/>
          <w:b/>
        </w:rPr>
      </w:pPr>
    </w:p>
    <w:p w:rsidR="00A72ED9" w:rsidRDefault="00A72ED9" w:rsidP="00A72ED9">
      <w:pPr>
        <w:rPr>
          <w:rFonts w:cs="Arial"/>
          <w:iCs/>
        </w:rPr>
      </w:pPr>
      <w:r>
        <w:rPr>
          <w:rFonts w:cs="Arial"/>
          <w:iCs/>
        </w:rPr>
        <w:t xml:space="preserve">The Trust currently conducts real time inpatient surveys every month with volunteers surveying up to 100 inpatients against an agreed set of </w:t>
      </w:r>
      <w:proofErr w:type="spellStart"/>
      <w:r>
        <w:rPr>
          <w:rFonts w:cs="Arial"/>
          <w:iCs/>
        </w:rPr>
        <w:t>standardised</w:t>
      </w:r>
      <w:proofErr w:type="spellEnd"/>
      <w:r>
        <w:rPr>
          <w:rFonts w:cs="Arial"/>
          <w:iCs/>
        </w:rPr>
        <w:t xml:space="preserve"> questions. The data from these surveys is reported to the Trust Board each month in the Integrated Performance Report.</w:t>
      </w:r>
    </w:p>
    <w:p w:rsidR="00A72ED9" w:rsidRDefault="00A72ED9" w:rsidP="00A72ED9">
      <w:pPr>
        <w:widowControl w:val="0"/>
        <w:autoSpaceDE w:val="0"/>
        <w:autoSpaceDN w:val="0"/>
        <w:adjustRightInd w:val="0"/>
        <w:rPr>
          <w:rFonts w:cs="Arial"/>
          <w:iCs/>
        </w:rPr>
      </w:pPr>
    </w:p>
    <w:p w:rsidR="00A72ED9" w:rsidRDefault="00A72ED9" w:rsidP="00A72ED9">
      <w:pPr>
        <w:widowControl w:val="0"/>
        <w:autoSpaceDE w:val="0"/>
        <w:autoSpaceDN w:val="0"/>
        <w:adjustRightInd w:val="0"/>
        <w:spacing w:after="240"/>
        <w:rPr>
          <w:rFonts w:cs="Arial"/>
          <w:iCs/>
        </w:rPr>
      </w:pPr>
      <w:r>
        <w:rPr>
          <w:rFonts w:cs="Arial"/>
          <w:iCs/>
        </w:rPr>
        <w:t>Currently, 28 questions are asked which are based around the Care Quality Commission inspection framework</w:t>
      </w:r>
      <w:r>
        <w:rPr>
          <w:rFonts w:cs="Arial"/>
          <w:i/>
          <w:iCs/>
        </w:rPr>
        <w:t>.</w:t>
      </w:r>
      <w:r>
        <w:rPr>
          <w:rFonts w:cs="Arial"/>
          <w:iCs/>
        </w:rPr>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4"/>
        <w:gridCol w:w="1560"/>
        <w:gridCol w:w="1558"/>
      </w:tblGrid>
      <w:tr w:rsidR="00A72ED9" w:rsidTr="00A72ED9">
        <w:tc>
          <w:tcPr>
            <w:tcW w:w="5954"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A72ED9" w:rsidRDefault="00A72ED9">
            <w:pPr>
              <w:widowControl w:val="0"/>
              <w:autoSpaceDE w:val="0"/>
              <w:autoSpaceDN w:val="0"/>
              <w:adjustRightInd w:val="0"/>
              <w:spacing w:after="120" w:line="276" w:lineRule="auto"/>
              <w:ind w:left="360"/>
              <w:rPr>
                <w:rFonts w:cs="Arial"/>
                <w:iCs/>
              </w:rPr>
            </w:pPr>
            <w:r>
              <w:rPr>
                <w:rFonts w:cs="Arial"/>
                <w:iCs/>
              </w:rPr>
              <w:t>Survey question – respondents reported:</w:t>
            </w:r>
          </w:p>
        </w:tc>
        <w:tc>
          <w:tcPr>
            <w:tcW w:w="1560" w:type="dxa"/>
            <w:tcBorders>
              <w:top w:val="single" w:sz="4" w:space="0" w:color="auto"/>
              <w:left w:val="single" w:sz="4" w:space="0" w:color="auto"/>
              <w:bottom w:val="single" w:sz="4" w:space="0" w:color="auto"/>
              <w:right w:val="single" w:sz="4" w:space="0" w:color="auto"/>
            </w:tcBorders>
            <w:shd w:val="clear" w:color="auto" w:fill="B8CCE4"/>
            <w:hideMark/>
          </w:tcPr>
          <w:p w:rsidR="00A72ED9" w:rsidRDefault="00A72ED9">
            <w:pPr>
              <w:widowControl w:val="0"/>
              <w:autoSpaceDE w:val="0"/>
              <w:autoSpaceDN w:val="0"/>
              <w:adjustRightInd w:val="0"/>
              <w:spacing w:before="60" w:after="60" w:line="276" w:lineRule="auto"/>
              <w:jc w:val="center"/>
              <w:rPr>
                <w:rFonts w:cs="Arial"/>
                <w:iCs/>
              </w:rPr>
            </w:pPr>
            <w:r>
              <w:rPr>
                <w:rFonts w:cs="Arial"/>
                <w:iCs/>
              </w:rPr>
              <w:t xml:space="preserve">2013/14 </w:t>
            </w:r>
          </w:p>
          <w:p w:rsidR="00A72ED9" w:rsidRDefault="00A72ED9">
            <w:pPr>
              <w:widowControl w:val="0"/>
              <w:autoSpaceDE w:val="0"/>
              <w:autoSpaceDN w:val="0"/>
              <w:adjustRightInd w:val="0"/>
              <w:spacing w:before="60" w:after="60" w:line="276" w:lineRule="auto"/>
              <w:jc w:val="center"/>
              <w:rPr>
                <w:rFonts w:cs="Arial"/>
                <w:iCs/>
              </w:rPr>
            </w:pPr>
            <w:r>
              <w:rPr>
                <w:rFonts w:cs="Arial"/>
                <w:iCs/>
                <w:sz w:val="20"/>
                <w:szCs w:val="20"/>
              </w:rPr>
              <w:t xml:space="preserve">% </w:t>
            </w:r>
            <w:r>
              <w:rPr>
                <w:rFonts w:cs="Arial"/>
                <w:iCs/>
              </w:rPr>
              <w:t>answering Yes</w:t>
            </w:r>
          </w:p>
        </w:tc>
        <w:tc>
          <w:tcPr>
            <w:tcW w:w="1558" w:type="dxa"/>
            <w:tcBorders>
              <w:top w:val="single" w:sz="4" w:space="0" w:color="auto"/>
              <w:left w:val="single" w:sz="4" w:space="0" w:color="auto"/>
              <w:bottom w:val="single" w:sz="4" w:space="0" w:color="auto"/>
              <w:right w:val="single" w:sz="4" w:space="0" w:color="auto"/>
            </w:tcBorders>
            <w:shd w:val="clear" w:color="auto" w:fill="B8CCE4"/>
            <w:hideMark/>
          </w:tcPr>
          <w:p w:rsidR="00A72ED9" w:rsidRDefault="00A72ED9">
            <w:pPr>
              <w:widowControl w:val="0"/>
              <w:autoSpaceDE w:val="0"/>
              <w:autoSpaceDN w:val="0"/>
              <w:adjustRightInd w:val="0"/>
              <w:spacing w:before="60" w:after="60" w:line="276" w:lineRule="auto"/>
              <w:jc w:val="center"/>
              <w:rPr>
                <w:rFonts w:cs="Arial"/>
                <w:iCs/>
              </w:rPr>
            </w:pPr>
            <w:r>
              <w:rPr>
                <w:rFonts w:cs="Arial"/>
                <w:iCs/>
              </w:rPr>
              <w:t xml:space="preserve">2014/15 </w:t>
            </w:r>
          </w:p>
          <w:p w:rsidR="00A72ED9" w:rsidRDefault="00A72ED9">
            <w:pPr>
              <w:widowControl w:val="0"/>
              <w:autoSpaceDE w:val="0"/>
              <w:autoSpaceDN w:val="0"/>
              <w:adjustRightInd w:val="0"/>
              <w:spacing w:before="60" w:after="60" w:line="276" w:lineRule="auto"/>
              <w:jc w:val="center"/>
              <w:rPr>
                <w:rFonts w:cs="Arial"/>
                <w:iCs/>
              </w:rPr>
            </w:pPr>
            <w:r>
              <w:rPr>
                <w:rFonts w:cs="Arial"/>
                <w:iCs/>
                <w:sz w:val="20"/>
                <w:szCs w:val="20"/>
              </w:rPr>
              <w:t>%</w:t>
            </w:r>
            <w:r>
              <w:rPr>
                <w:rFonts w:cs="Arial"/>
                <w:iCs/>
              </w:rPr>
              <w:t xml:space="preserve"> answering Yes</w:t>
            </w:r>
          </w:p>
        </w:tc>
      </w:tr>
      <w:tr w:rsidR="00A72ED9" w:rsidTr="00A72ED9">
        <w:tc>
          <w:tcPr>
            <w:tcW w:w="5954"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rPr>
                <w:rFonts w:cs="Arial"/>
                <w:iCs/>
              </w:rPr>
            </w:pPr>
            <w:r>
              <w:rPr>
                <w:rFonts w:cs="Arial"/>
                <w:iCs/>
              </w:rPr>
              <w:t>They were told how they would expect to feel after their operation</w:t>
            </w:r>
          </w:p>
        </w:tc>
        <w:tc>
          <w:tcPr>
            <w:tcW w:w="1560"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jc w:val="center"/>
              <w:rPr>
                <w:rFonts w:cs="Arial"/>
                <w:iCs/>
              </w:rPr>
            </w:pPr>
            <w:r>
              <w:rPr>
                <w:rFonts w:cs="Arial"/>
                <w:iCs/>
              </w:rPr>
              <w:t>82%</w:t>
            </w:r>
          </w:p>
        </w:tc>
        <w:tc>
          <w:tcPr>
            <w:tcW w:w="1558"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jc w:val="center"/>
              <w:rPr>
                <w:rFonts w:cs="Arial"/>
                <w:iCs/>
              </w:rPr>
            </w:pPr>
            <w:r>
              <w:rPr>
                <w:rFonts w:cs="Arial"/>
                <w:iCs/>
              </w:rPr>
              <w:t>69%</w:t>
            </w:r>
          </w:p>
        </w:tc>
      </w:tr>
      <w:tr w:rsidR="00A72ED9" w:rsidTr="00A72ED9">
        <w:tc>
          <w:tcPr>
            <w:tcW w:w="5954"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rPr>
                <w:rFonts w:cs="Arial"/>
                <w:iCs/>
              </w:rPr>
            </w:pPr>
            <w:r>
              <w:rPr>
                <w:rFonts w:cs="Arial"/>
                <w:iCs/>
              </w:rPr>
              <w:t>Were given enough time to discuss their operation/procedure with their consultant</w:t>
            </w:r>
          </w:p>
        </w:tc>
        <w:tc>
          <w:tcPr>
            <w:tcW w:w="1560"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jc w:val="center"/>
              <w:rPr>
                <w:rFonts w:cs="Arial"/>
                <w:iCs/>
              </w:rPr>
            </w:pPr>
            <w:r>
              <w:rPr>
                <w:rFonts w:cs="Arial"/>
                <w:iCs/>
              </w:rPr>
              <w:t>85%</w:t>
            </w:r>
          </w:p>
        </w:tc>
        <w:tc>
          <w:tcPr>
            <w:tcW w:w="1558"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jc w:val="center"/>
              <w:rPr>
                <w:rFonts w:cs="Arial"/>
                <w:iCs/>
              </w:rPr>
            </w:pPr>
            <w:r>
              <w:rPr>
                <w:rFonts w:cs="Arial"/>
                <w:iCs/>
              </w:rPr>
              <w:t>55%</w:t>
            </w:r>
          </w:p>
        </w:tc>
      </w:tr>
      <w:tr w:rsidR="00A72ED9" w:rsidTr="00A72ED9">
        <w:tc>
          <w:tcPr>
            <w:tcW w:w="5954"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rPr>
                <w:rFonts w:cs="Arial"/>
                <w:iCs/>
              </w:rPr>
            </w:pPr>
            <w:r>
              <w:rPr>
                <w:rFonts w:cs="Arial"/>
                <w:iCs/>
              </w:rPr>
              <w:t>Rated their overall experience as 5*</w:t>
            </w:r>
          </w:p>
        </w:tc>
        <w:tc>
          <w:tcPr>
            <w:tcW w:w="1560"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jc w:val="center"/>
              <w:rPr>
                <w:rFonts w:cs="Arial"/>
                <w:iCs/>
              </w:rPr>
            </w:pPr>
            <w:r>
              <w:rPr>
                <w:rFonts w:cs="Arial"/>
                <w:iCs/>
              </w:rPr>
              <w:t>36%</w:t>
            </w:r>
          </w:p>
        </w:tc>
        <w:tc>
          <w:tcPr>
            <w:tcW w:w="1558"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jc w:val="center"/>
              <w:rPr>
                <w:rFonts w:cs="Arial"/>
                <w:iCs/>
              </w:rPr>
            </w:pPr>
            <w:r>
              <w:rPr>
                <w:rFonts w:cs="Arial"/>
                <w:iCs/>
              </w:rPr>
              <w:t>47%</w:t>
            </w:r>
          </w:p>
        </w:tc>
      </w:tr>
      <w:tr w:rsidR="00A72ED9" w:rsidTr="00A72ED9">
        <w:tc>
          <w:tcPr>
            <w:tcW w:w="5954"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rPr>
                <w:rFonts w:cs="Arial"/>
                <w:iCs/>
              </w:rPr>
            </w:pPr>
            <w:r>
              <w:rPr>
                <w:rFonts w:cs="Arial"/>
                <w:iCs/>
              </w:rPr>
              <w:t>Were welcomed on arrival to the ward</w:t>
            </w:r>
          </w:p>
        </w:tc>
        <w:tc>
          <w:tcPr>
            <w:tcW w:w="1560"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jc w:val="center"/>
              <w:rPr>
                <w:rFonts w:cs="Arial"/>
                <w:iCs/>
              </w:rPr>
            </w:pPr>
            <w:r>
              <w:rPr>
                <w:rFonts w:cs="Arial"/>
                <w:iCs/>
              </w:rPr>
              <w:t>89%</w:t>
            </w:r>
          </w:p>
        </w:tc>
        <w:tc>
          <w:tcPr>
            <w:tcW w:w="1558"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jc w:val="center"/>
              <w:rPr>
                <w:rFonts w:cs="Arial"/>
                <w:iCs/>
              </w:rPr>
            </w:pPr>
            <w:r>
              <w:rPr>
                <w:rFonts w:cs="Arial"/>
                <w:iCs/>
              </w:rPr>
              <w:t>85%</w:t>
            </w:r>
          </w:p>
        </w:tc>
      </w:tr>
      <w:tr w:rsidR="00A72ED9" w:rsidTr="00A72ED9">
        <w:tc>
          <w:tcPr>
            <w:tcW w:w="5954"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rPr>
                <w:rFonts w:cs="Arial"/>
                <w:iCs/>
              </w:rPr>
            </w:pPr>
            <w:r>
              <w:rPr>
                <w:rFonts w:cs="Arial"/>
                <w:iCs/>
              </w:rPr>
              <w:t>Did not have to wait long for a bed on the ward</w:t>
            </w:r>
          </w:p>
        </w:tc>
        <w:tc>
          <w:tcPr>
            <w:tcW w:w="1560"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jc w:val="center"/>
              <w:rPr>
                <w:rFonts w:cs="Arial"/>
                <w:iCs/>
              </w:rPr>
            </w:pPr>
            <w:r>
              <w:rPr>
                <w:rFonts w:cs="Arial"/>
                <w:iCs/>
              </w:rPr>
              <w:t>77%</w:t>
            </w:r>
          </w:p>
        </w:tc>
        <w:tc>
          <w:tcPr>
            <w:tcW w:w="1558"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jc w:val="center"/>
              <w:rPr>
                <w:rFonts w:cs="Arial"/>
                <w:iCs/>
              </w:rPr>
            </w:pPr>
            <w:r>
              <w:rPr>
                <w:rFonts w:cs="Arial"/>
                <w:iCs/>
              </w:rPr>
              <w:t>85%</w:t>
            </w:r>
          </w:p>
        </w:tc>
      </w:tr>
      <w:tr w:rsidR="00A72ED9" w:rsidTr="00A72ED9">
        <w:tc>
          <w:tcPr>
            <w:tcW w:w="5954"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rPr>
                <w:rFonts w:cs="Arial"/>
                <w:iCs/>
              </w:rPr>
            </w:pPr>
            <w:r>
              <w:rPr>
                <w:rFonts w:cs="Arial"/>
                <w:iCs/>
              </w:rPr>
              <w:t>Received enough information about ward routines</w:t>
            </w:r>
          </w:p>
        </w:tc>
        <w:tc>
          <w:tcPr>
            <w:tcW w:w="1560"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jc w:val="center"/>
              <w:rPr>
                <w:rFonts w:cs="Arial"/>
                <w:iCs/>
              </w:rPr>
            </w:pPr>
            <w:r>
              <w:rPr>
                <w:rFonts w:cs="Arial"/>
                <w:iCs/>
              </w:rPr>
              <w:t>61%</w:t>
            </w:r>
          </w:p>
        </w:tc>
        <w:tc>
          <w:tcPr>
            <w:tcW w:w="1558"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jc w:val="center"/>
              <w:rPr>
                <w:rFonts w:cs="Arial"/>
                <w:iCs/>
              </w:rPr>
            </w:pPr>
            <w:r>
              <w:rPr>
                <w:rFonts w:cs="Arial"/>
                <w:iCs/>
              </w:rPr>
              <w:t>51%</w:t>
            </w:r>
          </w:p>
        </w:tc>
      </w:tr>
      <w:tr w:rsidR="00A72ED9" w:rsidTr="00A72ED9">
        <w:tc>
          <w:tcPr>
            <w:tcW w:w="5954"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rPr>
                <w:rFonts w:cs="Arial"/>
                <w:iCs/>
              </w:rPr>
            </w:pPr>
            <w:r>
              <w:rPr>
                <w:rFonts w:cs="Arial"/>
                <w:iCs/>
              </w:rPr>
              <w:lastRenderedPageBreak/>
              <w:t>Were not bothered by noise at night from other patients</w:t>
            </w:r>
          </w:p>
        </w:tc>
        <w:tc>
          <w:tcPr>
            <w:tcW w:w="1560"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jc w:val="center"/>
              <w:rPr>
                <w:rFonts w:cs="Arial"/>
                <w:iCs/>
              </w:rPr>
            </w:pPr>
            <w:r>
              <w:rPr>
                <w:rFonts w:cs="Arial"/>
                <w:iCs/>
              </w:rPr>
              <w:t>49%</w:t>
            </w:r>
          </w:p>
        </w:tc>
        <w:tc>
          <w:tcPr>
            <w:tcW w:w="1558"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jc w:val="center"/>
              <w:rPr>
                <w:rFonts w:cs="Arial"/>
                <w:iCs/>
              </w:rPr>
            </w:pPr>
            <w:r>
              <w:rPr>
                <w:rFonts w:cs="Arial"/>
                <w:iCs/>
              </w:rPr>
              <w:t>52%</w:t>
            </w:r>
          </w:p>
        </w:tc>
      </w:tr>
      <w:tr w:rsidR="00A72ED9" w:rsidTr="00A72ED9">
        <w:tc>
          <w:tcPr>
            <w:tcW w:w="5954"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rPr>
                <w:rFonts w:cs="Arial"/>
                <w:iCs/>
              </w:rPr>
            </w:pPr>
            <w:r>
              <w:rPr>
                <w:rFonts w:cs="Arial"/>
                <w:iCs/>
              </w:rPr>
              <w:t>Were not bothered by noise at night from staff</w:t>
            </w:r>
          </w:p>
        </w:tc>
        <w:tc>
          <w:tcPr>
            <w:tcW w:w="1560"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jc w:val="center"/>
              <w:rPr>
                <w:rFonts w:cs="Arial"/>
                <w:iCs/>
              </w:rPr>
            </w:pPr>
            <w:r>
              <w:rPr>
                <w:rFonts w:cs="Arial"/>
                <w:iCs/>
              </w:rPr>
              <w:t>87%</w:t>
            </w:r>
          </w:p>
        </w:tc>
        <w:tc>
          <w:tcPr>
            <w:tcW w:w="1558"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jc w:val="center"/>
              <w:rPr>
                <w:rFonts w:cs="Arial"/>
                <w:iCs/>
              </w:rPr>
            </w:pPr>
            <w:r>
              <w:rPr>
                <w:rFonts w:cs="Arial"/>
                <w:iCs/>
              </w:rPr>
              <w:t>80%</w:t>
            </w:r>
          </w:p>
        </w:tc>
      </w:tr>
      <w:tr w:rsidR="00A72ED9" w:rsidTr="00A72ED9">
        <w:tc>
          <w:tcPr>
            <w:tcW w:w="5954"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rPr>
                <w:rFonts w:cs="Arial"/>
                <w:iCs/>
              </w:rPr>
            </w:pPr>
            <w:r>
              <w:rPr>
                <w:rFonts w:cs="Arial"/>
                <w:iCs/>
              </w:rPr>
              <w:t>Had somewhere to keep their belongings safe</w:t>
            </w:r>
          </w:p>
        </w:tc>
        <w:tc>
          <w:tcPr>
            <w:tcW w:w="1560"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jc w:val="center"/>
              <w:rPr>
                <w:rFonts w:cs="Arial"/>
                <w:iCs/>
              </w:rPr>
            </w:pPr>
            <w:r>
              <w:rPr>
                <w:rFonts w:cs="Arial"/>
                <w:iCs/>
              </w:rPr>
              <w:t>79%</w:t>
            </w:r>
          </w:p>
        </w:tc>
        <w:tc>
          <w:tcPr>
            <w:tcW w:w="1558"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jc w:val="center"/>
              <w:rPr>
                <w:rFonts w:cs="Arial"/>
                <w:iCs/>
              </w:rPr>
            </w:pPr>
            <w:r>
              <w:rPr>
                <w:rFonts w:cs="Arial"/>
                <w:iCs/>
              </w:rPr>
              <w:t>70%</w:t>
            </w:r>
          </w:p>
        </w:tc>
      </w:tr>
      <w:tr w:rsidR="00A72ED9" w:rsidTr="00A72ED9">
        <w:tc>
          <w:tcPr>
            <w:tcW w:w="5954"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rPr>
                <w:rFonts w:cs="Arial"/>
                <w:iCs/>
              </w:rPr>
            </w:pPr>
            <w:r>
              <w:rPr>
                <w:rFonts w:cs="Arial"/>
                <w:iCs/>
              </w:rPr>
              <w:t>All the staff introduced themselves</w:t>
            </w:r>
          </w:p>
        </w:tc>
        <w:tc>
          <w:tcPr>
            <w:tcW w:w="1560"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jc w:val="center"/>
              <w:rPr>
                <w:rFonts w:cs="Arial"/>
                <w:iCs/>
              </w:rPr>
            </w:pPr>
            <w:r>
              <w:rPr>
                <w:rFonts w:cs="Arial"/>
                <w:iCs/>
              </w:rPr>
              <w:t>87%</w:t>
            </w:r>
          </w:p>
        </w:tc>
        <w:tc>
          <w:tcPr>
            <w:tcW w:w="1558"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jc w:val="center"/>
              <w:rPr>
                <w:rFonts w:cs="Arial"/>
                <w:iCs/>
              </w:rPr>
            </w:pPr>
            <w:r>
              <w:rPr>
                <w:rFonts w:cs="Arial"/>
                <w:iCs/>
              </w:rPr>
              <w:t>82%</w:t>
            </w:r>
          </w:p>
        </w:tc>
      </w:tr>
      <w:tr w:rsidR="00A72ED9" w:rsidTr="00A72ED9">
        <w:tc>
          <w:tcPr>
            <w:tcW w:w="5954"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ind w:left="34"/>
              <w:rPr>
                <w:rFonts w:cs="Arial"/>
                <w:iCs/>
              </w:rPr>
            </w:pPr>
            <w:r>
              <w:rPr>
                <w:rFonts w:cs="Arial"/>
                <w:iCs/>
              </w:rPr>
              <w:t>Did not sleep in an area shared by a member of  the opposite sex</w:t>
            </w:r>
          </w:p>
        </w:tc>
        <w:tc>
          <w:tcPr>
            <w:tcW w:w="1560"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jc w:val="center"/>
              <w:rPr>
                <w:rFonts w:cs="Arial"/>
                <w:iCs/>
              </w:rPr>
            </w:pPr>
            <w:r>
              <w:rPr>
                <w:rFonts w:cs="Arial"/>
                <w:iCs/>
              </w:rPr>
              <w:t>86%</w:t>
            </w:r>
          </w:p>
        </w:tc>
        <w:tc>
          <w:tcPr>
            <w:tcW w:w="1558"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jc w:val="center"/>
              <w:rPr>
                <w:rFonts w:cs="Arial"/>
                <w:iCs/>
              </w:rPr>
            </w:pPr>
            <w:r>
              <w:rPr>
                <w:rFonts w:cs="Arial"/>
                <w:iCs/>
              </w:rPr>
              <w:t>98%</w:t>
            </w:r>
          </w:p>
        </w:tc>
      </w:tr>
      <w:tr w:rsidR="00A72ED9" w:rsidTr="00A72ED9">
        <w:tc>
          <w:tcPr>
            <w:tcW w:w="5954"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ind w:left="34"/>
              <w:rPr>
                <w:rFonts w:cs="Arial"/>
                <w:iCs/>
              </w:rPr>
            </w:pPr>
            <w:r>
              <w:rPr>
                <w:rFonts w:cs="Arial"/>
                <w:iCs/>
              </w:rPr>
              <w:t>Were given enough privacy when discussing  their condition/treatment</w:t>
            </w:r>
          </w:p>
        </w:tc>
        <w:tc>
          <w:tcPr>
            <w:tcW w:w="1560"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jc w:val="center"/>
              <w:rPr>
                <w:rFonts w:cs="Arial"/>
                <w:iCs/>
              </w:rPr>
            </w:pPr>
            <w:r>
              <w:rPr>
                <w:rFonts w:cs="Arial"/>
                <w:iCs/>
              </w:rPr>
              <w:t>91%</w:t>
            </w:r>
          </w:p>
        </w:tc>
        <w:tc>
          <w:tcPr>
            <w:tcW w:w="1558"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jc w:val="center"/>
              <w:rPr>
                <w:rFonts w:cs="Arial"/>
                <w:iCs/>
              </w:rPr>
            </w:pPr>
            <w:r>
              <w:rPr>
                <w:rFonts w:cs="Arial"/>
                <w:iCs/>
              </w:rPr>
              <w:t>94%</w:t>
            </w:r>
          </w:p>
        </w:tc>
      </w:tr>
      <w:tr w:rsidR="00A72ED9" w:rsidTr="00A72ED9">
        <w:tc>
          <w:tcPr>
            <w:tcW w:w="5954"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ind w:left="34"/>
              <w:rPr>
                <w:rFonts w:cs="Arial"/>
                <w:iCs/>
              </w:rPr>
            </w:pPr>
            <w:r>
              <w:rPr>
                <w:rFonts w:cs="Arial"/>
                <w:iCs/>
              </w:rPr>
              <w:t>Always got clear answers from their doctors to their questions</w:t>
            </w:r>
          </w:p>
        </w:tc>
        <w:tc>
          <w:tcPr>
            <w:tcW w:w="1560"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jc w:val="center"/>
              <w:rPr>
                <w:rFonts w:cs="Arial"/>
                <w:iCs/>
              </w:rPr>
            </w:pPr>
            <w:r>
              <w:rPr>
                <w:rFonts w:cs="Arial"/>
                <w:iCs/>
              </w:rPr>
              <w:t>83%</w:t>
            </w:r>
          </w:p>
        </w:tc>
        <w:tc>
          <w:tcPr>
            <w:tcW w:w="1558"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jc w:val="center"/>
              <w:rPr>
                <w:rFonts w:cs="Arial"/>
                <w:iCs/>
              </w:rPr>
            </w:pPr>
            <w:r>
              <w:rPr>
                <w:rFonts w:cs="Arial"/>
                <w:iCs/>
              </w:rPr>
              <w:t>86%</w:t>
            </w:r>
          </w:p>
        </w:tc>
      </w:tr>
      <w:tr w:rsidR="00A72ED9" w:rsidTr="00A72ED9">
        <w:tc>
          <w:tcPr>
            <w:tcW w:w="5954"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ind w:left="34"/>
              <w:rPr>
                <w:rFonts w:cs="Arial"/>
                <w:iCs/>
              </w:rPr>
            </w:pPr>
            <w:r>
              <w:rPr>
                <w:rFonts w:cs="Arial"/>
                <w:iCs/>
              </w:rPr>
              <w:t>Had confidence and trust in the doctors</w:t>
            </w:r>
          </w:p>
        </w:tc>
        <w:tc>
          <w:tcPr>
            <w:tcW w:w="1560"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jc w:val="center"/>
              <w:rPr>
                <w:rFonts w:cs="Arial"/>
                <w:iCs/>
              </w:rPr>
            </w:pPr>
            <w:r>
              <w:rPr>
                <w:rFonts w:cs="Arial"/>
                <w:iCs/>
              </w:rPr>
              <w:t>89%</w:t>
            </w:r>
          </w:p>
        </w:tc>
        <w:tc>
          <w:tcPr>
            <w:tcW w:w="1558"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jc w:val="center"/>
              <w:rPr>
                <w:rFonts w:cs="Arial"/>
                <w:iCs/>
              </w:rPr>
            </w:pPr>
            <w:r>
              <w:rPr>
                <w:rFonts w:cs="Arial"/>
                <w:iCs/>
              </w:rPr>
              <w:t>93%</w:t>
            </w:r>
          </w:p>
        </w:tc>
      </w:tr>
      <w:tr w:rsidR="00A72ED9" w:rsidTr="00A72ED9">
        <w:tc>
          <w:tcPr>
            <w:tcW w:w="5954"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ind w:left="34"/>
              <w:rPr>
                <w:rFonts w:cs="Arial"/>
                <w:iCs/>
              </w:rPr>
            </w:pPr>
            <w:r>
              <w:rPr>
                <w:rFonts w:cs="Arial"/>
                <w:iCs/>
              </w:rPr>
              <w:t>The doctors didn’t talk in front of them as if they weren’t there</w:t>
            </w:r>
          </w:p>
        </w:tc>
        <w:tc>
          <w:tcPr>
            <w:tcW w:w="1560"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jc w:val="center"/>
              <w:rPr>
                <w:rFonts w:cs="Arial"/>
                <w:iCs/>
              </w:rPr>
            </w:pPr>
            <w:r>
              <w:rPr>
                <w:rFonts w:cs="Arial"/>
                <w:iCs/>
              </w:rPr>
              <w:t>76%</w:t>
            </w:r>
          </w:p>
        </w:tc>
        <w:tc>
          <w:tcPr>
            <w:tcW w:w="1558"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jc w:val="center"/>
              <w:rPr>
                <w:rFonts w:cs="Arial"/>
                <w:iCs/>
              </w:rPr>
            </w:pPr>
            <w:r>
              <w:rPr>
                <w:rFonts w:cs="Arial"/>
                <w:iCs/>
              </w:rPr>
              <w:t>85%</w:t>
            </w:r>
          </w:p>
        </w:tc>
      </w:tr>
      <w:tr w:rsidR="00A72ED9" w:rsidTr="00A72ED9">
        <w:tc>
          <w:tcPr>
            <w:tcW w:w="5954"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ind w:left="34"/>
              <w:rPr>
                <w:rFonts w:cs="Arial"/>
                <w:iCs/>
              </w:rPr>
            </w:pPr>
            <w:r>
              <w:rPr>
                <w:rFonts w:cs="Arial"/>
                <w:iCs/>
              </w:rPr>
              <w:t>They had the opportunity to talk to their doctor when needed</w:t>
            </w:r>
          </w:p>
        </w:tc>
        <w:tc>
          <w:tcPr>
            <w:tcW w:w="1560"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jc w:val="center"/>
              <w:rPr>
                <w:rFonts w:cs="Arial"/>
                <w:iCs/>
              </w:rPr>
            </w:pPr>
            <w:r>
              <w:rPr>
                <w:rFonts w:cs="Arial"/>
                <w:iCs/>
              </w:rPr>
              <w:t>69%</w:t>
            </w:r>
          </w:p>
        </w:tc>
        <w:tc>
          <w:tcPr>
            <w:tcW w:w="1558"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jc w:val="center"/>
              <w:rPr>
                <w:rFonts w:cs="Arial"/>
                <w:iCs/>
              </w:rPr>
            </w:pPr>
            <w:r>
              <w:rPr>
                <w:rFonts w:cs="Arial"/>
                <w:iCs/>
              </w:rPr>
              <w:t>68%</w:t>
            </w:r>
          </w:p>
        </w:tc>
      </w:tr>
      <w:tr w:rsidR="00A72ED9" w:rsidTr="00A72ED9">
        <w:tc>
          <w:tcPr>
            <w:tcW w:w="5954"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rPr>
                <w:rFonts w:cs="Arial"/>
                <w:iCs/>
              </w:rPr>
            </w:pPr>
            <w:r>
              <w:rPr>
                <w:rFonts w:cs="Arial"/>
                <w:iCs/>
              </w:rPr>
              <w:t>Their family had the opportunity to talk to their doctor when needed</w:t>
            </w:r>
          </w:p>
        </w:tc>
        <w:tc>
          <w:tcPr>
            <w:tcW w:w="1560"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jc w:val="center"/>
              <w:rPr>
                <w:rFonts w:cs="Arial"/>
                <w:iCs/>
              </w:rPr>
            </w:pPr>
            <w:r>
              <w:rPr>
                <w:rFonts w:cs="Arial"/>
                <w:iCs/>
              </w:rPr>
              <w:t>61%</w:t>
            </w:r>
          </w:p>
        </w:tc>
        <w:tc>
          <w:tcPr>
            <w:tcW w:w="1558"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jc w:val="center"/>
              <w:rPr>
                <w:rFonts w:cs="Arial"/>
                <w:iCs/>
              </w:rPr>
            </w:pPr>
            <w:r>
              <w:rPr>
                <w:rFonts w:cs="Arial"/>
                <w:iCs/>
              </w:rPr>
              <w:t>57%</w:t>
            </w:r>
          </w:p>
        </w:tc>
      </w:tr>
      <w:tr w:rsidR="00A72ED9" w:rsidTr="00A72ED9">
        <w:tc>
          <w:tcPr>
            <w:tcW w:w="5954"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rPr>
                <w:rFonts w:cs="Arial"/>
                <w:iCs/>
              </w:rPr>
            </w:pPr>
            <w:r>
              <w:rPr>
                <w:rFonts w:cs="Arial"/>
                <w:iCs/>
              </w:rPr>
              <w:t>The doctors knew enough about their condition/treatment</w:t>
            </w:r>
          </w:p>
        </w:tc>
        <w:tc>
          <w:tcPr>
            <w:tcW w:w="1560"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jc w:val="center"/>
              <w:rPr>
                <w:rFonts w:cs="Arial"/>
                <w:iCs/>
              </w:rPr>
            </w:pPr>
            <w:r>
              <w:rPr>
                <w:rFonts w:cs="Arial"/>
                <w:iCs/>
              </w:rPr>
              <w:t>77%</w:t>
            </w:r>
          </w:p>
        </w:tc>
        <w:tc>
          <w:tcPr>
            <w:tcW w:w="1558"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jc w:val="center"/>
              <w:rPr>
                <w:rFonts w:cs="Arial"/>
                <w:iCs/>
              </w:rPr>
            </w:pPr>
            <w:r>
              <w:rPr>
                <w:rFonts w:cs="Arial"/>
                <w:iCs/>
              </w:rPr>
              <w:t>82%</w:t>
            </w:r>
          </w:p>
        </w:tc>
      </w:tr>
      <w:tr w:rsidR="00A72ED9" w:rsidTr="00A72ED9">
        <w:tc>
          <w:tcPr>
            <w:tcW w:w="5954"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rPr>
                <w:rFonts w:cs="Arial"/>
                <w:iCs/>
              </w:rPr>
            </w:pPr>
            <w:r>
              <w:rPr>
                <w:rFonts w:cs="Arial"/>
                <w:iCs/>
              </w:rPr>
              <w:t>They always got clear answers from nurses to their questions</w:t>
            </w:r>
          </w:p>
        </w:tc>
        <w:tc>
          <w:tcPr>
            <w:tcW w:w="1560"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jc w:val="center"/>
              <w:rPr>
                <w:rFonts w:cs="Arial"/>
                <w:iCs/>
              </w:rPr>
            </w:pPr>
            <w:r>
              <w:rPr>
                <w:rFonts w:cs="Arial"/>
                <w:iCs/>
              </w:rPr>
              <w:t>90%</w:t>
            </w:r>
          </w:p>
        </w:tc>
        <w:tc>
          <w:tcPr>
            <w:tcW w:w="1558"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jc w:val="center"/>
              <w:rPr>
                <w:rFonts w:cs="Arial"/>
                <w:iCs/>
              </w:rPr>
            </w:pPr>
            <w:r>
              <w:rPr>
                <w:rFonts w:cs="Arial"/>
                <w:iCs/>
              </w:rPr>
              <w:t>90%</w:t>
            </w:r>
          </w:p>
        </w:tc>
      </w:tr>
      <w:tr w:rsidR="00A72ED9" w:rsidTr="00A72ED9">
        <w:tc>
          <w:tcPr>
            <w:tcW w:w="5954"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rPr>
                <w:rFonts w:cs="Arial"/>
                <w:iCs/>
              </w:rPr>
            </w:pPr>
            <w:r>
              <w:rPr>
                <w:rFonts w:cs="Arial"/>
                <w:iCs/>
              </w:rPr>
              <w:t>Had confidence and trust in their nurses</w:t>
            </w:r>
          </w:p>
        </w:tc>
        <w:tc>
          <w:tcPr>
            <w:tcW w:w="1560"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jc w:val="center"/>
              <w:rPr>
                <w:rFonts w:cs="Arial"/>
                <w:iCs/>
              </w:rPr>
            </w:pPr>
            <w:r>
              <w:rPr>
                <w:rFonts w:cs="Arial"/>
                <w:iCs/>
              </w:rPr>
              <w:t>96%</w:t>
            </w:r>
          </w:p>
        </w:tc>
        <w:tc>
          <w:tcPr>
            <w:tcW w:w="1558"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jc w:val="center"/>
              <w:rPr>
                <w:rFonts w:cs="Arial"/>
                <w:iCs/>
              </w:rPr>
            </w:pPr>
            <w:r>
              <w:rPr>
                <w:rFonts w:cs="Arial"/>
                <w:iCs/>
              </w:rPr>
              <w:t>94%</w:t>
            </w:r>
          </w:p>
        </w:tc>
      </w:tr>
      <w:tr w:rsidR="00A72ED9" w:rsidTr="00A72ED9">
        <w:tc>
          <w:tcPr>
            <w:tcW w:w="5954"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rPr>
                <w:rFonts w:cs="Arial"/>
                <w:iCs/>
              </w:rPr>
            </w:pPr>
            <w:r>
              <w:rPr>
                <w:rFonts w:cs="Arial"/>
                <w:iCs/>
              </w:rPr>
              <w:t>The nurses didn’t talk in front of them as if they weren’t there</w:t>
            </w:r>
          </w:p>
        </w:tc>
        <w:tc>
          <w:tcPr>
            <w:tcW w:w="1560"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jc w:val="center"/>
              <w:rPr>
                <w:rFonts w:cs="Arial"/>
                <w:iCs/>
              </w:rPr>
            </w:pPr>
            <w:r>
              <w:rPr>
                <w:rFonts w:cs="Arial"/>
                <w:iCs/>
              </w:rPr>
              <w:t>93%</w:t>
            </w:r>
          </w:p>
        </w:tc>
        <w:tc>
          <w:tcPr>
            <w:tcW w:w="1558"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jc w:val="center"/>
              <w:rPr>
                <w:rFonts w:cs="Arial"/>
                <w:iCs/>
              </w:rPr>
            </w:pPr>
            <w:r>
              <w:rPr>
                <w:rFonts w:cs="Arial"/>
                <w:iCs/>
              </w:rPr>
              <w:t>90%</w:t>
            </w:r>
          </w:p>
        </w:tc>
      </w:tr>
      <w:tr w:rsidR="00A72ED9" w:rsidTr="00A72ED9">
        <w:tc>
          <w:tcPr>
            <w:tcW w:w="5954"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rPr>
                <w:rFonts w:cs="Arial"/>
                <w:iCs/>
              </w:rPr>
            </w:pPr>
            <w:r>
              <w:rPr>
                <w:rFonts w:cs="Arial"/>
                <w:iCs/>
              </w:rPr>
              <w:t>They felt there were enough nurses on duty</w:t>
            </w:r>
          </w:p>
        </w:tc>
        <w:tc>
          <w:tcPr>
            <w:tcW w:w="1560"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jc w:val="center"/>
              <w:rPr>
                <w:rFonts w:cs="Arial"/>
                <w:iCs/>
              </w:rPr>
            </w:pPr>
            <w:r>
              <w:rPr>
                <w:rFonts w:cs="Arial"/>
                <w:iCs/>
              </w:rPr>
              <w:t>43%</w:t>
            </w:r>
          </w:p>
        </w:tc>
        <w:tc>
          <w:tcPr>
            <w:tcW w:w="1558"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jc w:val="center"/>
              <w:rPr>
                <w:rFonts w:cs="Arial"/>
                <w:iCs/>
              </w:rPr>
            </w:pPr>
            <w:r>
              <w:rPr>
                <w:rFonts w:cs="Arial"/>
                <w:iCs/>
              </w:rPr>
              <w:t>49%</w:t>
            </w:r>
          </w:p>
        </w:tc>
      </w:tr>
      <w:tr w:rsidR="00A72ED9" w:rsidTr="00A72ED9">
        <w:tc>
          <w:tcPr>
            <w:tcW w:w="5954"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rPr>
                <w:rFonts w:cs="Arial"/>
                <w:iCs/>
              </w:rPr>
            </w:pPr>
            <w:r>
              <w:rPr>
                <w:rFonts w:cs="Arial"/>
                <w:iCs/>
              </w:rPr>
              <w:t>They had the opportunity to talk to the nurses when needed</w:t>
            </w:r>
          </w:p>
        </w:tc>
        <w:tc>
          <w:tcPr>
            <w:tcW w:w="1560"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jc w:val="center"/>
              <w:rPr>
                <w:rFonts w:cs="Arial"/>
                <w:iCs/>
              </w:rPr>
            </w:pPr>
            <w:r>
              <w:rPr>
                <w:rFonts w:cs="Arial"/>
                <w:iCs/>
              </w:rPr>
              <w:t>88%</w:t>
            </w:r>
          </w:p>
        </w:tc>
        <w:tc>
          <w:tcPr>
            <w:tcW w:w="1558"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jc w:val="center"/>
              <w:rPr>
                <w:rFonts w:cs="Arial"/>
                <w:iCs/>
              </w:rPr>
            </w:pPr>
            <w:r>
              <w:rPr>
                <w:rFonts w:cs="Arial"/>
                <w:iCs/>
              </w:rPr>
              <w:t>90%</w:t>
            </w:r>
          </w:p>
        </w:tc>
      </w:tr>
      <w:tr w:rsidR="00A72ED9" w:rsidTr="00A72ED9">
        <w:tc>
          <w:tcPr>
            <w:tcW w:w="5954"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rPr>
                <w:rFonts w:cs="Arial"/>
                <w:iCs/>
              </w:rPr>
            </w:pPr>
            <w:r>
              <w:rPr>
                <w:rFonts w:cs="Arial"/>
                <w:iCs/>
              </w:rPr>
              <w:t>The nurses knew enough about their condition/treatment</w:t>
            </w:r>
          </w:p>
        </w:tc>
        <w:tc>
          <w:tcPr>
            <w:tcW w:w="1560"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jc w:val="center"/>
              <w:rPr>
                <w:rFonts w:cs="Arial"/>
                <w:iCs/>
              </w:rPr>
            </w:pPr>
            <w:r>
              <w:rPr>
                <w:rFonts w:cs="Arial"/>
                <w:iCs/>
              </w:rPr>
              <w:t>81%</w:t>
            </w:r>
          </w:p>
        </w:tc>
        <w:tc>
          <w:tcPr>
            <w:tcW w:w="1558"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jc w:val="center"/>
              <w:rPr>
                <w:rFonts w:cs="Arial"/>
                <w:iCs/>
              </w:rPr>
            </w:pPr>
            <w:r>
              <w:rPr>
                <w:rFonts w:cs="Arial"/>
                <w:iCs/>
              </w:rPr>
              <w:t>82%</w:t>
            </w:r>
          </w:p>
        </w:tc>
      </w:tr>
      <w:tr w:rsidR="00A72ED9" w:rsidTr="00A72ED9">
        <w:tc>
          <w:tcPr>
            <w:tcW w:w="5954"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rPr>
                <w:rFonts w:cs="Arial"/>
                <w:iCs/>
              </w:rPr>
            </w:pPr>
            <w:r>
              <w:rPr>
                <w:rFonts w:cs="Arial"/>
                <w:iCs/>
              </w:rPr>
              <w:t xml:space="preserve">They were involved in decisions affecting their care and treatment </w:t>
            </w:r>
          </w:p>
        </w:tc>
        <w:tc>
          <w:tcPr>
            <w:tcW w:w="1560"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jc w:val="center"/>
              <w:rPr>
                <w:rFonts w:cs="Arial"/>
                <w:iCs/>
              </w:rPr>
            </w:pPr>
            <w:r>
              <w:rPr>
                <w:rFonts w:cs="Arial"/>
                <w:iCs/>
              </w:rPr>
              <w:t>61%</w:t>
            </w:r>
          </w:p>
        </w:tc>
        <w:tc>
          <w:tcPr>
            <w:tcW w:w="1558"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jc w:val="center"/>
              <w:rPr>
                <w:rFonts w:cs="Arial"/>
                <w:iCs/>
              </w:rPr>
            </w:pPr>
            <w:r>
              <w:rPr>
                <w:rFonts w:cs="Arial"/>
                <w:iCs/>
              </w:rPr>
              <w:t>71%</w:t>
            </w:r>
          </w:p>
        </w:tc>
      </w:tr>
      <w:tr w:rsidR="00A72ED9" w:rsidTr="00A72ED9">
        <w:tc>
          <w:tcPr>
            <w:tcW w:w="5954"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tabs>
                <w:tab w:val="left" w:pos="0"/>
              </w:tabs>
              <w:autoSpaceDE w:val="0"/>
              <w:autoSpaceDN w:val="0"/>
              <w:adjustRightInd w:val="0"/>
              <w:spacing w:before="60" w:after="60" w:line="276" w:lineRule="auto"/>
              <w:rPr>
                <w:rFonts w:cs="Arial"/>
                <w:iCs/>
              </w:rPr>
            </w:pPr>
            <w:r>
              <w:rPr>
                <w:rFonts w:cs="Arial"/>
                <w:iCs/>
              </w:rPr>
              <w:t>They had been given enough information about their condition/treatment</w:t>
            </w:r>
          </w:p>
        </w:tc>
        <w:tc>
          <w:tcPr>
            <w:tcW w:w="1560"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jc w:val="center"/>
              <w:rPr>
                <w:rFonts w:cs="Arial"/>
                <w:iCs/>
              </w:rPr>
            </w:pPr>
            <w:r>
              <w:rPr>
                <w:rFonts w:cs="Arial"/>
                <w:iCs/>
              </w:rPr>
              <w:t>77%</w:t>
            </w:r>
          </w:p>
        </w:tc>
        <w:tc>
          <w:tcPr>
            <w:tcW w:w="1558"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jc w:val="center"/>
              <w:rPr>
                <w:rFonts w:cs="Arial"/>
                <w:iCs/>
              </w:rPr>
            </w:pPr>
            <w:r>
              <w:rPr>
                <w:rFonts w:cs="Arial"/>
                <w:iCs/>
              </w:rPr>
              <w:t>86%</w:t>
            </w:r>
          </w:p>
        </w:tc>
      </w:tr>
      <w:tr w:rsidR="00A72ED9" w:rsidTr="00A72ED9">
        <w:tc>
          <w:tcPr>
            <w:tcW w:w="5954"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rPr>
                <w:rFonts w:cs="Arial"/>
                <w:iCs/>
              </w:rPr>
            </w:pPr>
            <w:r>
              <w:rPr>
                <w:rFonts w:cs="Arial"/>
                <w:iCs/>
              </w:rPr>
              <w:t>Had never taken more than 5 minutes to answer their call bell</w:t>
            </w:r>
          </w:p>
        </w:tc>
        <w:tc>
          <w:tcPr>
            <w:tcW w:w="1560" w:type="dxa"/>
            <w:tcBorders>
              <w:top w:val="single" w:sz="4" w:space="0" w:color="auto"/>
              <w:left w:val="single" w:sz="4" w:space="0" w:color="auto"/>
              <w:bottom w:val="single" w:sz="4" w:space="0" w:color="auto"/>
              <w:right w:val="single" w:sz="4" w:space="0" w:color="auto"/>
            </w:tcBorders>
            <w:hideMark/>
          </w:tcPr>
          <w:p w:rsidR="00A72ED9" w:rsidRDefault="00A72ED9">
            <w:pPr>
              <w:widowControl w:val="0"/>
              <w:autoSpaceDE w:val="0"/>
              <w:autoSpaceDN w:val="0"/>
              <w:adjustRightInd w:val="0"/>
              <w:spacing w:before="60" w:after="60" w:line="276" w:lineRule="auto"/>
              <w:jc w:val="center"/>
              <w:rPr>
                <w:rFonts w:cs="Arial"/>
                <w:iCs/>
              </w:rPr>
            </w:pPr>
            <w:r>
              <w:rPr>
                <w:rFonts w:cs="Arial"/>
                <w:iCs/>
              </w:rPr>
              <w:t>62%</w:t>
            </w:r>
          </w:p>
        </w:tc>
        <w:tc>
          <w:tcPr>
            <w:tcW w:w="1558" w:type="dxa"/>
            <w:tcBorders>
              <w:top w:val="single" w:sz="4" w:space="0" w:color="auto"/>
              <w:left w:val="single" w:sz="4" w:space="0" w:color="auto"/>
              <w:bottom w:val="single" w:sz="4" w:space="0" w:color="auto"/>
              <w:right w:val="single" w:sz="4" w:space="0" w:color="auto"/>
            </w:tcBorders>
            <w:vAlign w:val="center"/>
            <w:hideMark/>
          </w:tcPr>
          <w:p w:rsidR="00A72ED9" w:rsidRDefault="00A72ED9">
            <w:pPr>
              <w:widowControl w:val="0"/>
              <w:autoSpaceDE w:val="0"/>
              <w:autoSpaceDN w:val="0"/>
              <w:adjustRightInd w:val="0"/>
              <w:spacing w:before="60" w:after="60" w:line="276" w:lineRule="auto"/>
              <w:jc w:val="center"/>
              <w:rPr>
                <w:rFonts w:cs="Arial"/>
                <w:iCs/>
              </w:rPr>
            </w:pPr>
            <w:r>
              <w:rPr>
                <w:rFonts w:cs="Arial"/>
                <w:iCs/>
              </w:rPr>
              <w:t>58%</w:t>
            </w:r>
          </w:p>
        </w:tc>
      </w:tr>
    </w:tbl>
    <w:p w:rsidR="00A72ED9" w:rsidRDefault="00A72ED9" w:rsidP="00A72ED9">
      <w:pPr>
        <w:widowControl w:val="0"/>
        <w:autoSpaceDE w:val="0"/>
        <w:autoSpaceDN w:val="0"/>
        <w:adjustRightInd w:val="0"/>
        <w:spacing w:before="120"/>
        <w:rPr>
          <w:rFonts w:cs="Arial"/>
          <w:iCs/>
        </w:rPr>
      </w:pPr>
    </w:p>
    <w:p w:rsidR="00A72ED9" w:rsidRDefault="00A72ED9" w:rsidP="00A72ED9">
      <w:pPr>
        <w:rPr>
          <w:rFonts w:cs="Arial"/>
          <w:b/>
          <w:sz w:val="24"/>
          <w:szCs w:val="24"/>
        </w:rPr>
      </w:pPr>
      <w:r>
        <w:rPr>
          <w:rFonts w:cs="Arial"/>
        </w:rPr>
        <w:t xml:space="preserve">The value of patient and service user feedback is critical to enabling the Trust to learn and to inform future developments, particularly where scores have slipped back from previous years. The information generated from the surveys described above along with information from ‘Feedback’ forms which are voluntarily </w:t>
      </w:r>
      <w:r>
        <w:rPr>
          <w:rFonts w:cs="Arial"/>
        </w:rPr>
        <w:lastRenderedPageBreak/>
        <w:t>completed by those people who use our services is reviewed at</w:t>
      </w:r>
      <w:r w:rsidR="005D5E63">
        <w:rPr>
          <w:rFonts w:cs="Arial"/>
        </w:rPr>
        <w:t xml:space="preserve"> our P</w:t>
      </w:r>
      <w:r>
        <w:rPr>
          <w:rFonts w:cs="Arial"/>
        </w:rPr>
        <w:t xml:space="preserve">atient Experience Review Group – who also </w:t>
      </w:r>
      <w:proofErr w:type="gramStart"/>
      <w:r>
        <w:rPr>
          <w:rFonts w:cs="Arial"/>
        </w:rPr>
        <w:t>seek</w:t>
      </w:r>
      <w:proofErr w:type="gramEnd"/>
      <w:r>
        <w:rPr>
          <w:rFonts w:cs="Arial"/>
        </w:rPr>
        <w:t xml:space="preserve"> assurance that any themes identified are addressed.</w:t>
      </w:r>
    </w:p>
    <w:p w:rsidR="00A72ED9" w:rsidRDefault="00A72ED9" w:rsidP="00A72ED9"/>
    <w:p w:rsidR="00A72ED9" w:rsidRDefault="00A72ED9" w:rsidP="00A72ED9">
      <w:r>
        <w:t xml:space="preserve">Following these results, for example, a system whereby patients can book appointments with medical staff has been introduced at the Trust. This enables relatives to attend to support patients if required. </w:t>
      </w:r>
    </w:p>
    <w:p w:rsidR="00A72ED9" w:rsidRPr="009C7AF7" w:rsidRDefault="00A72ED9" w:rsidP="001F7345">
      <w:pPr>
        <w:rPr>
          <w:rFonts w:cs="Arial"/>
          <w:b/>
        </w:rPr>
      </w:pPr>
    </w:p>
    <w:p w:rsidR="001F7345" w:rsidRPr="00856338" w:rsidRDefault="001F7345" w:rsidP="003145B6">
      <w:pPr>
        <w:pStyle w:val="Heading3"/>
        <w:pBdr>
          <w:bottom w:val="none" w:sz="0" w:space="0" w:color="auto"/>
        </w:pBdr>
        <w:rPr>
          <w:rFonts w:cs="Arial"/>
          <w:color w:val="auto"/>
        </w:rPr>
      </w:pPr>
      <w:bookmarkStart w:id="33" w:name="_Toc355089327"/>
      <w:bookmarkStart w:id="34" w:name="_Toc387747651"/>
      <w:r w:rsidRPr="00856338">
        <w:rPr>
          <w:rFonts w:cs="Arial"/>
          <w:color w:val="auto"/>
        </w:rPr>
        <w:t>Our Friends and Family Test</w:t>
      </w:r>
      <w:bookmarkEnd w:id="33"/>
      <w:r w:rsidRPr="00856338">
        <w:rPr>
          <w:rFonts w:cs="Arial"/>
          <w:color w:val="auto"/>
        </w:rPr>
        <w:t xml:space="preserve"> results</w:t>
      </w:r>
      <w:bookmarkEnd w:id="34"/>
      <w:r w:rsidR="00C30E92" w:rsidRPr="00856338">
        <w:rPr>
          <w:rFonts w:cs="Arial"/>
          <w:color w:val="auto"/>
        </w:rPr>
        <w:t xml:space="preserve"> </w:t>
      </w:r>
    </w:p>
    <w:p w:rsidR="001F7345" w:rsidRPr="00856338" w:rsidRDefault="001F7345" w:rsidP="006B5A91">
      <w:pPr>
        <w:pStyle w:val="Default"/>
        <w:ind w:firstLine="0"/>
        <w:jc w:val="both"/>
        <w:rPr>
          <w:b/>
          <w:color w:val="auto"/>
          <w:sz w:val="22"/>
          <w:szCs w:val="22"/>
        </w:rPr>
      </w:pPr>
      <w:r w:rsidRPr="00856338">
        <w:rPr>
          <w:color w:val="auto"/>
          <w:sz w:val="22"/>
          <w:szCs w:val="22"/>
        </w:rPr>
        <w:t xml:space="preserve">The </w:t>
      </w:r>
      <w:r w:rsidRPr="00856338">
        <w:rPr>
          <w:color w:val="auto"/>
          <w:sz w:val="22"/>
          <w:szCs w:val="22"/>
          <w:shd w:val="clear" w:color="auto" w:fill="FFFFFF"/>
        </w:rPr>
        <w:t>Friends and Family Test is a single question survey which asks patients whether they would recommend the NHS service they have received to friends and family who need similar treatment or care</w:t>
      </w:r>
      <w:r w:rsidRPr="00856338">
        <w:rPr>
          <w:color w:val="auto"/>
          <w:sz w:val="22"/>
          <w:szCs w:val="22"/>
        </w:rPr>
        <w:t>.</w:t>
      </w:r>
      <w:r w:rsidRPr="00856338">
        <w:rPr>
          <w:color w:val="auto"/>
          <w:sz w:val="22"/>
          <w:szCs w:val="22"/>
          <w:shd w:val="clear" w:color="auto" w:fill="FFFFFF"/>
        </w:rPr>
        <w:t xml:space="preserve"> As well as the standard </w:t>
      </w:r>
      <w:r w:rsidRPr="00856338">
        <w:rPr>
          <w:color w:val="auto"/>
          <w:sz w:val="22"/>
          <w:szCs w:val="22"/>
        </w:rPr>
        <w:t>six-point response we have</w:t>
      </w:r>
      <w:r w:rsidR="00E851FE" w:rsidRPr="00856338">
        <w:rPr>
          <w:color w:val="auto"/>
          <w:sz w:val="22"/>
          <w:szCs w:val="22"/>
        </w:rPr>
        <w:t xml:space="preserve"> included additional questions</w:t>
      </w:r>
      <w:r w:rsidRPr="00856338">
        <w:rPr>
          <w:color w:val="auto"/>
          <w:sz w:val="22"/>
          <w:szCs w:val="22"/>
        </w:rPr>
        <w:t xml:space="preserve"> to generate a richer data base to inform learning and change. The Trust introduced this survey tool in January 2013 for all acute wards and the </w:t>
      </w:r>
      <w:r w:rsidR="00423CE5" w:rsidRPr="00856338">
        <w:rPr>
          <w:color w:val="auto"/>
          <w:sz w:val="22"/>
          <w:szCs w:val="22"/>
        </w:rPr>
        <w:t xml:space="preserve">Accident and </w:t>
      </w:r>
      <w:r w:rsidRPr="00856338">
        <w:rPr>
          <w:color w:val="auto"/>
          <w:sz w:val="22"/>
          <w:szCs w:val="22"/>
        </w:rPr>
        <w:t xml:space="preserve">Emergency Department. In October 2013 the survey was extended to include Maternity services. Each Division and ward receives a breakdown of the outcome of their survey results to allow them to take relevant action. </w:t>
      </w:r>
      <w:r w:rsidR="000B389B" w:rsidRPr="00856338">
        <w:rPr>
          <w:color w:val="auto"/>
          <w:sz w:val="22"/>
          <w:szCs w:val="22"/>
        </w:rPr>
        <w:t xml:space="preserve">In October 2014 the survey was extended to </w:t>
      </w:r>
      <w:r w:rsidR="007F027A" w:rsidRPr="00856338">
        <w:rPr>
          <w:color w:val="auto"/>
          <w:sz w:val="22"/>
          <w:szCs w:val="22"/>
        </w:rPr>
        <w:t>outpatients</w:t>
      </w:r>
      <w:r w:rsidR="00E851FE" w:rsidRPr="00856338">
        <w:rPr>
          <w:color w:val="auto"/>
          <w:sz w:val="22"/>
          <w:szCs w:val="22"/>
        </w:rPr>
        <w:t>.</w:t>
      </w:r>
    </w:p>
    <w:p w:rsidR="001F7345" w:rsidRPr="00856338" w:rsidRDefault="001F7345" w:rsidP="001F7345">
      <w:pPr>
        <w:pStyle w:val="Default"/>
        <w:spacing w:line="276" w:lineRule="auto"/>
        <w:rPr>
          <w:color w:val="auto"/>
          <w:sz w:val="22"/>
          <w:szCs w:val="22"/>
        </w:rPr>
      </w:pPr>
    </w:p>
    <w:p w:rsidR="001F7345" w:rsidRDefault="001F7345" w:rsidP="006B5A91">
      <w:pPr>
        <w:pStyle w:val="Default"/>
        <w:ind w:firstLine="0"/>
        <w:jc w:val="both"/>
        <w:rPr>
          <w:color w:val="auto"/>
          <w:sz w:val="22"/>
          <w:szCs w:val="22"/>
        </w:rPr>
      </w:pPr>
      <w:r w:rsidRPr="00856338">
        <w:rPr>
          <w:color w:val="auto"/>
          <w:sz w:val="22"/>
          <w:szCs w:val="22"/>
        </w:rPr>
        <w:t>The Trust Friends a</w:t>
      </w:r>
      <w:r w:rsidR="00423CE5" w:rsidRPr="00856338">
        <w:rPr>
          <w:color w:val="auto"/>
          <w:sz w:val="22"/>
          <w:szCs w:val="22"/>
        </w:rPr>
        <w:t xml:space="preserve">nd Family response rate and recommendation </w:t>
      </w:r>
      <w:r w:rsidRPr="00856338">
        <w:rPr>
          <w:color w:val="auto"/>
          <w:sz w:val="22"/>
          <w:szCs w:val="22"/>
        </w:rPr>
        <w:t>score is compared with the average scores for NHS acute services across England. T</w:t>
      </w:r>
      <w:r w:rsidR="00423CE5" w:rsidRPr="00856338">
        <w:rPr>
          <w:color w:val="auto"/>
          <w:sz w:val="22"/>
          <w:szCs w:val="22"/>
        </w:rPr>
        <w:t xml:space="preserve">he recommendation </w:t>
      </w:r>
      <w:r w:rsidRPr="00856338">
        <w:rPr>
          <w:color w:val="auto"/>
          <w:sz w:val="22"/>
          <w:szCs w:val="22"/>
        </w:rPr>
        <w:t>score is calculated using the proportion of patients who are extremely likely to recommend minus those who are unlikely and extremely unlikely to recommend, or who are indifferent. The responses are divided into two categories; in</w:t>
      </w:r>
      <w:r w:rsidR="003E73FF" w:rsidRPr="00856338">
        <w:rPr>
          <w:color w:val="auto"/>
          <w:sz w:val="22"/>
          <w:szCs w:val="22"/>
        </w:rPr>
        <w:t>patients and A&amp;E</w:t>
      </w:r>
      <w:r w:rsidRPr="00856338">
        <w:rPr>
          <w:color w:val="auto"/>
          <w:sz w:val="22"/>
          <w:szCs w:val="22"/>
        </w:rPr>
        <w:t xml:space="preserve"> attendees. </w:t>
      </w:r>
      <w:r w:rsidR="00856338" w:rsidRPr="00856338">
        <w:rPr>
          <w:color w:val="auto"/>
          <w:sz w:val="22"/>
          <w:szCs w:val="22"/>
        </w:rPr>
        <w:t xml:space="preserve">Our inpatient response rate and A&amp;E recommendation score has compared </w:t>
      </w:r>
      <w:r w:rsidRPr="00856338">
        <w:rPr>
          <w:color w:val="auto"/>
          <w:sz w:val="22"/>
          <w:szCs w:val="22"/>
        </w:rPr>
        <w:t>favourably with the nat</w:t>
      </w:r>
      <w:r w:rsidR="00856338" w:rsidRPr="00856338">
        <w:rPr>
          <w:color w:val="auto"/>
          <w:sz w:val="22"/>
          <w:szCs w:val="22"/>
        </w:rPr>
        <w:t>ional average</w:t>
      </w:r>
      <w:r w:rsidRPr="00856338">
        <w:rPr>
          <w:color w:val="auto"/>
          <w:sz w:val="22"/>
          <w:szCs w:val="22"/>
        </w:rPr>
        <w:t xml:space="preserve">. </w:t>
      </w:r>
    </w:p>
    <w:p w:rsidR="00856338" w:rsidRPr="00856338" w:rsidRDefault="00856338" w:rsidP="006B5A91">
      <w:pPr>
        <w:pStyle w:val="Default"/>
        <w:ind w:firstLine="0"/>
        <w:jc w:val="both"/>
        <w:rPr>
          <w:color w:val="auto"/>
          <w:sz w:val="22"/>
          <w:szCs w:val="22"/>
        </w:rPr>
      </w:pPr>
    </w:p>
    <w:p w:rsidR="001F7345" w:rsidRDefault="001F7345" w:rsidP="001F7345">
      <w:pPr>
        <w:pStyle w:val="Default"/>
        <w:spacing w:line="276" w:lineRule="auto"/>
        <w:ind w:firstLine="0"/>
        <w:rPr>
          <w:color w:val="auto"/>
          <w:sz w:val="22"/>
          <w:szCs w:val="22"/>
        </w:rPr>
      </w:pPr>
      <w:r w:rsidRPr="00856338">
        <w:rPr>
          <w:color w:val="auto"/>
          <w:sz w:val="22"/>
          <w:szCs w:val="22"/>
        </w:rPr>
        <w:t>The graphs below give further detail.</w:t>
      </w:r>
    </w:p>
    <w:p w:rsidR="007F027A" w:rsidRDefault="007F027A" w:rsidP="001F7345">
      <w:pPr>
        <w:pStyle w:val="Default"/>
        <w:spacing w:line="276" w:lineRule="auto"/>
        <w:ind w:firstLine="0"/>
        <w:rPr>
          <w:color w:val="auto"/>
          <w:sz w:val="22"/>
          <w:szCs w:val="22"/>
        </w:rPr>
      </w:pPr>
    </w:p>
    <w:tbl>
      <w:tblPr>
        <w:tblW w:w="11074" w:type="dxa"/>
        <w:tblInd w:w="-318" w:type="dxa"/>
        <w:tblLook w:val="04A0"/>
      </w:tblPr>
      <w:tblGrid>
        <w:gridCol w:w="1292"/>
        <w:gridCol w:w="842"/>
        <w:gridCol w:w="888"/>
        <w:gridCol w:w="619"/>
        <w:gridCol w:w="619"/>
        <w:gridCol w:w="619"/>
        <w:gridCol w:w="619"/>
        <w:gridCol w:w="619"/>
        <w:gridCol w:w="706"/>
        <w:gridCol w:w="732"/>
        <w:gridCol w:w="704"/>
        <w:gridCol w:w="703"/>
        <w:gridCol w:w="704"/>
        <w:gridCol w:w="704"/>
        <w:gridCol w:w="704"/>
      </w:tblGrid>
      <w:tr w:rsidR="003E73FF" w:rsidRPr="005D5E63" w:rsidTr="00856338">
        <w:trPr>
          <w:trHeight w:val="300"/>
        </w:trPr>
        <w:tc>
          <w:tcPr>
            <w:tcW w:w="1293" w:type="dxa"/>
            <w:tcBorders>
              <w:top w:val="nil"/>
              <w:left w:val="nil"/>
              <w:bottom w:val="nil"/>
              <w:right w:val="nil"/>
            </w:tcBorders>
            <w:shd w:val="clear" w:color="auto" w:fill="auto"/>
            <w:noWrap/>
            <w:vAlign w:val="bottom"/>
            <w:hideMark/>
          </w:tcPr>
          <w:p w:rsidR="003E73FF" w:rsidRPr="005D5E63" w:rsidRDefault="003E73FF" w:rsidP="005D5E63">
            <w:pPr>
              <w:jc w:val="left"/>
              <w:rPr>
                <w:rFonts w:ascii="Calibri" w:hAnsi="Calibri"/>
                <w:color w:val="000000"/>
                <w:lang w:val="en-GB" w:eastAsia="en-GB"/>
              </w:rPr>
            </w:pPr>
          </w:p>
        </w:tc>
        <w:tc>
          <w:tcPr>
            <w:tcW w:w="842" w:type="dxa"/>
            <w:tcBorders>
              <w:top w:val="nil"/>
              <w:left w:val="nil"/>
              <w:bottom w:val="nil"/>
              <w:right w:val="nil"/>
            </w:tcBorders>
            <w:shd w:val="clear" w:color="auto" w:fill="auto"/>
            <w:noWrap/>
            <w:vAlign w:val="bottom"/>
            <w:hideMark/>
          </w:tcPr>
          <w:p w:rsidR="003E73FF" w:rsidRPr="005D5E63" w:rsidRDefault="003E73FF" w:rsidP="005D5E63">
            <w:pPr>
              <w:jc w:val="left"/>
              <w:rPr>
                <w:rFonts w:ascii="Calibri" w:hAnsi="Calibri"/>
                <w:color w:val="000000"/>
                <w:lang w:val="en-GB" w:eastAsia="en-GB"/>
              </w:rPr>
            </w:pPr>
          </w:p>
        </w:tc>
        <w:tc>
          <w:tcPr>
            <w:tcW w:w="888" w:type="dxa"/>
            <w:tcBorders>
              <w:top w:val="nil"/>
              <w:left w:val="nil"/>
              <w:bottom w:val="nil"/>
              <w:right w:val="nil"/>
            </w:tcBorders>
            <w:shd w:val="clear" w:color="auto" w:fill="auto"/>
            <w:noWrap/>
            <w:vAlign w:val="bottom"/>
            <w:hideMark/>
          </w:tcPr>
          <w:p w:rsidR="003E73FF" w:rsidRPr="005D5E63" w:rsidRDefault="003E73FF" w:rsidP="005D5E63">
            <w:pPr>
              <w:jc w:val="left"/>
              <w:rPr>
                <w:rFonts w:ascii="Calibri" w:hAnsi="Calibri"/>
                <w:color w:val="000000"/>
                <w:lang w:val="en-GB" w:eastAsia="en-GB"/>
              </w:rPr>
            </w:pPr>
          </w:p>
        </w:tc>
        <w:tc>
          <w:tcPr>
            <w:tcW w:w="618"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Apr-14</w:t>
            </w:r>
          </w:p>
        </w:tc>
        <w:tc>
          <w:tcPr>
            <w:tcW w:w="619" w:type="dxa"/>
            <w:tcBorders>
              <w:top w:val="single" w:sz="4" w:space="0" w:color="auto"/>
              <w:left w:val="nil"/>
              <w:bottom w:val="single" w:sz="4" w:space="0" w:color="auto"/>
              <w:right w:val="single" w:sz="4" w:space="0" w:color="auto"/>
            </w:tcBorders>
            <w:shd w:val="clear" w:color="000000" w:fill="DBE5F1"/>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May-14</w:t>
            </w:r>
          </w:p>
        </w:tc>
        <w:tc>
          <w:tcPr>
            <w:tcW w:w="619" w:type="dxa"/>
            <w:tcBorders>
              <w:top w:val="single" w:sz="4" w:space="0" w:color="auto"/>
              <w:left w:val="nil"/>
              <w:bottom w:val="single" w:sz="4" w:space="0" w:color="auto"/>
              <w:right w:val="single" w:sz="4" w:space="0" w:color="auto"/>
            </w:tcBorders>
            <w:shd w:val="clear" w:color="000000" w:fill="DBE5F1"/>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Jun-14</w:t>
            </w:r>
          </w:p>
        </w:tc>
        <w:tc>
          <w:tcPr>
            <w:tcW w:w="619" w:type="dxa"/>
            <w:tcBorders>
              <w:top w:val="single" w:sz="4" w:space="0" w:color="auto"/>
              <w:left w:val="nil"/>
              <w:bottom w:val="single" w:sz="4" w:space="0" w:color="auto"/>
              <w:right w:val="single" w:sz="4" w:space="0" w:color="auto"/>
            </w:tcBorders>
            <w:shd w:val="clear" w:color="000000" w:fill="DBE5F1"/>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Jul-14</w:t>
            </w:r>
          </w:p>
        </w:tc>
        <w:tc>
          <w:tcPr>
            <w:tcW w:w="619" w:type="dxa"/>
            <w:tcBorders>
              <w:top w:val="single" w:sz="4" w:space="0" w:color="auto"/>
              <w:left w:val="nil"/>
              <w:bottom w:val="single" w:sz="4" w:space="0" w:color="auto"/>
              <w:right w:val="single" w:sz="4" w:space="0" w:color="auto"/>
            </w:tcBorders>
            <w:shd w:val="clear" w:color="000000" w:fill="DBE5F1"/>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Aug-14</w:t>
            </w:r>
          </w:p>
        </w:tc>
        <w:tc>
          <w:tcPr>
            <w:tcW w:w="706" w:type="dxa"/>
            <w:tcBorders>
              <w:top w:val="single" w:sz="4" w:space="0" w:color="auto"/>
              <w:left w:val="nil"/>
              <w:bottom w:val="single" w:sz="4" w:space="0" w:color="auto"/>
              <w:right w:val="single" w:sz="4" w:space="0" w:color="auto"/>
            </w:tcBorders>
            <w:shd w:val="clear" w:color="000000" w:fill="DBE5F1"/>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Sep-14</w:t>
            </w:r>
          </w:p>
        </w:tc>
        <w:tc>
          <w:tcPr>
            <w:tcW w:w="732" w:type="dxa"/>
            <w:tcBorders>
              <w:top w:val="single" w:sz="4" w:space="0" w:color="auto"/>
              <w:left w:val="nil"/>
              <w:bottom w:val="single" w:sz="4" w:space="0" w:color="auto"/>
              <w:right w:val="single" w:sz="4" w:space="0" w:color="auto"/>
            </w:tcBorders>
            <w:shd w:val="clear" w:color="000000" w:fill="DBE5F1"/>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Oct-14</w:t>
            </w:r>
          </w:p>
        </w:tc>
        <w:tc>
          <w:tcPr>
            <w:tcW w:w="704" w:type="dxa"/>
            <w:tcBorders>
              <w:top w:val="single" w:sz="4" w:space="0" w:color="auto"/>
              <w:left w:val="nil"/>
              <w:bottom w:val="single" w:sz="4" w:space="0" w:color="auto"/>
              <w:right w:val="single" w:sz="4" w:space="0" w:color="auto"/>
            </w:tcBorders>
            <w:shd w:val="clear" w:color="000000" w:fill="DBE5F1"/>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Nov-14</w:t>
            </w:r>
          </w:p>
        </w:tc>
        <w:tc>
          <w:tcPr>
            <w:tcW w:w="703" w:type="dxa"/>
            <w:tcBorders>
              <w:top w:val="single" w:sz="4" w:space="0" w:color="auto"/>
              <w:left w:val="nil"/>
              <w:bottom w:val="single" w:sz="4" w:space="0" w:color="auto"/>
              <w:right w:val="single" w:sz="4" w:space="0" w:color="auto"/>
            </w:tcBorders>
            <w:shd w:val="clear" w:color="000000" w:fill="DBE5F1"/>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Dec-14</w:t>
            </w:r>
          </w:p>
        </w:tc>
        <w:tc>
          <w:tcPr>
            <w:tcW w:w="704" w:type="dxa"/>
            <w:tcBorders>
              <w:top w:val="single" w:sz="4" w:space="0" w:color="auto"/>
              <w:left w:val="nil"/>
              <w:bottom w:val="single" w:sz="4" w:space="0" w:color="auto"/>
              <w:right w:val="single" w:sz="4" w:space="0" w:color="auto"/>
            </w:tcBorders>
            <w:shd w:val="clear" w:color="000000" w:fill="DBE5F1"/>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Jan-15</w:t>
            </w:r>
          </w:p>
        </w:tc>
        <w:tc>
          <w:tcPr>
            <w:tcW w:w="704" w:type="dxa"/>
            <w:tcBorders>
              <w:top w:val="single" w:sz="4" w:space="0" w:color="auto"/>
              <w:left w:val="nil"/>
              <w:bottom w:val="single" w:sz="4" w:space="0" w:color="auto"/>
              <w:right w:val="single" w:sz="4" w:space="0" w:color="auto"/>
            </w:tcBorders>
            <w:shd w:val="clear" w:color="000000" w:fill="DBE5F1"/>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Feb-15</w:t>
            </w:r>
          </w:p>
        </w:tc>
        <w:tc>
          <w:tcPr>
            <w:tcW w:w="704" w:type="dxa"/>
            <w:tcBorders>
              <w:top w:val="single" w:sz="4" w:space="0" w:color="auto"/>
              <w:left w:val="nil"/>
              <w:bottom w:val="single" w:sz="4" w:space="0" w:color="auto"/>
              <w:right w:val="single" w:sz="4" w:space="0" w:color="auto"/>
            </w:tcBorders>
            <w:shd w:val="clear" w:color="000000" w:fill="DBE5F1"/>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Mar-15</w:t>
            </w:r>
          </w:p>
        </w:tc>
      </w:tr>
      <w:tr w:rsidR="003E73FF" w:rsidRPr="005D5E63" w:rsidTr="00856338">
        <w:trPr>
          <w:trHeight w:val="300"/>
        </w:trPr>
        <w:tc>
          <w:tcPr>
            <w:tcW w:w="1293" w:type="dxa"/>
            <w:tcBorders>
              <w:top w:val="single" w:sz="4" w:space="0" w:color="auto"/>
              <w:left w:val="single" w:sz="4" w:space="0" w:color="auto"/>
              <w:bottom w:val="nil"/>
              <w:right w:val="single" w:sz="4" w:space="0" w:color="auto"/>
            </w:tcBorders>
            <w:shd w:val="clear" w:color="000000" w:fill="DBE5F1"/>
            <w:vAlign w:val="center"/>
            <w:hideMark/>
          </w:tcPr>
          <w:p w:rsidR="003E73FF" w:rsidRPr="005D5E63" w:rsidRDefault="003E73FF" w:rsidP="005D5E63">
            <w:pPr>
              <w:jc w:val="center"/>
              <w:rPr>
                <w:rFonts w:ascii="Calibri" w:hAnsi="Calibri"/>
                <w:b/>
                <w:bCs/>
                <w:color w:val="000000"/>
                <w:sz w:val="18"/>
                <w:szCs w:val="18"/>
                <w:lang w:val="en-GB" w:eastAsia="en-GB"/>
              </w:rPr>
            </w:pPr>
            <w:r w:rsidRPr="005D5E63">
              <w:rPr>
                <w:rFonts w:ascii="Calibri" w:hAnsi="Calibri"/>
                <w:b/>
                <w:bCs/>
                <w:color w:val="000000"/>
                <w:sz w:val="18"/>
                <w:szCs w:val="18"/>
                <w:lang w:val="en-GB" w:eastAsia="en-GB"/>
              </w:rPr>
              <w:t> </w:t>
            </w:r>
          </w:p>
        </w:tc>
        <w:tc>
          <w:tcPr>
            <w:tcW w:w="842" w:type="dxa"/>
            <w:vMerge w:val="restart"/>
            <w:tcBorders>
              <w:top w:val="single" w:sz="4" w:space="0" w:color="auto"/>
              <w:left w:val="single" w:sz="4" w:space="0" w:color="auto"/>
              <w:bottom w:val="single" w:sz="4" w:space="0" w:color="000000"/>
              <w:right w:val="single" w:sz="4" w:space="0" w:color="auto"/>
            </w:tcBorders>
            <w:shd w:val="clear" w:color="000000" w:fill="DBE5F1"/>
            <w:noWrap/>
            <w:vAlign w:val="center"/>
            <w:hideMark/>
          </w:tcPr>
          <w:p w:rsidR="003E73FF" w:rsidRPr="005D5E63" w:rsidRDefault="003E73FF" w:rsidP="005D5E63">
            <w:pPr>
              <w:jc w:val="center"/>
              <w:rPr>
                <w:rFonts w:ascii="Calibri" w:hAnsi="Calibri"/>
                <w:b/>
                <w:bCs/>
                <w:color w:val="000000"/>
                <w:sz w:val="18"/>
                <w:szCs w:val="18"/>
                <w:lang w:val="en-GB" w:eastAsia="en-GB"/>
              </w:rPr>
            </w:pPr>
            <w:r w:rsidRPr="005D5E63">
              <w:rPr>
                <w:rFonts w:ascii="Calibri" w:hAnsi="Calibri"/>
                <w:b/>
                <w:bCs/>
                <w:color w:val="000000"/>
                <w:sz w:val="18"/>
                <w:szCs w:val="18"/>
                <w:lang w:val="en-GB" w:eastAsia="en-GB"/>
              </w:rPr>
              <w:t>In-Patient</w:t>
            </w:r>
          </w:p>
        </w:tc>
        <w:tc>
          <w:tcPr>
            <w:tcW w:w="888" w:type="dxa"/>
            <w:tcBorders>
              <w:top w:val="single" w:sz="4" w:space="0" w:color="auto"/>
              <w:left w:val="nil"/>
              <w:bottom w:val="single" w:sz="4" w:space="0" w:color="auto"/>
              <w:right w:val="single" w:sz="4" w:space="0" w:color="auto"/>
            </w:tcBorders>
            <w:shd w:val="clear" w:color="000000" w:fill="DBE5F1"/>
            <w:noWrap/>
            <w:vAlign w:val="center"/>
            <w:hideMark/>
          </w:tcPr>
          <w:p w:rsidR="003E73FF" w:rsidRPr="005D5E63" w:rsidRDefault="003E73FF" w:rsidP="005D5E63">
            <w:pPr>
              <w:jc w:val="center"/>
              <w:rPr>
                <w:rFonts w:ascii="Calibri" w:hAnsi="Calibri"/>
                <w:b/>
                <w:bCs/>
                <w:color w:val="000000"/>
                <w:sz w:val="18"/>
                <w:szCs w:val="18"/>
                <w:lang w:val="en-GB" w:eastAsia="en-GB"/>
              </w:rPr>
            </w:pPr>
            <w:r w:rsidRPr="005D5E63">
              <w:rPr>
                <w:rFonts w:ascii="Calibri" w:hAnsi="Calibri"/>
                <w:b/>
                <w:bCs/>
                <w:color w:val="000000"/>
                <w:sz w:val="18"/>
                <w:szCs w:val="18"/>
                <w:lang w:val="en-GB" w:eastAsia="en-GB"/>
              </w:rPr>
              <w:t>Trust</w:t>
            </w:r>
          </w:p>
        </w:tc>
        <w:tc>
          <w:tcPr>
            <w:tcW w:w="618" w:type="dxa"/>
            <w:tcBorders>
              <w:top w:val="nil"/>
              <w:left w:val="nil"/>
              <w:bottom w:val="single" w:sz="4" w:space="0" w:color="auto"/>
              <w:right w:val="single" w:sz="4" w:space="0" w:color="auto"/>
            </w:tcBorders>
            <w:shd w:val="clear" w:color="000000" w:fill="FCD5B4"/>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91.7%</w:t>
            </w:r>
          </w:p>
        </w:tc>
        <w:tc>
          <w:tcPr>
            <w:tcW w:w="619" w:type="dxa"/>
            <w:tcBorders>
              <w:top w:val="nil"/>
              <w:left w:val="nil"/>
              <w:bottom w:val="single" w:sz="4" w:space="0" w:color="auto"/>
              <w:right w:val="single" w:sz="4" w:space="0" w:color="auto"/>
            </w:tcBorders>
            <w:shd w:val="clear" w:color="000000" w:fill="FCD5B4"/>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92.1%</w:t>
            </w:r>
          </w:p>
        </w:tc>
        <w:tc>
          <w:tcPr>
            <w:tcW w:w="619" w:type="dxa"/>
            <w:tcBorders>
              <w:top w:val="nil"/>
              <w:left w:val="nil"/>
              <w:bottom w:val="single" w:sz="4" w:space="0" w:color="auto"/>
              <w:right w:val="single" w:sz="4" w:space="0" w:color="auto"/>
            </w:tcBorders>
            <w:shd w:val="clear" w:color="000000" w:fill="FCD5B4"/>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95.9%</w:t>
            </w:r>
          </w:p>
        </w:tc>
        <w:tc>
          <w:tcPr>
            <w:tcW w:w="619" w:type="dxa"/>
            <w:tcBorders>
              <w:top w:val="nil"/>
              <w:left w:val="nil"/>
              <w:bottom w:val="single" w:sz="4" w:space="0" w:color="auto"/>
              <w:right w:val="single" w:sz="4" w:space="0" w:color="auto"/>
            </w:tcBorders>
            <w:shd w:val="clear" w:color="000000" w:fill="FCD5B4"/>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96.1%</w:t>
            </w:r>
          </w:p>
        </w:tc>
        <w:tc>
          <w:tcPr>
            <w:tcW w:w="619" w:type="dxa"/>
            <w:tcBorders>
              <w:top w:val="nil"/>
              <w:left w:val="nil"/>
              <w:bottom w:val="single" w:sz="4" w:space="0" w:color="auto"/>
              <w:right w:val="single" w:sz="4" w:space="0" w:color="auto"/>
            </w:tcBorders>
            <w:shd w:val="clear" w:color="000000" w:fill="FCD5B4"/>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92.0%</w:t>
            </w:r>
          </w:p>
        </w:tc>
        <w:tc>
          <w:tcPr>
            <w:tcW w:w="706" w:type="dxa"/>
            <w:tcBorders>
              <w:top w:val="nil"/>
              <w:left w:val="nil"/>
              <w:bottom w:val="single" w:sz="4" w:space="0" w:color="auto"/>
              <w:right w:val="single" w:sz="4" w:space="0" w:color="auto"/>
            </w:tcBorders>
            <w:shd w:val="clear" w:color="000000" w:fill="FCD5B4"/>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92.8%</w:t>
            </w:r>
          </w:p>
        </w:tc>
        <w:tc>
          <w:tcPr>
            <w:tcW w:w="732" w:type="dxa"/>
            <w:tcBorders>
              <w:top w:val="nil"/>
              <w:left w:val="nil"/>
              <w:bottom w:val="single" w:sz="4" w:space="0" w:color="auto"/>
              <w:right w:val="single" w:sz="4" w:space="0" w:color="auto"/>
            </w:tcBorders>
            <w:shd w:val="clear" w:color="000000" w:fill="FCD5B4"/>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95.1%</w:t>
            </w:r>
          </w:p>
        </w:tc>
        <w:tc>
          <w:tcPr>
            <w:tcW w:w="704" w:type="dxa"/>
            <w:tcBorders>
              <w:top w:val="nil"/>
              <w:left w:val="nil"/>
              <w:bottom w:val="single" w:sz="4" w:space="0" w:color="auto"/>
              <w:right w:val="single" w:sz="4" w:space="0" w:color="auto"/>
            </w:tcBorders>
            <w:shd w:val="clear" w:color="000000" w:fill="D7E4BC"/>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93.0%</w:t>
            </w:r>
          </w:p>
        </w:tc>
        <w:tc>
          <w:tcPr>
            <w:tcW w:w="703" w:type="dxa"/>
            <w:tcBorders>
              <w:top w:val="nil"/>
              <w:left w:val="nil"/>
              <w:bottom w:val="single" w:sz="4" w:space="0" w:color="auto"/>
              <w:right w:val="single" w:sz="4" w:space="0" w:color="auto"/>
            </w:tcBorders>
            <w:shd w:val="clear" w:color="000000" w:fill="D7E4BC"/>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95.0%</w:t>
            </w:r>
          </w:p>
        </w:tc>
        <w:tc>
          <w:tcPr>
            <w:tcW w:w="704" w:type="dxa"/>
            <w:tcBorders>
              <w:top w:val="nil"/>
              <w:left w:val="nil"/>
              <w:bottom w:val="single" w:sz="4" w:space="0" w:color="auto"/>
              <w:right w:val="single" w:sz="4" w:space="0" w:color="auto"/>
            </w:tcBorders>
            <w:shd w:val="clear" w:color="000000" w:fill="D7E4BC"/>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92.0%</w:t>
            </w:r>
          </w:p>
        </w:tc>
        <w:tc>
          <w:tcPr>
            <w:tcW w:w="704" w:type="dxa"/>
            <w:tcBorders>
              <w:top w:val="nil"/>
              <w:left w:val="nil"/>
              <w:bottom w:val="single" w:sz="4" w:space="0" w:color="auto"/>
              <w:right w:val="single" w:sz="4" w:space="0" w:color="auto"/>
            </w:tcBorders>
            <w:shd w:val="clear" w:color="000000" w:fill="D7E4BC"/>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97.6%</w:t>
            </w:r>
          </w:p>
        </w:tc>
        <w:tc>
          <w:tcPr>
            <w:tcW w:w="704" w:type="dxa"/>
            <w:tcBorders>
              <w:top w:val="nil"/>
              <w:left w:val="nil"/>
              <w:bottom w:val="single" w:sz="4" w:space="0" w:color="auto"/>
              <w:right w:val="single" w:sz="4" w:space="0" w:color="auto"/>
            </w:tcBorders>
            <w:shd w:val="clear" w:color="000000" w:fill="D7E4BC"/>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96.5%</w:t>
            </w:r>
          </w:p>
        </w:tc>
      </w:tr>
      <w:tr w:rsidR="003E73FF" w:rsidRPr="005D5E63" w:rsidTr="00856338">
        <w:trPr>
          <w:trHeight w:val="300"/>
        </w:trPr>
        <w:tc>
          <w:tcPr>
            <w:tcW w:w="1293" w:type="dxa"/>
            <w:tcBorders>
              <w:top w:val="nil"/>
              <w:left w:val="single" w:sz="4" w:space="0" w:color="auto"/>
              <w:bottom w:val="nil"/>
              <w:right w:val="single" w:sz="4" w:space="0" w:color="auto"/>
            </w:tcBorders>
            <w:shd w:val="clear" w:color="000000" w:fill="DBE5F1"/>
            <w:hideMark/>
          </w:tcPr>
          <w:p w:rsidR="003E73FF" w:rsidRPr="005D5E63" w:rsidRDefault="003E73FF" w:rsidP="005D5E63">
            <w:pPr>
              <w:jc w:val="center"/>
              <w:rPr>
                <w:rFonts w:ascii="Calibri" w:hAnsi="Calibri"/>
                <w:b/>
                <w:bCs/>
                <w:color w:val="000000"/>
                <w:sz w:val="18"/>
                <w:szCs w:val="18"/>
                <w:lang w:val="en-GB" w:eastAsia="en-GB"/>
              </w:rPr>
            </w:pPr>
            <w:r w:rsidRPr="005D5E63">
              <w:rPr>
                <w:rFonts w:ascii="Calibri" w:hAnsi="Calibri"/>
                <w:b/>
                <w:bCs/>
                <w:color w:val="000000"/>
                <w:sz w:val="18"/>
                <w:szCs w:val="18"/>
                <w:lang w:val="en-GB" w:eastAsia="en-GB"/>
              </w:rPr>
              <w:t>Would</w:t>
            </w:r>
          </w:p>
        </w:tc>
        <w:tc>
          <w:tcPr>
            <w:tcW w:w="842" w:type="dxa"/>
            <w:vMerge/>
            <w:tcBorders>
              <w:top w:val="single" w:sz="4" w:space="0" w:color="auto"/>
              <w:left w:val="single" w:sz="4" w:space="0" w:color="auto"/>
              <w:bottom w:val="single" w:sz="4" w:space="0" w:color="000000"/>
              <w:right w:val="single" w:sz="4" w:space="0" w:color="auto"/>
            </w:tcBorders>
            <w:vAlign w:val="center"/>
            <w:hideMark/>
          </w:tcPr>
          <w:p w:rsidR="003E73FF" w:rsidRPr="005D5E63" w:rsidRDefault="003E73FF" w:rsidP="005D5E63">
            <w:pPr>
              <w:jc w:val="left"/>
              <w:rPr>
                <w:rFonts w:ascii="Calibri" w:hAnsi="Calibri"/>
                <w:b/>
                <w:bCs/>
                <w:color w:val="000000"/>
                <w:sz w:val="18"/>
                <w:szCs w:val="18"/>
                <w:lang w:val="en-GB" w:eastAsia="en-GB"/>
              </w:rPr>
            </w:pPr>
          </w:p>
        </w:tc>
        <w:tc>
          <w:tcPr>
            <w:tcW w:w="888" w:type="dxa"/>
            <w:tcBorders>
              <w:top w:val="nil"/>
              <w:left w:val="nil"/>
              <w:bottom w:val="single" w:sz="4" w:space="0" w:color="auto"/>
              <w:right w:val="single" w:sz="4" w:space="0" w:color="auto"/>
            </w:tcBorders>
            <w:shd w:val="clear" w:color="000000" w:fill="DBE5F1"/>
            <w:noWrap/>
            <w:vAlign w:val="center"/>
            <w:hideMark/>
          </w:tcPr>
          <w:p w:rsidR="003E73FF" w:rsidRPr="005D5E63" w:rsidRDefault="003E73FF" w:rsidP="005D5E63">
            <w:pPr>
              <w:jc w:val="center"/>
              <w:rPr>
                <w:rFonts w:ascii="Calibri" w:hAnsi="Calibri"/>
                <w:b/>
                <w:bCs/>
                <w:color w:val="000000"/>
                <w:sz w:val="18"/>
                <w:szCs w:val="18"/>
                <w:lang w:val="en-GB" w:eastAsia="en-GB"/>
              </w:rPr>
            </w:pPr>
            <w:r w:rsidRPr="005D5E63">
              <w:rPr>
                <w:rFonts w:ascii="Calibri" w:hAnsi="Calibri"/>
                <w:b/>
                <w:bCs/>
                <w:color w:val="000000"/>
                <w:sz w:val="18"/>
                <w:szCs w:val="18"/>
                <w:lang w:val="en-GB" w:eastAsia="en-GB"/>
              </w:rPr>
              <w:t>England</w:t>
            </w:r>
          </w:p>
        </w:tc>
        <w:tc>
          <w:tcPr>
            <w:tcW w:w="618" w:type="dxa"/>
            <w:tcBorders>
              <w:top w:val="nil"/>
              <w:left w:val="nil"/>
              <w:bottom w:val="single" w:sz="4" w:space="0" w:color="auto"/>
              <w:right w:val="single" w:sz="4" w:space="0" w:color="auto"/>
            </w:tcBorders>
            <w:shd w:val="clear" w:color="000000" w:fill="DBE5F1"/>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N/A</w:t>
            </w:r>
          </w:p>
        </w:tc>
        <w:tc>
          <w:tcPr>
            <w:tcW w:w="619" w:type="dxa"/>
            <w:tcBorders>
              <w:top w:val="nil"/>
              <w:left w:val="nil"/>
              <w:bottom w:val="single" w:sz="4" w:space="0" w:color="auto"/>
              <w:right w:val="single" w:sz="4" w:space="0" w:color="auto"/>
            </w:tcBorders>
            <w:shd w:val="clear" w:color="000000" w:fill="DBE5F1"/>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94.0%</w:t>
            </w:r>
          </w:p>
        </w:tc>
        <w:tc>
          <w:tcPr>
            <w:tcW w:w="619" w:type="dxa"/>
            <w:tcBorders>
              <w:top w:val="nil"/>
              <w:left w:val="nil"/>
              <w:bottom w:val="single" w:sz="4" w:space="0" w:color="auto"/>
              <w:right w:val="single" w:sz="4" w:space="0" w:color="auto"/>
            </w:tcBorders>
            <w:shd w:val="clear" w:color="000000" w:fill="DBE5F1"/>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94.0%</w:t>
            </w:r>
          </w:p>
        </w:tc>
        <w:tc>
          <w:tcPr>
            <w:tcW w:w="619" w:type="dxa"/>
            <w:tcBorders>
              <w:top w:val="nil"/>
              <w:left w:val="nil"/>
              <w:bottom w:val="single" w:sz="4" w:space="0" w:color="auto"/>
              <w:right w:val="single" w:sz="4" w:space="0" w:color="auto"/>
            </w:tcBorders>
            <w:shd w:val="clear" w:color="000000" w:fill="DBE5F1"/>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94.0%</w:t>
            </w:r>
          </w:p>
        </w:tc>
        <w:tc>
          <w:tcPr>
            <w:tcW w:w="619" w:type="dxa"/>
            <w:tcBorders>
              <w:top w:val="nil"/>
              <w:left w:val="nil"/>
              <w:bottom w:val="single" w:sz="4" w:space="0" w:color="auto"/>
              <w:right w:val="single" w:sz="4" w:space="0" w:color="auto"/>
            </w:tcBorders>
            <w:shd w:val="clear" w:color="000000" w:fill="DBE5F1"/>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94.0%</w:t>
            </w:r>
          </w:p>
        </w:tc>
        <w:tc>
          <w:tcPr>
            <w:tcW w:w="706" w:type="dxa"/>
            <w:tcBorders>
              <w:top w:val="nil"/>
              <w:left w:val="nil"/>
              <w:bottom w:val="single" w:sz="4" w:space="0" w:color="auto"/>
              <w:right w:val="single" w:sz="4" w:space="0" w:color="auto"/>
            </w:tcBorders>
            <w:shd w:val="clear" w:color="000000" w:fill="DBE5F1"/>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93.0%</w:t>
            </w:r>
          </w:p>
        </w:tc>
        <w:tc>
          <w:tcPr>
            <w:tcW w:w="732" w:type="dxa"/>
            <w:tcBorders>
              <w:top w:val="nil"/>
              <w:left w:val="nil"/>
              <w:bottom w:val="single" w:sz="4" w:space="0" w:color="auto"/>
              <w:right w:val="single" w:sz="4" w:space="0" w:color="auto"/>
            </w:tcBorders>
            <w:shd w:val="clear" w:color="000000" w:fill="DBE5F1"/>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94.0%</w:t>
            </w:r>
          </w:p>
        </w:tc>
        <w:tc>
          <w:tcPr>
            <w:tcW w:w="704" w:type="dxa"/>
            <w:tcBorders>
              <w:top w:val="nil"/>
              <w:left w:val="nil"/>
              <w:bottom w:val="single" w:sz="4" w:space="0" w:color="auto"/>
              <w:right w:val="single" w:sz="4" w:space="0" w:color="auto"/>
            </w:tcBorders>
            <w:shd w:val="clear" w:color="000000" w:fill="DBE5F1"/>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93.0%</w:t>
            </w:r>
          </w:p>
        </w:tc>
        <w:tc>
          <w:tcPr>
            <w:tcW w:w="703" w:type="dxa"/>
            <w:tcBorders>
              <w:top w:val="nil"/>
              <w:left w:val="nil"/>
              <w:bottom w:val="single" w:sz="4" w:space="0" w:color="auto"/>
              <w:right w:val="single" w:sz="4" w:space="0" w:color="auto"/>
            </w:tcBorders>
            <w:shd w:val="clear" w:color="000000" w:fill="DBE5F1"/>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95.0%</w:t>
            </w:r>
          </w:p>
        </w:tc>
        <w:tc>
          <w:tcPr>
            <w:tcW w:w="704" w:type="dxa"/>
            <w:tcBorders>
              <w:top w:val="nil"/>
              <w:left w:val="nil"/>
              <w:bottom w:val="single" w:sz="4" w:space="0" w:color="auto"/>
              <w:right w:val="single" w:sz="4" w:space="0" w:color="auto"/>
            </w:tcBorders>
            <w:shd w:val="clear" w:color="000000" w:fill="DBE5F1"/>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92.0%</w:t>
            </w:r>
          </w:p>
        </w:tc>
        <w:tc>
          <w:tcPr>
            <w:tcW w:w="704" w:type="dxa"/>
            <w:tcBorders>
              <w:top w:val="nil"/>
              <w:left w:val="nil"/>
              <w:bottom w:val="single" w:sz="4" w:space="0" w:color="auto"/>
              <w:right w:val="single" w:sz="4" w:space="0" w:color="auto"/>
            </w:tcBorders>
            <w:shd w:val="clear" w:color="000000" w:fill="DBE5F1"/>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95.0%</w:t>
            </w:r>
          </w:p>
        </w:tc>
        <w:tc>
          <w:tcPr>
            <w:tcW w:w="704" w:type="dxa"/>
            <w:tcBorders>
              <w:top w:val="nil"/>
              <w:left w:val="nil"/>
              <w:bottom w:val="single" w:sz="4" w:space="0" w:color="auto"/>
              <w:right w:val="single" w:sz="4" w:space="0" w:color="auto"/>
            </w:tcBorders>
            <w:shd w:val="clear" w:color="000000" w:fill="DBE5F1"/>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N/A</w:t>
            </w:r>
          </w:p>
        </w:tc>
      </w:tr>
      <w:tr w:rsidR="003E73FF" w:rsidRPr="005D5E63" w:rsidTr="00856338">
        <w:trPr>
          <w:trHeight w:val="390"/>
        </w:trPr>
        <w:tc>
          <w:tcPr>
            <w:tcW w:w="1293" w:type="dxa"/>
            <w:tcBorders>
              <w:top w:val="nil"/>
              <w:left w:val="single" w:sz="4" w:space="0" w:color="auto"/>
              <w:bottom w:val="nil"/>
              <w:right w:val="single" w:sz="4" w:space="0" w:color="auto"/>
            </w:tcBorders>
            <w:shd w:val="clear" w:color="000000" w:fill="DBE5F1"/>
            <w:hideMark/>
          </w:tcPr>
          <w:p w:rsidR="003E73FF" w:rsidRPr="005D5E63" w:rsidRDefault="003E73FF" w:rsidP="005D5E63">
            <w:pPr>
              <w:jc w:val="center"/>
              <w:rPr>
                <w:rFonts w:ascii="Calibri" w:hAnsi="Calibri"/>
                <w:b/>
                <w:bCs/>
                <w:color w:val="000000"/>
                <w:sz w:val="18"/>
                <w:szCs w:val="18"/>
                <w:lang w:val="en-GB" w:eastAsia="en-GB"/>
              </w:rPr>
            </w:pPr>
            <w:r w:rsidRPr="005D5E63">
              <w:rPr>
                <w:rFonts w:ascii="Calibri" w:hAnsi="Calibri"/>
                <w:b/>
                <w:bCs/>
                <w:color w:val="000000"/>
                <w:sz w:val="18"/>
                <w:szCs w:val="18"/>
                <w:lang w:val="en-GB" w:eastAsia="en-GB"/>
              </w:rPr>
              <w:t>Recommend</w:t>
            </w:r>
          </w:p>
        </w:tc>
        <w:tc>
          <w:tcPr>
            <w:tcW w:w="842" w:type="dxa"/>
            <w:vMerge w:val="restart"/>
            <w:tcBorders>
              <w:top w:val="nil"/>
              <w:left w:val="single" w:sz="4" w:space="0" w:color="auto"/>
              <w:bottom w:val="single" w:sz="4" w:space="0" w:color="000000"/>
              <w:right w:val="single" w:sz="4" w:space="0" w:color="auto"/>
            </w:tcBorders>
            <w:shd w:val="clear" w:color="000000" w:fill="DBE5F1"/>
            <w:noWrap/>
            <w:vAlign w:val="center"/>
            <w:hideMark/>
          </w:tcPr>
          <w:p w:rsidR="003E73FF" w:rsidRPr="005D5E63" w:rsidRDefault="003E73FF" w:rsidP="005D5E63">
            <w:pPr>
              <w:jc w:val="center"/>
              <w:rPr>
                <w:rFonts w:ascii="Calibri" w:hAnsi="Calibri"/>
                <w:b/>
                <w:bCs/>
                <w:color w:val="000000"/>
                <w:sz w:val="18"/>
                <w:szCs w:val="18"/>
                <w:lang w:val="en-GB" w:eastAsia="en-GB"/>
              </w:rPr>
            </w:pPr>
            <w:r w:rsidRPr="005D5E63">
              <w:rPr>
                <w:rFonts w:ascii="Calibri" w:hAnsi="Calibri"/>
                <w:b/>
                <w:bCs/>
                <w:color w:val="000000"/>
                <w:sz w:val="18"/>
                <w:szCs w:val="18"/>
                <w:lang w:val="en-GB" w:eastAsia="en-GB"/>
              </w:rPr>
              <w:t>A&amp;E</w:t>
            </w:r>
          </w:p>
        </w:tc>
        <w:tc>
          <w:tcPr>
            <w:tcW w:w="888" w:type="dxa"/>
            <w:tcBorders>
              <w:top w:val="nil"/>
              <w:left w:val="nil"/>
              <w:bottom w:val="single" w:sz="4" w:space="0" w:color="auto"/>
              <w:right w:val="single" w:sz="4" w:space="0" w:color="auto"/>
            </w:tcBorders>
            <w:shd w:val="clear" w:color="000000" w:fill="DBE5F1"/>
            <w:noWrap/>
            <w:vAlign w:val="center"/>
            <w:hideMark/>
          </w:tcPr>
          <w:p w:rsidR="003E73FF" w:rsidRPr="005D5E63" w:rsidRDefault="003E73FF" w:rsidP="005D5E63">
            <w:pPr>
              <w:jc w:val="center"/>
              <w:rPr>
                <w:rFonts w:ascii="Calibri" w:hAnsi="Calibri"/>
                <w:b/>
                <w:bCs/>
                <w:color w:val="000000"/>
                <w:sz w:val="18"/>
                <w:szCs w:val="18"/>
                <w:lang w:val="en-GB" w:eastAsia="en-GB"/>
              </w:rPr>
            </w:pPr>
            <w:r w:rsidRPr="005D5E63">
              <w:rPr>
                <w:rFonts w:ascii="Calibri" w:hAnsi="Calibri"/>
                <w:b/>
                <w:bCs/>
                <w:color w:val="000000"/>
                <w:sz w:val="18"/>
                <w:szCs w:val="18"/>
                <w:lang w:val="en-GB" w:eastAsia="en-GB"/>
              </w:rPr>
              <w:t>Trust</w:t>
            </w:r>
          </w:p>
        </w:tc>
        <w:tc>
          <w:tcPr>
            <w:tcW w:w="618" w:type="dxa"/>
            <w:tcBorders>
              <w:top w:val="nil"/>
              <w:left w:val="nil"/>
              <w:bottom w:val="single" w:sz="4" w:space="0" w:color="auto"/>
              <w:right w:val="single" w:sz="4" w:space="0" w:color="auto"/>
            </w:tcBorders>
            <w:shd w:val="clear" w:color="000000" w:fill="FCD5B4"/>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95.0%</w:t>
            </w:r>
          </w:p>
        </w:tc>
        <w:tc>
          <w:tcPr>
            <w:tcW w:w="619" w:type="dxa"/>
            <w:tcBorders>
              <w:top w:val="nil"/>
              <w:left w:val="nil"/>
              <w:bottom w:val="single" w:sz="4" w:space="0" w:color="auto"/>
              <w:right w:val="single" w:sz="4" w:space="0" w:color="auto"/>
            </w:tcBorders>
            <w:shd w:val="clear" w:color="000000" w:fill="FCD5B4"/>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98.7%</w:t>
            </w:r>
          </w:p>
        </w:tc>
        <w:tc>
          <w:tcPr>
            <w:tcW w:w="619" w:type="dxa"/>
            <w:tcBorders>
              <w:top w:val="nil"/>
              <w:left w:val="nil"/>
              <w:bottom w:val="single" w:sz="4" w:space="0" w:color="auto"/>
              <w:right w:val="single" w:sz="4" w:space="0" w:color="auto"/>
            </w:tcBorders>
            <w:shd w:val="clear" w:color="000000" w:fill="FCD5B4"/>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86.3%</w:t>
            </w:r>
          </w:p>
        </w:tc>
        <w:tc>
          <w:tcPr>
            <w:tcW w:w="619" w:type="dxa"/>
            <w:tcBorders>
              <w:top w:val="nil"/>
              <w:left w:val="nil"/>
              <w:bottom w:val="single" w:sz="4" w:space="0" w:color="auto"/>
              <w:right w:val="single" w:sz="4" w:space="0" w:color="auto"/>
            </w:tcBorders>
            <w:shd w:val="clear" w:color="000000" w:fill="FCD5B4"/>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97.1%</w:t>
            </w:r>
          </w:p>
        </w:tc>
        <w:tc>
          <w:tcPr>
            <w:tcW w:w="619" w:type="dxa"/>
            <w:tcBorders>
              <w:top w:val="nil"/>
              <w:left w:val="nil"/>
              <w:bottom w:val="single" w:sz="4" w:space="0" w:color="auto"/>
              <w:right w:val="single" w:sz="4" w:space="0" w:color="auto"/>
            </w:tcBorders>
            <w:shd w:val="clear" w:color="000000" w:fill="FCD5B4"/>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98.3%</w:t>
            </w:r>
          </w:p>
        </w:tc>
        <w:tc>
          <w:tcPr>
            <w:tcW w:w="706" w:type="dxa"/>
            <w:tcBorders>
              <w:top w:val="nil"/>
              <w:left w:val="nil"/>
              <w:bottom w:val="single" w:sz="4" w:space="0" w:color="auto"/>
              <w:right w:val="single" w:sz="4" w:space="0" w:color="auto"/>
            </w:tcBorders>
            <w:shd w:val="clear" w:color="000000" w:fill="FCD5B4"/>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97.9%</w:t>
            </w:r>
          </w:p>
        </w:tc>
        <w:tc>
          <w:tcPr>
            <w:tcW w:w="732" w:type="dxa"/>
            <w:tcBorders>
              <w:top w:val="nil"/>
              <w:left w:val="nil"/>
              <w:bottom w:val="single" w:sz="4" w:space="0" w:color="auto"/>
              <w:right w:val="single" w:sz="4" w:space="0" w:color="auto"/>
            </w:tcBorders>
            <w:shd w:val="clear" w:color="000000" w:fill="FCD5B4"/>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94.4%</w:t>
            </w:r>
          </w:p>
        </w:tc>
        <w:tc>
          <w:tcPr>
            <w:tcW w:w="704" w:type="dxa"/>
            <w:tcBorders>
              <w:top w:val="nil"/>
              <w:left w:val="nil"/>
              <w:bottom w:val="single" w:sz="4" w:space="0" w:color="auto"/>
              <w:right w:val="single" w:sz="4" w:space="0" w:color="auto"/>
            </w:tcBorders>
            <w:shd w:val="clear" w:color="000000" w:fill="D7E4BC"/>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98.0%</w:t>
            </w:r>
          </w:p>
        </w:tc>
        <w:tc>
          <w:tcPr>
            <w:tcW w:w="703" w:type="dxa"/>
            <w:tcBorders>
              <w:top w:val="nil"/>
              <w:left w:val="nil"/>
              <w:bottom w:val="single" w:sz="4" w:space="0" w:color="auto"/>
              <w:right w:val="single" w:sz="4" w:space="0" w:color="auto"/>
            </w:tcBorders>
            <w:shd w:val="clear" w:color="000000" w:fill="D7E4BC"/>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94.0%</w:t>
            </w:r>
          </w:p>
        </w:tc>
        <w:tc>
          <w:tcPr>
            <w:tcW w:w="704" w:type="dxa"/>
            <w:tcBorders>
              <w:top w:val="nil"/>
              <w:left w:val="nil"/>
              <w:bottom w:val="single" w:sz="4" w:space="0" w:color="auto"/>
              <w:right w:val="single" w:sz="4" w:space="0" w:color="auto"/>
            </w:tcBorders>
            <w:shd w:val="clear" w:color="000000" w:fill="D7E4BC"/>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95.0%</w:t>
            </w:r>
          </w:p>
        </w:tc>
        <w:tc>
          <w:tcPr>
            <w:tcW w:w="704" w:type="dxa"/>
            <w:tcBorders>
              <w:top w:val="nil"/>
              <w:left w:val="nil"/>
              <w:bottom w:val="single" w:sz="4" w:space="0" w:color="auto"/>
              <w:right w:val="single" w:sz="4" w:space="0" w:color="auto"/>
            </w:tcBorders>
            <w:shd w:val="clear" w:color="000000" w:fill="D7E4BC"/>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95.0%</w:t>
            </w:r>
          </w:p>
        </w:tc>
        <w:tc>
          <w:tcPr>
            <w:tcW w:w="704" w:type="dxa"/>
            <w:tcBorders>
              <w:top w:val="nil"/>
              <w:left w:val="nil"/>
              <w:bottom w:val="single" w:sz="4" w:space="0" w:color="auto"/>
              <w:right w:val="single" w:sz="4" w:space="0" w:color="auto"/>
            </w:tcBorders>
            <w:shd w:val="clear" w:color="000000" w:fill="D7E4BC"/>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92.0%</w:t>
            </w:r>
          </w:p>
        </w:tc>
      </w:tr>
      <w:tr w:rsidR="003E73FF" w:rsidRPr="005D5E63" w:rsidTr="00856338">
        <w:trPr>
          <w:trHeight w:val="375"/>
        </w:trPr>
        <w:tc>
          <w:tcPr>
            <w:tcW w:w="1293" w:type="dxa"/>
            <w:tcBorders>
              <w:top w:val="nil"/>
              <w:left w:val="single" w:sz="4" w:space="0" w:color="auto"/>
              <w:bottom w:val="single" w:sz="4" w:space="0" w:color="auto"/>
              <w:right w:val="single" w:sz="4" w:space="0" w:color="auto"/>
            </w:tcBorders>
            <w:shd w:val="clear" w:color="000000" w:fill="DBE5F1"/>
            <w:hideMark/>
          </w:tcPr>
          <w:p w:rsidR="003E73FF" w:rsidRPr="005D5E63" w:rsidRDefault="003E73FF" w:rsidP="005D5E63">
            <w:pPr>
              <w:jc w:val="center"/>
              <w:rPr>
                <w:rFonts w:ascii="Calibri" w:hAnsi="Calibri"/>
                <w:b/>
                <w:bCs/>
                <w:color w:val="000000"/>
                <w:sz w:val="18"/>
                <w:szCs w:val="18"/>
                <w:lang w:val="en-GB" w:eastAsia="en-GB"/>
              </w:rPr>
            </w:pPr>
            <w:r w:rsidRPr="005D5E63">
              <w:rPr>
                <w:rFonts w:ascii="Calibri" w:hAnsi="Calibri"/>
                <w:b/>
                <w:bCs/>
                <w:color w:val="000000"/>
                <w:sz w:val="18"/>
                <w:szCs w:val="18"/>
                <w:lang w:val="en-GB" w:eastAsia="en-GB"/>
              </w:rPr>
              <w:t> </w:t>
            </w:r>
          </w:p>
        </w:tc>
        <w:tc>
          <w:tcPr>
            <w:tcW w:w="842" w:type="dxa"/>
            <w:vMerge/>
            <w:tcBorders>
              <w:top w:val="nil"/>
              <w:left w:val="single" w:sz="4" w:space="0" w:color="auto"/>
              <w:bottom w:val="single" w:sz="4" w:space="0" w:color="000000"/>
              <w:right w:val="single" w:sz="4" w:space="0" w:color="auto"/>
            </w:tcBorders>
            <w:vAlign w:val="center"/>
            <w:hideMark/>
          </w:tcPr>
          <w:p w:rsidR="003E73FF" w:rsidRPr="005D5E63" w:rsidRDefault="003E73FF" w:rsidP="005D5E63">
            <w:pPr>
              <w:jc w:val="left"/>
              <w:rPr>
                <w:rFonts w:ascii="Calibri" w:hAnsi="Calibri"/>
                <w:b/>
                <w:bCs/>
                <w:color w:val="000000"/>
                <w:sz w:val="18"/>
                <w:szCs w:val="18"/>
                <w:lang w:val="en-GB" w:eastAsia="en-GB"/>
              </w:rPr>
            </w:pPr>
          </w:p>
        </w:tc>
        <w:tc>
          <w:tcPr>
            <w:tcW w:w="888" w:type="dxa"/>
            <w:tcBorders>
              <w:top w:val="nil"/>
              <w:left w:val="nil"/>
              <w:bottom w:val="single" w:sz="4" w:space="0" w:color="auto"/>
              <w:right w:val="single" w:sz="4" w:space="0" w:color="auto"/>
            </w:tcBorders>
            <w:shd w:val="clear" w:color="000000" w:fill="DBE5F1"/>
            <w:noWrap/>
            <w:vAlign w:val="center"/>
            <w:hideMark/>
          </w:tcPr>
          <w:p w:rsidR="003E73FF" w:rsidRPr="005D5E63" w:rsidRDefault="003E73FF" w:rsidP="005D5E63">
            <w:pPr>
              <w:jc w:val="center"/>
              <w:rPr>
                <w:rFonts w:ascii="Calibri" w:hAnsi="Calibri"/>
                <w:b/>
                <w:bCs/>
                <w:color w:val="000000"/>
                <w:sz w:val="18"/>
                <w:szCs w:val="18"/>
                <w:lang w:val="en-GB" w:eastAsia="en-GB"/>
              </w:rPr>
            </w:pPr>
            <w:r w:rsidRPr="005D5E63">
              <w:rPr>
                <w:rFonts w:ascii="Calibri" w:hAnsi="Calibri"/>
                <w:b/>
                <w:bCs/>
                <w:color w:val="000000"/>
                <w:sz w:val="18"/>
                <w:szCs w:val="18"/>
                <w:lang w:val="en-GB" w:eastAsia="en-GB"/>
              </w:rPr>
              <w:t>England</w:t>
            </w:r>
          </w:p>
        </w:tc>
        <w:tc>
          <w:tcPr>
            <w:tcW w:w="618" w:type="dxa"/>
            <w:tcBorders>
              <w:top w:val="nil"/>
              <w:left w:val="nil"/>
              <w:bottom w:val="single" w:sz="4" w:space="0" w:color="auto"/>
              <w:right w:val="single" w:sz="4" w:space="0" w:color="auto"/>
            </w:tcBorders>
            <w:shd w:val="clear" w:color="000000" w:fill="DBE5F1"/>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N/A</w:t>
            </w:r>
          </w:p>
        </w:tc>
        <w:tc>
          <w:tcPr>
            <w:tcW w:w="619" w:type="dxa"/>
            <w:tcBorders>
              <w:top w:val="nil"/>
              <w:left w:val="nil"/>
              <w:bottom w:val="single" w:sz="4" w:space="0" w:color="auto"/>
              <w:right w:val="single" w:sz="4" w:space="0" w:color="auto"/>
            </w:tcBorders>
            <w:shd w:val="clear" w:color="000000" w:fill="DBE5F1"/>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N/A</w:t>
            </w:r>
          </w:p>
        </w:tc>
        <w:tc>
          <w:tcPr>
            <w:tcW w:w="619" w:type="dxa"/>
            <w:tcBorders>
              <w:top w:val="nil"/>
              <w:left w:val="nil"/>
              <w:bottom w:val="single" w:sz="4" w:space="0" w:color="auto"/>
              <w:right w:val="single" w:sz="4" w:space="0" w:color="auto"/>
            </w:tcBorders>
            <w:shd w:val="clear" w:color="000000" w:fill="DBE5F1"/>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86.0</w:t>
            </w:r>
          </w:p>
        </w:tc>
        <w:tc>
          <w:tcPr>
            <w:tcW w:w="619" w:type="dxa"/>
            <w:tcBorders>
              <w:top w:val="nil"/>
              <w:left w:val="nil"/>
              <w:bottom w:val="single" w:sz="4" w:space="0" w:color="auto"/>
              <w:right w:val="single" w:sz="4" w:space="0" w:color="auto"/>
            </w:tcBorders>
            <w:shd w:val="clear" w:color="000000" w:fill="DBE5F1"/>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86.0</w:t>
            </w:r>
          </w:p>
        </w:tc>
        <w:tc>
          <w:tcPr>
            <w:tcW w:w="619" w:type="dxa"/>
            <w:tcBorders>
              <w:top w:val="nil"/>
              <w:left w:val="nil"/>
              <w:bottom w:val="single" w:sz="4" w:space="0" w:color="auto"/>
              <w:right w:val="single" w:sz="4" w:space="0" w:color="auto"/>
            </w:tcBorders>
            <w:shd w:val="clear" w:color="000000" w:fill="DBE5F1"/>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87.0</w:t>
            </w:r>
          </w:p>
        </w:tc>
        <w:tc>
          <w:tcPr>
            <w:tcW w:w="706" w:type="dxa"/>
            <w:tcBorders>
              <w:top w:val="nil"/>
              <w:left w:val="nil"/>
              <w:bottom w:val="single" w:sz="4" w:space="0" w:color="auto"/>
              <w:right w:val="single" w:sz="4" w:space="0" w:color="auto"/>
            </w:tcBorders>
            <w:shd w:val="clear" w:color="000000" w:fill="DBE5F1"/>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86.0</w:t>
            </w:r>
          </w:p>
        </w:tc>
        <w:tc>
          <w:tcPr>
            <w:tcW w:w="732" w:type="dxa"/>
            <w:tcBorders>
              <w:top w:val="nil"/>
              <w:left w:val="nil"/>
              <w:bottom w:val="single" w:sz="4" w:space="0" w:color="auto"/>
              <w:right w:val="single" w:sz="4" w:space="0" w:color="auto"/>
            </w:tcBorders>
            <w:shd w:val="clear" w:color="000000" w:fill="DBE5F1"/>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87.0</w:t>
            </w:r>
          </w:p>
        </w:tc>
        <w:tc>
          <w:tcPr>
            <w:tcW w:w="704" w:type="dxa"/>
            <w:tcBorders>
              <w:top w:val="nil"/>
              <w:left w:val="nil"/>
              <w:bottom w:val="single" w:sz="4" w:space="0" w:color="auto"/>
              <w:right w:val="single" w:sz="4" w:space="0" w:color="auto"/>
            </w:tcBorders>
            <w:shd w:val="clear" w:color="000000" w:fill="DBE5F1"/>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87.0</w:t>
            </w:r>
          </w:p>
        </w:tc>
        <w:tc>
          <w:tcPr>
            <w:tcW w:w="703" w:type="dxa"/>
            <w:tcBorders>
              <w:top w:val="nil"/>
              <w:left w:val="nil"/>
              <w:bottom w:val="single" w:sz="4" w:space="0" w:color="auto"/>
              <w:right w:val="single" w:sz="4" w:space="0" w:color="auto"/>
            </w:tcBorders>
            <w:shd w:val="clear" w:color="000000" w:fill="DBE5F1"/>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86.0</w:t>
            </w:r>
          </w:p>
        </w:tc>
        <w:tc>
          <w:tcPr>
            <w:tcW w:w="704" w:type="dxa"/>
            <w:tcBorders>
              <w:top w:val="nil"/>
              <w:left w:val="nil"/>
              <w:bottom w:val="single" w:sz="4" w:space="0" w:color="auto"/>
              <w:right w:val="single" w:sz="4" w:space="0" w:color="auto"/>
            </w:tcBorders>
            <w:shd w:val="clear" w:color="000000" w:fill="DBE5F1"/>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88.0</w:t>
            </w:r>
          </w:p>
        </w:tc>
        <w:tc>
          <w:tcPr>
            <w:tcW w:w="704" w:type="dxa"/>
            <w:tcBorders>
              <w:top w:val="nil"/>
              <w:left w:val="nil"/>
              <w:bottom w:val="single" w:sz="4" w:space="0" w:color="auto"/>
              <w:right w:val="single" w:sz="4" w:space="0" w:color="auto"/>
            </w:tcBorders>
            <w:shd w:val="clear" w:color="000000" w:fill="DBE5F1"/>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88.0</w:t>
            </w:r>
          </w:p>
        </w:tc>
        <w:tc>
          <w:tcPr>
            <w:tcW w:w="704" w:type="dxa"/>
            <w:tcBorders>
              <w:top w:val="nil"/>
              <w:left w:val="nil"/>
              <w:bottom w:val="single" w:sz="4" w:space="0" w:color="auto"/>
              <w:right w:val="single" w:sz="4" w:space="0" w:color="auto"/>
            </w:tcBorders>
            <w:shd w:val="clear" w:color="000000" w:fill="DBE5F1"/>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NA</w:t>
            </w:r>
          </w:p>
        </w:tc>
      </w:tr>
      <w:tr w:rsidR="003E73FF" w:rsidRPr="005D5E63" w:rsidTr="00856338">
        <w:trPr>
          <w:trHeight w:val="240"/>
        </w:trPr>
        <w:tc>
          <w:tcPr>
            <w:tcW w:w="1293" w:type="dxa"/>
            <w:tcBorders>
              <w:top w:val="nil"/>
              <w:left w:val="single" w:sz="4" w:space="0" w:color="auto"/>
              <w:bottom w:val="single" w:sz="4" w:space="0" w:color="auto"/>
              <w:right w:val="nil"/>
            </w:tcBorders>
            <w:shd w:val="clear" w:color="000000" w:fill="FDE9D9"/>
            <w:noWrap/>
            <w:vAlign w:val="bottom"/>
            <w:hideMark/>
          </w:tcPr>
          <w:p w:rsidR="003E73FF" w:rsidRPr="005D5E63" w:rsidRDefault="003E73FF" w:rsidP="005D5E63">
            <w:pPr>
              <w:jc w:val="left"/>
              <w:rPr>
                <w:rFonts w:ascii="Calibri" w:hAnsi="Calibri"/>
                <w:color w:val="000000"/>
                <w:lang w:val="en-GB" w:eastAsia="en-GB"/>
              </w:rPr>
            </w:pPr>
            <w:r w:rsidRPr="005D5E63">
              <w:rPr>
                <w:rFonts w:ascii="Calibri" w:hAnsi="Calibri"/>
                <w:color w:val="000000"/>
                <w:lang w:val="en-GB" w:eastAsia="en-GB"/>
              </w:rPr>
              <w:t> </w:t>
            </w:r>
          </w:p>
        </w:tc>
        <w:tc>
          <w:tcPr>
            <w:tcW w:w="842" w:type="dxa"/>
            <w:tcBorders>
              <w:top w:val="nil"/>
              <w:left w:val="nil"/>
              <w:bottom w:val="single" w:sz="4" w:space="0" w:color="auto"/>
              <w:right w:val="nil"/>
            </w:tcBorders>
            <w:shd w:val="clear" w:color="000000" w:fill="FDE9D9"/>
            <w:noWrap/>
            <w:vAlign w:val="bottom"/>
            <w:hideMark/>
          </w:tcPr>
          <w:p w:rsidR="003E73FF" w:rsidRPr="005D5E63" w:rsidRDefault="003E73FF" w:rsidP="005D5E63">
            <w:pPr>
              <w:jc w:val="left"/>
              <w:rPr>
                <w:rFonts w:ascii="Calibri" w:hAnsi="Calibri"/>
                <w:color w:val="000000"/>
                <w:lang w:val="en-GB" w:eastAsia="en-GB"/>
              </w:rPr>
            </w:pPr>
            <w:r w:rsidRPr="005D5E63">
              <w:rPr>
                <w:rFonts w:ascii="Calibri" w:hAnsi="Calibri"/>
                <w:color w:val="000000"/>
                <w:lang w:val="en-GB" w:eastAsia="en-GB"/>
              </w:rPr>
              <w:t> </w:t>
            </w:r>
          </w:p>
        </w:tc>
        <w:tc>
          <w:tcPr>
            <w:tcW w:w="888" w:type="dxa"/>
            <w:tcBorders>
              <w:top w:val="nil"/>
              <w:left w:val="nil"/>
              <w:bottom w:val="single" w:sz="4" w:space="0" w:color="auto"/>
              <w:right w:val="nil"/>
            </w:tcBorders>
            <w:shd w:val="clear" w:color="000000" w:fill="FDE9D9"/>
            <w:noWrap/>
            <w:vAlign w:val="bottom"/>
            <w:hideMark/>
          </w:tcPr>
          <w:p w:rsidR="003E73FF" w:rsidRPr="005D5E63" w:rsidRDefault="003E73FF" w:rsidP="005D5E63">
            <w:pPr>
              <w:jc w:val="left"/>
              <w:rPr>
                <w:rFonts w:ascii="Calibri" w:hAnsi="Calibri"/>
                <w:color w:val="000000"/>
                <w:lang w:val="en-GB" w:eastAsia="en-GB"/>
              </w:rPr>
            </w:pPr>
            <w:r w:rsidRPr="005D5E63">
              <w:rPr>
                <w:rFonts w:ascii="Calibri" w:hAnsi="Calibri"/>
                <w:color w:val="000000"/>
                <w:lang w:val="en-GB" w:eastAsia="en-GB"/>
              </w:rPr>
              <w:t> </w:t>
            </w:r>
          </w:p>
        </w:tc>
        <w:tc>
          <w:tcPr>
            <w:tcW w:w="618" w:type="dxa"/>
            <w:tcBorders>
              <w:top w:val="nil"/>
              <w:left w:val="nil"/>
              <w:bottom w:val="single" w:sz="4" w:space="0" w:color="auto"/>
              <w:right w:val="nil"/>
            </w:tcBorders>
            <w:shd w:val="clear" w:color="000000" w:fill="FDE9D9"/>
            <w:noWrap/>
            <w:vAlign w:val="center"/>
            <w:hideMark/>
          </w:tcPr>
          <w:p w:rsidR="003E73FF" w:rsidRPr="005D5E63" w:rsidRDefault="003E73FF" w:rsidP="005D5E63">
            <w:pPr>
              <w:jc w:val="left"/>
              <w:rPr>
                <w:rFonts w:ascii="Calibri" w:hAnsi="Calibri"/>
                <w:color w:val="000000"/>
                <w:lang w:val="en-GB" w:eastAsia="en-GB"/>
              </w:rPr>
            </w:pPr>
            <w:r w:rsidRPr="005D5E63">
              <w:rPr>
                <w:rFonts w:ascii="Calibri" w:hAnsi="Calibri"/>
                <w:color w:val="000000"/>
                <w:lang w:val="en-GB" w:eastAsia="en-GB"/>
              </w:rPr>
              <w:t> </w:t>
            </w:r>
          </w:p>
        </w:tc>
        <w:tc>
          <w:tcPr>
            <w:tcW w:w="619" w:type="dxa"/>
            <w:tcBorders>
              <w:top w:val="nil"/>
              <w:left w:val="nil"/>
              <w:bottom w:val="single" w:sz="4" w:space="0" w:color="auto"/>
              <w:right w:val="nil"/>
            </w:tcBorders>
            <w:shd w:val="clear" w:color="000000" w:fill="FDE9D9"/>
            <w:noWrap/>
            <w:vAlign w:val="center"/>
            <w:hideMark/>
          </w:tcPr>
          <w:p w:rsidR="003E73FF" w:rsidRPr="005D5E63" w:rsidRDefault="003E73FF" w:rsidP="005D5E63">
            <w:pPr>
              <w:jc w:val="left"/>
              <w:rPr>
                <w:rFonts w:ascii="Calibri" w:hAnsi="Calibri"/>
                <w:color w:val="000000"/>
                <w:lang w:val="en-GB" w:eastAsia="en-GB"/>
              </w:rPr>
            </w:pPr>
            <w:r w:rsidRPr="005D5E63">
              <w:rPr>
                <w:rFonts w:ascii="Calibri" w:hAnsi="Calibri"/>
                <w:color w:val="000000"/>
                <w:lang w:val="en-GB" w:eastAsia="en-GB"/>
              </w:rPr>
              <w:t> </w:t>
            </w:r>
          </w:p>
        </w:tc>
        <w:tc>
          <w:tcPr>
            <w:tcW w:w="619" w:type="dxa"/>
            <w:tcBorders>
              <w:top w:val="nil"/>
              <w:left w:val="nil"/>
              <w:bottom w:val="single" w:sz="4" w:space="0" w:color="auto"/>
              <w:right w:val="nil"/>
            </w:tcBorders>
            <w:shd w:val="clear" w:color="000000" w:fill="FDE9D9"/>
            <w:noWrap/>
            <w:vAlign w:val="center"/>
            <w:hideMark/>
          </w:tcPr>
          <w:p w:rsidR="003E73FF" w:rsidRPr="005D5E63" w:rsidRDefault="003E73FF" w:rsidP="005D5E63">
            <w:pPr>
              <w:jc w:val="left"/>
              <w:rPr>
                <w:rFonts w:ascii="Calibri" w:hAnsi="Calibri"/>
                <w:color w:val="000000"/>
                <w:lang w:val="en-GB" w:eastAsia="en-GB"/>
              </w:rPr>
            </w:pPr>
            <w:r w:rsidRPr="005D5E63">
              <w:rPr>
                <w:rFonts w:ascii="Calibri" w:hAnsi="Calibri"/>
                <w:color w:val="000000"/>
                <w:lang w:val="en-GB" w:eastAsia="en-GB"/>
              </w:rPr>
              <w:t> </w:t>
            </w:r>
          </w:p>
        </w:tc>
        <w:tc>
          <w:tcPr>
            <w:tcW w:w="619" w:type="dxa"/>
            <w:tcBorders>
              <w:top w:val="nil"/>
              <w:left w:val="nil"/>
              <w:bottom w:val="single" w:sz="4" w:space="0" w:color="auto"/>
              <w:right w:val="nil"/>
            </w:tcBorders>
            <w:shd w:val="clear" w:color="000000" w:fill="FDE9D9"/>
            <w:noWrap/>
            <w:vAlign w:val="center"/>
            <w:hideMark/>
          </w:tcPr>
          <w:p w:rsidR="003E73FF" w:rsidRPr="005D5E63" w:rsidRDefault="003E73FF" w:rsidP="005D5E63">
            <w:pPr>
              <w:jc w:val="left"/>
              <w:rPr>
                <w:rFonts w:ascii="Calibri" w:hAnsi="Calibri"/>
                <w:color w:val="000000"/>
                <w:lang w:val="en-GB" w:eastAsia="en-GB"/>
              </w:rPr>
            </w:pPr>
            <w:r w:rsidRPr="005D5E63">
              <w:rPr>
                <w:rFonts w:ascii="Calibri" w:hAnsi="Calibri"/>
                <w:color w:val="000000"/>
                <w:lang w:val="en-GB" w:eastAsia="en-GB"/>
              </w:rPr>
              <w:t> </w:t>
            </w:r>
          </w:p>
        </w:tc>
        <w:tc>
          <w:tcPr>
            <w:tcW w:w="619" w:type="dxa"/>
            <w:tcBorders>
              <w:top w:val="nil"/>
              <w:left w:val="nil"/>
              <w:bottom w:val="single" w:sz="4" w:space="0" w:color="auto"/>
              <w:right w:val="nil"/>
            </w:tcBorders>
            <w:shd w:val="clear" w:color="000000" w:fill="FDE9D9"/>
            <w:noWrap/>
            <w:vAlign w:val="center"/>
            <w:hideMark/>
          </w:tcPr>
          <w:p w:rsidR="003E73FF" w:rsidRPr="005D5E63" w:rsidRDefault="003E73FF" w:rsidP="005D5E63">
            <w:pPr>
              <w:jc w:val="left"/>
              <w:rPr>
                <w:rFonts w:ascii="Calibri" w:hAnsi="Calibri"/>
                <w:color w:val="000000"/>
                <w:lang w:val="en-GB" w:eastAsia="en-GB"/>
              </w:rPr>
            </w:pPr>
            <w:r w:rsidRPr="005D5E63">
              <w:rPr>
                <w:rFonts w:ascii="Calibri" w:hAnsi="Calibri"/>
                <w:color w:val="000000"/>
                <w:lang w:val="en-GB" w:eastAsia="en-GB"/>
              </w:rPr>
              <w:t> </w:t>
            </w:r>
          </w:p>
        </w:tc>
        <w:tc>
          <w:tcPr>
            <w:tcW w:w="706" w:type="dxa"/>
            <w:tcBorders>
              <w:top w:val="nil"/>
              <w:left w:val="nil"/>
              <w:bottom w:val="single" w:sz="4" w:space="0" w:color="auto"/>
              <w:right w:val="nil"/>
            </w:tcBorders>
            <w:shd w:val="clear" w:color="000000" w:fill="FDE9D9"/>
            <w:noWrap/>
            <w:vAlign w:val="center"/>
            <w:hideMark/>
          </w:tcPr>
          <w:p w:rsidR="003E73FF" w:rsidRPr="005D5E63" w:rsidRDefault="003E73FF" w:rsidP="005D5E63">
            <w:pPr>
              <w:jc w:val="left"/>
              <w:rPr>
                <w:rFonts w:ascii="Calibri" w:hAnsi="Calibri"/>
                <w:color w:val="000000"/>
                <w:lang w:val="en-GB" w:eastAsia="en-GB"/>
              </w:rPr>
            </w:pPr>
            <w:r w:rsidRPr="005D5E63">
              <w:rPr>
                <w:rFonts w:ascii="Calibri" w:hAnsi="Calibri"/>
                <w:color w:val="000000"/>
                <w:lang w:val="en-GB" w:eastAsia="en-GB"/>
              </w:rPr>
              <w:t> </w:t>
            </w:r>
          </w:p>
        </w:tc>
        <w:tc>
          <w:tcPr>
            <w:tcW w:w="732" w:type="dxa"/>
            <w:tcBorders>
              <w:top w:val="nil"/>
              <w:left w:val="nil"/>
              <w:bottom w:val="single" w:sz="4" w:space="0" w:color="auto"/>
              <w:right w:val="nil"/>
            </w:tcBorders>
            <w:shd w:val="clear" w:color="000000" w:fill="FDE9D9"/>
            <w:noWrap/>
            <w:vAlign w:val="center"/>
            <w:hideMark/>
          </w:tcPr>
          <w:p w:rsidR="003E73FF" w:rsidRPr="005D5E63" w:rsidRDefault="003E73FF" w:rsidP="005D5E63">
            <w:pPr>
              <w:jc w:val="left"/>
              <w:rPr>
                <w:rFonts w:ascii="Calibri" w:hAnsi="Calibri"/>
                <w:color w:val="000000"/>
                <w:lang w:val="en-GB" w:eastAsia="en-GB"/>
              </w:rPr>
            </w:pPr>
            <w:r w:rsidRPr="005D5E63">
              <w:rPr>
                <w:rFonts w:ascii="Calibri" w:hAnsi="Calibri"/>
                <w:color w:val="000000"/>
                <w:lang w:val="en-GB" w:eastAsia="en-GB"/>
              </w:rPr>
              <w:t> </w:t>
            </w:r>
          </w:p>
        </w:tc>
        <w:tc>
          <w:tcPr>
            <w:tcW w:w="704" w:type="dxa"/>
            <w:tcBorders>
              <w:top w:val="nil"/>
              <w:left w:val="nil"/>
              <w:bottom w:val="single" w:sz="4" w:space="0" w:color="auto"/>
              <w:right w:val="nil"/>
            </w:tcBorders>
            <w:shd w:val="clear" w:color="000000" w:fill="FDE9D9"/>
            <w:noWrap/>
            <w:vAlign w:val="center"/>
            <w:hideMark/>
          </w:tcPr>
          <w:p w:rsidR="003E73FF" w:rsidRPr="005D5E63" w:rsidRDefault="003E73FF" w:rsidP="005D5E63">
            <w:pPr>
              <w:jc w:val="left"/>
              <w:rPr>
                <w:rFonts w:ascii="Calibri" w:hAnsi="Calibri"/>
                <w:color w:val="000000"/>
                <w:lang w:val="en-GB" w:eastAsia="en-GB"/>
              </w:rPr>
            </w:pPr>
            <w:r w:rsidRPr="005D5E63">
              <w:rPr>
                <w:rFonts w:ascii="Calibri" w:hAnsi="Calibri"/>
                <w:color w:val="000000"/>
                <w:lang w:val="en-GB" w:eastAsia="en-GB"/>
              </w:rPr>
              <w:t> </w:t>
            </w:r>
          </w:p>
        </w:tc>
        <w:tc>
          <w:tcPr>
            <w:tcW w:w="703" w:type="dxa"/>
            <w:tcBorders>
              <w:top w:val="nil"/>
              <w:left w:val="nil"/>
              <w:bottom w:val="single" w:sz="4" w:space="0" w:color="auto"/>
              <w:right w:val="nil"/>
            </w:tcBorders>
            <w:shd w:val="clear" w:color="000000" w:fill="FDE9D9"/>
            <w:noWrap/>
            <w:vAlign w:val="center"/>
            <w:hideMark/>
          </w:tcPr>
          <w:p w:rsidR="003E73FF" w:rsidRPr="005D5E63" w:rsidRDefault="003E73FF" w:rsidP="005D5E63">
            <w:pPr>
              <w:jc w:val="left"/>
              <w:rPr>
                <w:rFonts w:ascii="Calibri" w:hAnsi="Calibri"/>
                <w:color w:val="000000"/>
                <w:lang w:val="en-GB" w:eastAsia="en-GB"/>
              </w:rPr>
            </w:pPr>
            <w:r w:rsidRPr="005D5E63">
              <w:rPr>
                <w:rFonts w:ascii="Calibri" w:hAnsi="Calibri"/>
                <w:color w:val="000000"/>
                <w:lang w:val="en-GB" w:eastAsia="en-GB"/>
              </w:rPr>
              <w:t> </w:t>
            </w:r>
          </w:p>
        </w:tc>
        <w:tc>
          <w:tcPr>
            <w:tcW w:w="704" w:type="dxa"/>
            <w:tcBorders>
              <w:top w:val="nil"/>
              <w:left w:val="nil"/>
              <w:bottom w:val="single" w:sz="4" w:space="0" w:color="auto"/>
              <w:right w:val="nil"/>
            </w:tcBorders>
            <w:shd w:val="clear" w:color="000000" w:fill="FDE9D9"/>
            <w:noWrap/>
            <w:vAlign w:val="center"/>
            <w:hideMark/>
          </w:tcPr>
          <w:p w:rsidR="003E73FF" w:rsidRPr="005D5E63" w:rsidRDefault="003E73FF" w:rsidP="005D5E63">
            <w:pPr>
              <w:jc w:val="left"/>
              <w:rPr>
                <w:rFonts w:ascii="Calibri" w:hAnsi="Calibri"/>
                <w:color w:val="000000"/>
                <w:lang w:val="en-GB" w:eastAsia="en-GB"/>
              </w:rPr>
            </w:pPr>
            <w:r w:rsidRPr="005D5E63">
              <w:rPr>
                <w:rFonts w:ascii="Calibri" w:hAnsi="Calibri"/>
                <w:color w:val="000000"/>
                <w:lang w:val="en-GB" w:eastAsia="en-GB"/>
              </w:rPr>
              <w:t> </w:t>
            </w:r>
          </w:p>
        </w:tc>
        <w:tc>
          <w:tcPr>
            <w:tcW w:w="704" w:type="dxa"/>
            <w:tcBorders>
              <w:top w:val="nil"/>
              <w:left w:val="nil"/>
              <w:bottom w:val="single" w:sz="4" w:space="0" w:color="auto"/>
              <w:right w:val="nil"/>
            </w:tcBorders>
            <w:shd w:val="clear" w:color="000000" w:fill="FDE9D9"/>
            <w:noWrap/>
            <w:vAlign w:val="center"/>
            <w:hideMark/>
          </w:tcPr>
          <w:p w:rsidR="003E73FF" w:rsidRPr="005D5E63" w:rsidRDefault="003E73FF" w:rsidP="005D5E63">
            <w:pPr>
              <w:jc w:val="left"/>
              <w:rPr>
                <w:rFonts w:ascii="Calibri" w:hAnsi="Calibri"/>
                <w:color w:val="000000"/>
                <w:lang w:val="en-GB" w:eastAsia="en-GB"/>
              </w:rPr>
            </w:pPr>
            <w:r w:rsidRPr="005D5E63">
              <w:rPr>
                <w:rFonts w:ascii="Calibri" w:hAnsi="Calibri"/>
                <w:color w:val="000000"/>
                <w:lang w:val="en-GB" w:eastAsia="en-GB"/>
              </w:rPr>
              <w:t> </w:t>
            </w:r>
          </w:p>
        </w:tc>
        <w:tc>
          <w:tcPr>
            <w:tcW w:w="704" w:type="dxa"/>
            <w:tcBorders>
              <w:top w:val="single" w:sz="4" w:space="0" w:color="auto"/>
              <w:left w:val="nil"/>
              <w:bottom w:val="single" w:sz="4" w:space="0" w:color="auto"/>
              <w:right w:val="single" w:sz="4" w:space="0" w:color="auto"/>
            </w:tcBorders>
            <w:shd w:val="clear" w:color="000000" w:fill="FDE9D9"/>
            <w:noWrap/>
            <w:vAlign w:val="center"/>
            <w:hideMark/>
          </w:tcPr>
          <w:p w:rsidR="003E73FF" w:rsidRPr="005D5E63" w:rsidRDefault="003E73FF" w:rsidP="005D5E63">
            <w:pPr>
              <w:jc w:val="left"/>
              <w:rPr>
                <w:rFonts w:ascii="Calibri" w:hAnsi="Calibri"/>
                <w:color w:val="000000"/>
                <w:lang w:val="en-GB" w:eastAsia="en-GB"/>
              </w:rPr>
            </w:pPr>
            <w:r w:rsidRPr="005D5E63">
              <w:rPr>
                <w:rFonts w:ascii="Calibri" w:hAnsi="Calibri"/>
                <w:color w:val="000000"/>
                <w:lang w:val="en-GB" w:eastAsia="en-GB"/>
              </w:rPr>
              <w:t> </w:t>
            </w:r>
          </w:p>
        </w:tc>
      </w:tr>
      <w:tr w:rsidR="003E73FF" w:rsidRPr="005D5E63" w:rsidTr="00856338">
        <w:trPr>
          <w:trHeight w:val="300"/>
        </w:trPr>
        <w:tc>
          <w:tcPr>
            <w:tcW w:w="1293" w:type="dxa"/>
            <w:vMerge w:val="restart"/>
            <w:tcBorders>
              <w:top w:val="nil"/>
              <w:left w:val="single" w:sz="4" w:space="0" w:color="auto"/>
              <w:bottom w:val="single" w:sz="4" w:space="0" w:color="auto"/>
              <w:right w:val="single" w:sz="4" w:space="0" w:color="auto"/>
            </w:tcBorders>
            <w:shd w:val="clear" w:color="000000" w:fill="DBE5F1"/>
            <w:vAlign w:val="center"/>
            <w:hideMark/>
          </w:tcPr>
          <w:p w:rsidR="003E73FF" w:rsidRPr="005D5E63" w:rsidRDefault="003E73FF" w:rsidP="005D5E63">
            <w:pPr>
              <w:jc w:val="center"/>
              <w:rPr>
                <w:rFonts w:ascii="Calibri" w:hAnsi="Calibri"/>
                <w:b/>
                <w:bCs/>
                <w:color w:val="000000"/>
                <w:sz w:val="18"/>
                <w:szCs w:val="18"/>
                <w:lang w:val="en-GB" w:eastAsia="en-GB"/>
              </w:rPr>
            </w:pPr>
            <w:r w:rsidRPr="005D5E63">
              <w:rPr>
                <w:rFonts w:ascii="Calibri" w:hAnsi="Calibri"/>
                <w:b/>
                <w:bCs/>
                <w:color w:val="000000"/>
                <w:sz w:val="18"/>
                <w:szCs w:val="18"/>
                <w:lang w:val="en-GB" w:eastAsia="en-GB"/>
              </w:rPr>
              <w:t>Response Rate</w:t>
            </w:r>
          </w:p>
        </w:tc>
        <w:tc>
          <w:tcPr>
            <w:tcW w:w="842" w:type="dxa"/>
            <w:vMerge w:val="restart"/>
            <w:tcBorders>
              <w:top w:val="nil"/>
              <w:left w:val="single" w:sz="4" w:space="0" w:color="auto"/>
              <w:bottom w:val="single" w:sz="4" w:space="0" w:color="auto"/>
              <w:right w:val="single" w:sz="4" w:space="0" w:color="auto"/>
            </w:tcBorders>
            <w:shd w:val="clear" w:color="000000" w:fill="DBE5F1"/>
            <w:noWrap/>
            <w:vAlign w:val="center"/>
            <w:hideMark/>
          </w:tcPr>
          <w:p w:rsidR="003E73FF" w:rsidRPr="005D5E63" w:rsidRDefault="003E73FF" w:rsidP="005D5E63">
            <w:pPr>
              <w:jc w:val="center"/>
              <w:rPr>
                <w:rFonts w:ascii="Calibri" w:hAnsi="Calibri"/>
                <w:b/>
                <w:bCs/>
                <w:color w:val="000000"/>
                <w:sz w:val="18"/>
                <w:szCs w:val="18"/>
                <w:lang w:val="en-GB" w:eastAsia="en-GB"/>
              </w:rPr>
            </w:pPr>
            <w:r w:rsidRPr="005D5E63">
              <w:rPr>
                <w:rFonts w:ascii="Calibri" w:hAnsi="Calibri"/>
                <w:b/>
                <w:bCs/>
                <w:color w:val="000000"/>
                <w:sz w:val="18"/>
                <w:szCs w:val="18"/>
                <w:lang w:val="en-GB" w:eastAsia="en-GB"/>
              </w:rPr>
              <w:t>In-Patient</w:t>
            </w:r>
          </w:p>
        </w:tc>
        <w:tc>
          <w:tcPr>
            <w:tcW w:w="888" w:type="dxa"/>
            <w:tcBorders>
              <w:top w:val="nil"/>
              <w:left w:val="nil"/>
              <w:bottom w:val="single" w:sz="4" w:space="0" w:color="auto"/>
              <w:right w:val="single" w:sz="4" w:space="0" w:color="auto"/>
            </w:tcBorders>
            <w:shd w:val="clear" w:color="000000" w:fill="DBE5F1"/>
            <w:noWrap/>
            <w:vAlign w:val="center"/>
            <w:hideMark/>
          </w:tcPr>
          <w:p w:rsidR="003E73FF" w:rsidRPr="005D5E63" w:rsidRDefault="003E73FF" w:rsidP="005D5E63">
            <w:pPr>
              <w:jc w:val="center"/>
              <w:rPr>
                <w:rFonts w:ascii="Calibri" w:hAnsi="Calibri"/>
                <w:b/>
                <w:bCs/>
                <w:color w:val="000000"/>
                <w:sz w:val="18"/>
                <w:szCs w:val="18"/>
                <w:lang w:val="en-GB" w:eastAsia="en-GB"/>
              </w:rPr>
            </w:pPr>
            <w:r w:rsidRPr="005D5E63">
              <w:rPr>
                <w:rFonts w:ascii="Calibri" w:hAnsi="Calibri"/>
                <w:b/>
                <w:bCs/>
                <w:color w:val="000000"/>
                <w:sz w:val="18"/>
                <w:szCs w:val="18"/>
                <w:lang w:val="en-GB" w:eastAsia="en-GB"/>
              </w:rPr>
              <w:t>Trust</w:t>
            </w:r>
          </w:p>
        </w:tc>
        <w:tc>
          <w:tcPr>
            <w:tcW w:w="618" w:type="dxa"/>
            <w:tcBorders>
              <w:top w:val="nil"/>
              <w:left w:val="nil"/>
              <w:bottom w:val="single" w:sz="4" w:space="0" w:color="auto"/>
              <w:right w:val="single" w:sz="4" w:space="0" w:color="auto"/>
            </w:tcBorders>
            <w:shd w:val="clear" w:color="auto" w:fill="auto"/>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37.5</w:t>
            </w:r>
          </w:p>
        </w:tc>
        <w:tc>
          <w:tcPr>
            <w:tcW w:w="619" w:type="dxa"/>
            <w:tcBorders>
              <w:top w:val="nil"/>
              <w:left w:val="nil"/>
              <w:bottom w:val="single" w:sz="4" w:space="0" w:color="auto"/>
              <w:right w:val="single" w:sz="4" w:space="0" w:color="auto"/>
            </w:tcBorders>
            <w:shd w:val="clear" w:color="auto" w:fill="auto"/>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34.7</w:t>
            </w:r>
          </w:p>
        </w:tc>
        <w:tc>
          <w:tcPr>
            <w:tcW w:w="619" w:type="dxa"/>
            <w:tcBorders>
              <w:top w:val="nil"/>
              <w:left w:val="nil"/>
              <w:bottom w:val="single" w:sz="4" w:space="0" w:color="auto"/>
              <w:right w:val="single" w:sz="4" w:space="0" w:color="auto"/>
            </w:tcBorders>
            <w:shd w:val="clear" w:color="auto" w:fill="auto"/>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41.3</w:t>
            </w:r>
          </w:p>
        </w:tc>
        <w:tc>
          <w:tcPr>
            <w:tcW w:w="619" w:type="dxa"/>
            <w:tcBorders>
              <w:top w:val="nil"/>
              <w:left w:val="nil"/>
              <w:bottom w:val="single" w:sz="4" w:space="0" w:color="auto"/>
              <w:right w:val="single" w:sz="4" w:space="0" w:color="auto"/>
            </w:tcBorders>
            <w:shd w:val="clear" w:color="auto" w:fill="auto"/>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37.9</w:t>
            </w:r>
          </w:p>
        </w:tc>
        <w:tc>
          <w:tcPr>
            <w:tcW w:w="619" w:type="dxa"/>
            <w:tcBorders>
              <w:top w:val="nil"/>
              <w:left w:val="nil"/>
              <w:bottom w:val="single" w:sz="4" w:space="0" w:color="auto"/>
              <w:right w:val="single" w:sz="4" w:space="0" w:color="auto"/>
            </w:tcBorders>
            <w:shd w:val="clear" w:color="auto" w:fill="auto"/>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28.6</w:t>
            </w:r>
          </w:p>
        </w:tc>
        <w:tc>
          <w:tcPr>
            <w:tcW w:w="706" w:type="dxa"/>
            <w:tcBorders>
              <w:top w:val="nil"/>
              <w:left w:val="nil"/>
              <w:bottom w:val="single" w:sz="4" w:space="0" w:color="auto"/>
              <w:right w:val="single" w:sz="4" w:space="0" w:color="auto"/>
            </w:tcBorders>
            <w:shd w:val="clear" w:color="auto" w:fill="auto"/>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41</w:t>
            </w:r>
          </w:p>
        </w:tc>
        <w:tc>
          <w:tcPr>
            <w:tcW w:w="732" w:type="dxa"/>
            <w:tcBorders>
              <w:top w:val="nil"/>
              <w:left w:val="nil"/>
              <w:bottom w:val="single" w:sz="4" w:space="0" w:color="auto"/>
              <w:right w:val="single" w:sz="4" w:space="0" w:color="auto"/>
            </w:tcBorders>
            <w:shd w:val="clear" w:color="auto" w:fill="auto"/>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48.9</w:t>
            </w:r>
          </w:p>
        </w:tc>
        <w:tc>
          <w:tcPr>
            <w:tcW w:w="704" w:type="dxa"/>
            <w:tcBorders>
              <w:top w:val="nil"/>
              <w:left w:val="nil"/>
              <w:bottom w:val="single" w:sz="4" w:space="0" w:color="auto"/>
              <w:right w:val="single" w:sz="4" w:space="0" w:color="auto"/>
            </w:tcBorders>
            <w:shd w:val="clear" w:color="auto" w:fill="auto"/>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51.9</w:t>
            </w:r>
          </w:p>
        </w:tc>
        <w:tc>
          <w:tcPr>
            <w:tcW w:w="703" w:type="dxa"/>
            <w:tcBorders>
              <w:top w:val="nil"/>
              <w:left w:val="nil"/>
              <w:bottom w:val="single" w:sz="4" w:space="0" w:color="auto"/>
              <w:right w:val="single" w:sz="4" w:space="0" w:color="auto"/>
            </w:tcBorders>
            <w:shd w:val="clear" w:color="auto" w:fill="auto"/>
            <w:noWrap/>
            <w:vAlign w:val="center"/>
            <w:hideMark/>
          </w:tcPr>
          <w:p w:rsidR="003E73FF" w:rsidRPr="005D5E63" w:rsidRDefault="003E73FF" w:rsidP="005D5E63">
            <w:pPr>
              <w:jc w:val="center"/>
              <w:rPr>
                <w:rFonts w:ascii="Calibri" w:hAnsi="Calibri"/>
                <w:color w:val="000000"/>
                <w:sz w:val="16"/>
                <w:szCs w:val="16"/>
                <w:lang w:val="en-GB" w:eastAsia="en-GB"/>
              </w:rPr>
            </w:pPr>
            <w:r w:rsidRPr="005D5E63">
              <w:rPr>
                <w:rFonts w:ascii="Calibri" w:hAnsi="Calibri"/>
                <w:color w:val="000000"/>
                <w:sz w:val="16"/>
                <w:szCs w:val="16"/>
                <w:lang w:val="en-GB" w:eastAsia="en-GB"/>
              </w:rPr>
              <w:t>39.5</w:t>
            </w:r>
          </w:p>
        </w:tc>
        <w:tc>
          <w:tcPr>
            <w:tcW w:w="704" w:type="dxa"/>
            <w:tcBorders>
              <w:top w:val="nil"/>
              <w:left w:val="nil"/>
              <w:bottom w:val="single" w:sz="4" w:space="0" w:color="auto"/>
              <w:right w:val="single" w:sz="4" w:space="0" w:color="auto"/>
            </w:tcBorders>
            <w:shd w:val="clear" w:color="auto" w:fill="auto"/>
            <w:noWrap/>
            <w:vAlign w:val="center"/>
            <w:hideMark/>
          </w:tcPr>
          <w:p w:rsidR="003E73FF" w:rsidRPr="005D5E63" w:rsidRDefault="003E73FF" w:rsidP="005D5E63">
            <w:pPr>
              <w:jc w:val="center"/>
              <w:rPr>
                <w:rFonts w:ascii="Calibri" w:hAnsi="Calibri"/>
                <w:color w:val="000000"/>
                <w:sz w:val="16"/>
                <w:szCs w:val="16"/>
                <w:lang w:val="en-GB" w:eastAsia="en-GB"/>
              </w:rPr>
            </w:pPr>
            <w:r w:rsidRPr="005D5E63">
              <w:rPr>
                <w:rFonts w:ascii="Calibri" w:hAnsi="Calibri"/>
                <w:color w:val="000000"/>
                <w:sz w:val="16"/>
                <w:szCs w:val="16"/>
                <w:lang w:val="en-GB" w:eastAsia="en-GB"/>
              </w:rPr>
              <w:t>47.3</w:t>
            </w:r>
          </w:p>
        </w:tc>
        <w:tc>
          <w:tcPr>
            <w:tcW w:w="704" w:type="dxa"/>
            <w:tcBorders>
              <w:top w:val="nil"/>
              <w:left w:val="nil"/>
              <w:bottom w:val="single" w:sz="4" w:space="0" w:color="auto"/>
              <w:right w:val="single" w:sz="4" w:space="0" w:color="auto"/>
            </w:tcBorders>
            <w:shd w:val="clear" w:color="auto" w:fill="auto"/>
            <w:noWrap/>
            <w:vAlign w:val="center"/>
            <w:hideMark/>
          </w:tcPr>
          <w:p w:rsidR="003E73FF" w:rsidRPr="005D5E63" w:rsidRDefault="003E73FF" w:rsidP="005D5E63">
            <w:pPr>
              <w:jc w:val="center"/>
              <w:rPr>
                <w:rFonts w:ascii="Calibri" w:hAnsi="Calibri"/>
                <w:color w:val="000000"/>
                <w:sz w:val="16"/>
                <w:szCs w:val="16"/>
                <w:lang w:val="en-GB" w:eastAsia="en-GB"/>
              </w:rPr>
            </w:pPr>
            <w:r w:rsidRPr="005D5E63">
              <w:rPr>
                <w:rFonts w:ascii="Calibri" w:hAnsi="Calibri"/>
                <w:color w:val="000000"/>
                <w:sz w:val="16"/>
                <w:szCs w:val="16"/>
                <w:lang w:val="en-GB" w:eastAsia="en-GB"/>
              </w:rPr>
              <w:t>42.4</w:t>
            </w:r>
          </w:p>
        </w:tc>
        <w:tc>
          <w:tcPr>
            <w:tcW w:w="704" w:type="dxa"/>
            <w:tcBorders>
              <w:top w:val="nil"/>
              <w:left w:val="nil"/>
              <w:bottom w:val="single" w:sz="4" w:space="0" w:color="auto"/>
              <w:right w:val="single" w:sz="4" w:space="0" w:color="auto"/>
            </w:tcBorders>
            <w:shd w:val="clear" w:color="auto" w:fill="auto"/>
            <w:noWrap/>
            <w:vAlign w:val="center"/>
            <w:hideMark/>
          </w:tcPr>
          <w:p w:rsidR="003E73FF" w:rsidRPr="005D5E63" w:rsidRDefault="003E73FF" w:rsidP="005D5E63">
            <w:pPr>
              <w:jc w:val="center"/>
              <w:rPr>
                <w:rFonts w:ascii="Calibri" w:hAnsi="Calibri"/>
                <w:color w:val="000000"/>
                <w:sz w:val="16"/>
                <w:szCs w:val="16"/>
                <w:lang w:val="en-GB" w:eastAsia="en-GB"/>
              </w:rPr>
            </w:pPr>
            <w:r w:rsidRPr="005D5E63">
              <w:rPr>
                <w:rFonts w:ascii="Calibri" w:hAnsi="Calibri"/>
                <w:color w:val="000000"/>
                <w:sz w:val="16"/>
                <w:szCs w:val="16"/>
                <w:lang w:val="en-GB" w:eastAsia="en-GB"/>
              </w:rPr>
              <w:t>45.6</w:t>
            </w:r>
          </w:p>
        </w:tc>
      </w:tr>
      <w:tr w:rsidR="003E73FF" w:rsidRPr="005D5E63" w:rsidTr="00856338">
        <w:trPr>
          <w:trHeight w:val="300"/>
        </w:trPr>
        <w:tc>
          <w:tcPr>
            <w:tcW w:w="1293" w:type="dxa"/>
            <w:vMerge/>
            <w:tcBorders>
              <w:top w:val="nil"/>
              <w:left w:val="single" w:sz="4" w:space="0" w:color="auto"/>
              <w:bottom w:val="single" w:sz="4" w:space="0" w:color="auto"/>
              <w:right w:val="single" w:sz="4" w:space="0" w:color="auto"/>
            </w:tcBorders>
            <w:vAlign w:val="center"/>
            <w:hideMark/>
          </w:tcPr>
          <w:p w:rsidR="003E73FF" w:rsidRPr="005D5E63" w:rsidRDefault="003E73FF" w:rsidP="005D5E63">
            <w:pPr>
              <w:jc w:val="left"/>
              <w:rPr>
                <w:rFonts w:ascii="Calibri" w:hAnsi="Calibri"/>
                <w:b/>
                <w:bCs/>
                <w:color w:val="000000"/>
                <w:sz w:val="18"/>
                <w:szCs w:val="18"/>
                <w:lang w:val="en-GB" w:eastAsia="en-GB"/>
              </w:rPr>
            </w:pPr>
          </w:p>
        </w:tc>
        <w:tc>
          <w:tcPr>
            <w:tcW w:w="842" w:type="dxa"/>
            <w:vMerge/>
            <w:tcBorders>
              <w:top w:val="nil"/>
              <w:left w:val="single" w:sz="4" w:space="0" w:color="auto"/>
              <w:bottom w:val="single" w:sz="4" w:space="0" w:color="auto"/>
              <w:right w:val="single" w:sz="4" w:space="0" w:color="auto"/>
            </w:tcBorders>
            <w:vAlign w:val="center"/>
            <w:hideMark/>
          </w:tcPr>
          <w:p w:rsidR="003E73FF" w:rsidRPr="005D5E63" w:rsidRDefault="003E73FF" w:rsidP="005D5E63">
            <w:pPr>
              <w:jc w:val="left"/>
              <w:rPr>
                <w:rFonts w:ascii="Calibri" w:hAnsi="Calibri"/>
                <w:b/>
                <w:bCs/>
                <w:color w:val="000000"/>
                <w:sz w:val="18"/>
                <w:szCs w:val="18"/>
                <w:lang w:val="en-GB" w:eastAsia="en-GB"/>
              </w:rPr>
            </w:pPr>
          </w:p>
        </w:tc>
        <w:tc>
          <w:tcPr>
            <w:tcW w:w="888" w:type="dxa"/>
            <w:tcBorders>
              <w:top w:val="nil"/>
              <w:left w:val="nil"/>
              <w:bottom w:val="single" w:sz="4" w:space="0" w:color="auto"/>
              <w:right w:val="single" w:sz="4" w:space="0" w:color="auto"/>
            </w:tcBorders>
            <w:shd w:val="clear" w:color="000000" w:fill="DBE5F1"/>
            <w:noWrap/>
            <w:vAlign w:val="center"/>
            <w:hideMark/>
          </w:tcPr>
          <w:p w:rsidR="003E73FF" w:rsidRPr="005D5E63" w:rsidRDefault="003E73FF" w:rsidP="005D5E63">
            <w:pPr>
              <w:jc w:val="center"/>
              <w:rPr>
                <w:rFonts w:ascii="Calibri" w:hAnsi="Calibri"/>
                <w:b/>
                <w:bCs/>
                <w:color w:val="000000"/>
                <w:sz w:val="18"/>
                <w:szCs w:val="18"/>
                <w:lang w:val="en-GB" w:eastAsia="en-GB"/>
              </w:rPr>
            </w:pPr>
            <w:r w:rsidRPr="005D5E63">
              <w:rPr>
                <w:rFonts w:ascii="Calibri" w:hAnsi="Calibri"/>
                <w:b/>
                <w:bCs/>
                <w:color w:val="000000"/>
                <w:sz w:val="18"/>
                <w:szCs w:val="18"/>
                <w:lang w:val="en-GB" w:eastAsia="en-GB"/>
              </w:rPr>
              <w:t>England</w:t>
            </w:r>
          </w:p>
        </w:tc>
        <w:tc>
          <w:tcPr>
            <w:tcW w:w="618" w:type="dxa"/>
            <w:tcBorders>
              <w:top w:val="nil"/>
              <w:left w:val="nil"/>
              <w:bottom w:val="single" w:sz="4" w:space="0" w:color="auto"/>
              <w:right w:val="single" w:sz="4" w:space="0" w:color="auto"/>
            </w:tcBorders>
            <w:shd w:val="clear" w:color="000000" w:fill="DBE5F1"/>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34.8</w:t>
            </w:r>
          </w:p>
        </w:tc>
        <w:tc>
          <w:tcPr>
            <w:tcW w:w="619" w:type="dxa"/>
            <w:tcBorders>
              <w:top w:val="nil"/>
              <w:left w:val="nil"/>
              <w:bottom w:val="single" w:sz="4" w:space="0" w:color="auto"/>
              <w:right w:val="single" w:sz="4" w:space="0" w:color="auto"/>
            </w:tcBorders>
            <w:shd w:val="clear" w:color="000000" w:fill="DBE5F1"/>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35.5</w:t>
            </w:r>
          </w:p>
        </w:tc>
        <w:tc>
          <w:tcPr>
            <w:tcW w:w="619" w:type="dxa"/>
            <w:tcBorders>
              <w:top w:val="nil"/>
              <w:left w:val="nil"/>
              <w:bottom w:val="single" w:sz="4" w:space="0" w:color="auto"/>
              <w:right w:val="single" w:sz="4" w:space="0" w:color="auto"/>
            </w:tcBorders>
            <w:shd w:val="clear" w:color="000000" w:fill="DBE5F1"/>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37.7</w:t>
            </w:r>
          </w:p>
        </w:tc>
        <w:tc>
          <w:tcPr>
            <w:tcW w:w="619" w:type="dxa"/>
            <w:tcBorders>
              <w:top w:val="nil"/>
              <w:left w:val="nil"/>
              <w:bottom w:val="single" w:sz="4" w:space="0" w:color="auto"/>
              <w:right w:val="single" w:sz="4" w:space="0" w:color="auto"/>
            </w:tcBorders>
            <w:shd w:val="clear" w:color="000000" w:fill="DBE5F1"/>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38.0</w:t>
            </w:r>
          </w:p>
        </w:tc>
        <w:tc>
          <w:tcPr>
            <w:tcW w:w="619" w:type="dxa"/>
            <w:tcBorders>
              <w:top w:val="nil"/>
              <w:left w:val="nil"/>
              <w:bottom w:val="single" w:sz="4" w:space="0" w:color="auto"/>
              <w:right w:val="single" w:sz="4" w:space="0" w:color="auto"/>
            </w:tcBorders>
            <w:shd w:val="clear" w:color="000000" w:fill="DBE5F1"/>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36.3</w:t>
            </w:r>
          </w:p>
        </w:tc>
        <w:tc>
          <w:tcPr>
            <w:tcW w:w="706" w:type="dxa"/>
            <w:tcBorders>
              <w:top w:val="nil"/>
              <w:left w:val="nil"/>
              <w:bottom w:val="single" w:sz="4" w:space="0" w:color="auto"/>
              <w:right w:val="single" w:sz="4" w:space="0" w:color="auto"/>
            </w:tcBorders>
            <w:shd w:val="clear" w:color="000000" w:fill="DBE5F1"/>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36.2</w:t>
            </w:r>
          </w:p>
        </w:tc>
        <w:tc>
          <w:tcPr>
            <w:tcW w:w="732" w:type="dxa"/>
            <w:tcBorders>
              <w:top w:val="nil"/>
              <w:left w:val="nil"/>
              <w:bottom w:val="single" w:sz="4" w:space="0" w:color="auto"/>
              <w:right w:val="single" w:sz="4" w:space="0" w:color="auto"/>
            </w:tcBorders>
            <w:shd w:val="clear" w:color="000000" w:fill="DBE5F1"/>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37.0</w:t>
            </w:r>
          </w:p>
        </w:tc>
        <w:tc>
          <w:tcPr>
            <w:tcW w:w="704" w:type="dxa"/>
            <w:tcBorders>
              <w:top w:val="nil"/>
              <w:left w:val="nil"/>
              <w:bottom w:val="single" w:sz="4" w:space="0" w:color="auto"/>
              <w:right w:val="single" w:sz="4" w:space="0" w:color="auto"/>
            </w:tcBorders>
            <w:shd w:val="clear" w:color="000000" w:fill="DBE5F1"/>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36.8</w:t>
            </w:r>
          </w:p>
        </w:tc>
        <w:tc>
          <w:tcPr>
            <w:tcW w:w="703" w:type="dxa"/>
            <w:tcBorders>
              <w:top w:val="nil"/>
              <w:left w:val="nil"/>
              <w:bottom w:val="single" w:sz="4" w:space="0" w:color="auto"/>
              <w:right w:val="single" w:sz="4" w:space="0" w:color="auto"/>
            </w:tcBorders>
            <w:shd w:val="clear" w:color="000000" w:fill="DBE5F1"/>
            <w:noWrap/>
            <w:vAlign w:val="center"/>
            <w:hideMark/>
          </w:tcPr>
          <w:p w:rsidR="003E73FF" w:rsidRPr="005D5E63" w:rsidRDefault="003E73FF" w:rsidP="005D5E63">
            <w:pPr>
              <w:jc w:val="right"/>
              <w:rPr>
                <w:rFonts w:ascii="Calibri" w:hAnsi="Calibri"/>
                <w:color w:val="000000"/>
                <w:sz w:val="16"/>
                <w:szCs w:val="16"/>
                <w:lang w:val="en-GB" w:eastAsia="en-GB"/>
              </w:rPr>
            </w:pPr>
            <w:r w:rsidRPr="005D5E63">
              <w:rPr>
                <w:rFonts w:ascii="Calibri" w:hAnsi="Calibri"/>
                <w:color w:val="000000"/>
                <w:sz w:val="16"/>
                <w:szCs w:val="16"/>
                <w:lang w:val="en-GB" w:eastAsia="en-GB"/>
              </w:rPr>
              <w:t>33.5</w:t>
            </w:r>
          </w:p>
        </w:tc>
        <w:tc>
          <w:tcPr>
            <w:tcW w:w="704" w:type="dxa"/>
            <w:tcBorders>
              <w:top w:val="nil"/>
              <w:left w:val="nil"/>
              <w:bottom w:val="single" w:sz="4" w:space="0" w:color="auto"/>
              <w:right w:val="single" w:sz="4" w:space="0" w:color="auto"/>
            </w:tcBorders>
            <w:shd w:val="clear" w:color="000000" w:fill="DBE5F1"/>
            <w:noWrap/>
            <w:vAlign w:val="center"/>
            <w:hideMark/>
          </w:tcPr>
          <w:p w:rsidR="003E73FF" w:rsidRPr="005D5E63" w:rsidRDefault="003E73FF" w:rsidP="005D5E63">
            <w:pPr>
              <w:jc w:val="right"/>
              <w:rPr>
                <w:rFonts w:ascii="Calibri" w:hAnsi="Calibri"/>
                <w:color w:val="000000"/>
                <w:sz w:val="16"/>
                <w:szCs w:val="16"/>
                <w:lang w:val="en-GB" w:eastAsia="en-GB"/>
              </w:rPr>
            </w:pPr>
            <w:r w:rsidRPr="005D5E63">
              <w:rPr>
                <w:rFonts w:ascii="Calibri" w:hAnsi="Calibri"/>
                <w:color w:val="000000"/>
                <w:sz w:val="16"/>
                <w:szCs w:val="16"/>
                <w:lang w:val="en-GB" w:eastAsia="en-GB"/>
              </w:rPr>
              <w:t>35.8</w:t>
            </w:r>
          </w:p>
        </w:tc>
        <w:tc>
          <w:tcPr>
            <w:tcW w:w="704" w:type="dxa"/>
            <w:tcBorders>
              <w:top w:val="nil"/>
              <w:left w:val="nil"/>
              <w:bottom w:val="single" w:sz="4" w:space="0" w:color="auto"/>
              <w:right w:val="single" w:sz="4" w:space="0" w:color="auto"/>
            </w:tcBorders>
            <w:shd w:val="clear" w:color="000000" w:fill="DBE5F1"/>
            <w:noWrap/>
            <w:vAlign w:val="center"/>
            <w:hideMark/>
          </w:tcPr>
          <w:p w:rsidR="003E73FF" w:rsidRPr="005D5E63" w:rsidRDefault="003E73FF" w:rsidP="005D5E63">
            <w:pPr>
              <w:jc w:val="right"/>
              <w:rPr>
                <w:rFonts w:ascii="Calibri" w:hAnsi="Calibri"/>
                <w:color w:val="000000"/>
                <w:sz w:val="16"/>
                <w:szCs w:val="16"/>
                <w:lang w:val="en-GB" w:eastAsia="en-GB"/>
              </w:rPr>
            </w:pPr>
            <w:r w:rsidRPr="005D5E63">
              <w:rPr>
                <w:rFonts w:ascii="Calibri" w:hAnsi="Calibri"/>
                <w:color w:val="000000"/>
                <w:sz w:val="16"/>
                <w:szCs w:val="16"/>
                <w:lang w:val="en-GB" w:eastAsia="en-GB"/>
              </w:rPr>
              <w:t>39.8</w:t>
            </w:r>
          </w:p>
        </w:tc>
        <w:tc>
          <w:tcPr>
            <w:tcW w:w="704" w:type="dxa"/>
            <w:tcBorders>
              <w:top w:val="nil"/>
              <w:left w:val="nil"/>
              <w:bottom w:val="single" w:sz="4" w:space="0" w:color="auto"/>
              <w:right w:val="single" w:sz="4" w:space="0" w:color="auto"/>
            </w:tcBorders>
            <w:shd w:val="clear" w:color="000000" w:fill="DBE5F1"/>
            <w:noWrap/>
            <w:vAlign w:val="center"/>
            <w:hideMark/>
          </w:tcPr>
          <w:p w:rsidR="003E73FF" w:rsidRPr="005D5E63" w:rsidRDefault="003E73FF" w:rsidP="005D5E63">
            <w:pPr>
              <w:jc w:val="center"/>
              <w:rPr>
                <w:rFonts w:ascii="Calibri" w:hAnsi="Calibri"/>
                <w:color w:val="000000"/>
                <w:sz w:val="16"/>
                <w:szCs w:val="16"/>
                <w:lang w:val="en-GB" w:eastAsia="en-GB"/>
              </w:rPr>
            </w:pPr>
            <w:r w:rsidRPr="005D5E63">
              <w:rPr>
                <w:rFonts w:ascii="Calibri" w:hAnsi="Calibri"/>
                <w:color w:val="000000"/>
                <w:sz w:val="16"/>
                <w:szCs w:val="16"/>
                <w:lang w:val="en-GB" w:eastAsia="en-GB"/>
              </w:rPr>
              <w:t>N/A</w:t>
            </w:r>
          </w:p>
        </w:tc>
      </w:tr>
      <w:tr w:rsidR="003E73FF" w:rsidRPr="005D5E63" w:rsidTr="00856338">
        <w:trPr>
          <w:trHeight w:val="300"/>
        </w:trPr>
        <w:tc>
          <w:tcPr>
            <w:tcW w:w="1293" w:type="dxa"/>
            <w:vMerge/>
            <w:tcBorders>
              <w:top w:val="nil"/>
              <w:left w:val="single" w:sz="4" w:space="0" w:color="auto"/>
              <w:bottom w:val="single" w:sz="4" w:space="0" w:color="auto"/>
              <w:right w:val="single" w:sz="4" w:space="0" w:color="auto"/>
            </w:tcBorders>
            <w:vAlign w:val="center"/>
            <w:hideMark/>
          </w:tcPr>
          <w:p w:rsidR="003E73FF" w:rsidRPr="005D5E63" w:rsidRDefault="003E73FF" w:rsidP="005D5E63">
            <w:pPr>
              <w:jc w:val="left"/>
              <w:rPr>
                <w:rFonts w:ascii="Calibri" w:hAnsi="Calibri"/>
                <w:b/>
                <w:bCs/>
                <w:color w:val="000000"/>
                <w:sz w:val="18"/>
                <w:szCs w:val="18"/>
                <w:lang w:val="en-GB" w:eastAsia="en-GB"/>
              </w:rPr>
            </w:pPr>
          </w:p>
        </w:tc>
        <w:tc>
          <w:tcPr>
            <w:tcW w:w="842" w:type="dxa"/>
            <w:vMerge w:val="restart"/>
            <w:tcBorders>
              <w:top w:val="nil"/>
              <w:left w:val="single" w:sz="4" w:space="0" w:color="auto"/>
              <w:bottom w:val="single" w:sz="4" w:space="0" w:color="auto"/>
              <w:right w:val="single" w:sz="4" w:space="0" w:color="auto"/>
            </w:tcBorders>
            <w:shd w:val="clear" w:color="000000" w:fill="DBE5F1"/>
            <w:noWrap/>
            <w:vAlign w:val="center"/>
            <w:hideMark/>
          </w:tcPr>
          <w:p w:rsidR="003E73FF" w:rsidRPr="005D5E63" w:rsidRDefault="003E73FF" w:rsidP="005D5E63">
            <w:pPr>
              <w:jc w:val="center"/>
              <w:rPr>
                <w:rFonts w:ascii="Calibri" w:hAnsi="Calibri"/>
                <w:b/>
                <w:bCs/>
                <w:color w:val="000000"/>
                <w:sz w:val="18"/>
                <w:szCs w:val="18"/>
                <w:lang w:val="en-GB" w:eastAsia="en-GB"/>
              </w:rPr>
            </w:pPr>
            <w:r w:rsidRPr="005D5E63">
              <w:rPr>
                <w:rFonts w:ascii="Calibri" w:hAnsi="Calibri"/>
                <w:b/>
                <w:bCs/>
                <w:color w:val="000000"/>
                <w:sz w:val="18"/>
                <w:szCs w:val="18"/>
                <w:lang w:val="en-GB" w:eastAsia="en-GB"/>
              </w:rPr>
              <w:t>A&amp;E</w:t>
            </w:r>
          </w:p>
        </w:tc>
        <w:tc>
          <w:tcPr>
            <w:tcW w:w="888" w:type="dxa"/>
            <w:tcBorders>
              <w:top w:val="nil"/>
              <w:left w:val="nil"/>
              <w:bottom w:val="single" w:sz="4" w:space="0" w:color="auto"/>
              <w:right w:val="single" w:sz="4" w:space="0" w:color="auto"/>
            </w:tcBorders>
            <w:shd w:val="clear" w:color="000000" w:fill="DBE5F1"/>
            <w:noWrap/>
            <w:vAlign w:val="center"/>
            <w:hideMark/>
          </w:tcPr>
          <w:p w:rsidR="003E73FF" w:rsidRPr="005D5E63" w:rsidRDefault="003E73FF" w:rsidP="005D5E63">
            <w:pPr>
              <w:jc w:val="center"/>
              <w:rPr>
                <w:rFonts w:ascii="Calibri" w:hAnsi="Calibri"/>
                <w:b/>
                <w:bCs/>
                <w:color w:val="000000"/>
                <w:sz w:val="18"/>
                <w:szCs w:val="18"/>
                <w:lang w:val="en-GB" w:eastAsia="en-GB"/>
              </w:rPr>
            </w:pPr>
            <w:r w:rsidRPr="005D5E63">
              <w:rPr>
                <w:rFonts w:ascii="Calibri" w:hAnsi="Calibri"/>
                <w:b/>
                <w:bCs/>
                <w:color w:val="000000"/>
                <w:sz w:val="18"/>
                <w:szCs w:val="18"/>
                <w:lang w:val="en-GB" w:eastAsia="en-GB"/>
              </w:rPr>
              <w:t>Trust</w:t>
            </w:r>
          </w:p>
        </w:tc>
        <w:tc>
          <w:tcPr>
            <w:tcW w:w="618" w:type="dxa"/>
            <w:tcBorders>
              <w:top w:val="nil"/>
              <w:left w:val="nil"/>
              <w:bottom w:val="single" w:sz="4" w:space="0" w:color="auto"/>
              <w:right w:val="single" w:sz="4" w:space="0" w:color="auto"/>
            </w:tcBorders>
            <w:shd w:val="clear" w:color="auto" w:fill="auto"/>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17</w:t>
            </w:r>
          </w:p>
        </w:tc>
        <w:tc>
          <w:tcPr>
            <w:tcW w:w="619" w:type="dxa"/>
            <w:tcBorders>
              <w:top w:val="nil"/>
              <w:left w:val="nil"/>
              <w:bottom w:val="single" w:sz="4" w:space="0" w:color="auto"/>
              <w:right w:val="single" w:sz="4" w:space="0" w:color="auto"/>
            </w:tcBorders>
            <w:shd w:val="clear" w:color="auto" w:fill="auto"/>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14.3</w:t>
            </w:r>
          </w:p>
        </w:tc>
        <w:tc>
          <w:tcPr>
            <w:tcW w:w="619" w:type="dxa"/>
            <w:tcBorders>
              <w:top w:val="nil"/>
              <w:left w:val="nil"/>
              <w:bottom w:val="single" w:sz="4" w:space="0" w:color="auto"/>
              <w:right w:val="single" w:sz="4" w:space="0" w:color="auto"/>
            </w:tcBorders>
            <w:shd w:val="clear" w:color="auto" w:fill="auto"/>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22.7</w:t>
            </w:r>
          </w:p>
        </w:tc>
        <w:tc>
          <w:tcPr>
            <w:tcW w:w="619" w:type="dxa"/>
            <w:tcBorders>
              <w:top w:val="nil"/>
              <w:left w:val="nil"/>
              <w:bottom w:val="single" w:sz="4" w:space="0" w:color="auto"/>
              <w:right w:val="single" w:sz="4" w:space="0" w:color="auto"/>
            </w:tcBorders>
            <w:shd w:val="clear" w:color="auto" w:fill="auto"/>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21.9</w:t>
            </w:r>
          </w:p>
        </w:tc>
        <w:tc>
          <w:tcPr>
            <w:tcW w:w="619" w:type="dxa"/>
            <w:tcBorders>
              <w:top w:val="nil"/>
              <w:left w:val="nil"/>
              <w:bottom w:val="single" w:sz="4" w:space="0" w:color="auto"/>
              <w:right w:val="single" w:sz="4" w:space="0" w:color="auto"/>
            </w:tcBorders>
            <w:shd w:val="clear" w:color="auto" w:fill="auto"/>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13.1</w:t>
            </w:r>
          </w:p>
        </w:tc>
        <w:tc>
          <w:tcPr>
            <w:tcW w:w="706" w:type="dxa"/>
            <w:tcBorders>
              <w:top w:val="nil"/>
              <w:left w:val="nil"/>
              <w:bottom w:val="single" w:sz="4" w:space="0" w:color="auto"/>
              <w:right w:val="single" w:sz="4" w:space="0" w:color="auto"/>
            </w:tcBorders>
            <w:shd w:val="clear" w:color="auto" w:fill="auto"/>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25.7</w:t>
            </w:r>
          </w:p>
        </w:tc>
        <w:tc>
          <w:tcPr>
            <w:tcW w:w="732" w:type="dxa"/>
            <w:tcBorders>
              <w:top w:val="nil"/>
              <w:left w:val="nil"/>
              <w:bottom w:val="single" w:sz="4" w:space="0" w:color="auto"/>
              <w:right w:val="single" w:sz="4" w:space="0" w:color="auto"/>
            </w:tcBorders>
            <w:shd w:val="clear" w:color="auto" w:fill="auto"/>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27.7</w:t>
            </w:r>
          </w:p>
        </w:tc>
        <w:tc>
          <w:tcPr>
            <w:tcW w:w="704" w:type="dxa"/>
            <w:tcBorders>
              <w:top w:val="nil"/>
              <w:left w:val="nil"/>
              <w:bottom w:val="single" w:sz="4" w:space="0" w:color="auto"/>
              <w:right w:val="single" w:sz="4" w:space="0" w:color="auto"/>
            </w:tcBorders>
            <w:shd w:val="clear" w:color="auto" w:fill="auto"/>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21.9</w:t>
            </w:r>
          </w:p>
        </w:tc>
        <w:tc>
          <w:tcPr>
            <w:tcW w:w="703" w:type="dxa"/>
            <w:tcBorders>
              <w:top w:val="nil"/>
              <w:left w:val="nil"/>
              <w:bottom w:val="single" w:sz="4" w:space="0" w:color="auto"/>
              <w:right w:val="single" w:sz="4" w:space="0" w:color="auto"/>
            </w:tcBorders>
            <w:shd w:val="clear" w:color="auto" w:fill="auto"/>
            <w:noWrap/>
            <w:vAlign w:val="center"/>
            <w:hideMark/>
          </w:tcPr>
          <w:p w:rsidR="003E73FF" w:rsidRPr="005D5E63" w:rsidRDefault="003E73FF" w:rsidP="005D5E63">
            <w:pPr>
              <w:jc w:val="center"/>
              <w:rPr>
                <w:rFonts w:ascii="Calibri" w:hAnsi="Calibri"/>
                <w:color w:val="000000"/>
                <w:sz w:val="16"/>
                <w:szCs w:val="16"/>
                <w:lang w:val="en-GB" w:eastAsia="en-GB"/>
              </w:rPr>
            </w:pPr>
            <w:r w:rsidRPr="005D5E63">
              <w:rPr>
                <w:rFonts w:ascii="Calibri" w:hAnsi="Calibri"/>
                <w:color w:val="000000"/>
                <w:sz w:val="16"/>
                <w:szCs w:val="16"/>
                <w:lang w:val="en-GB" w:eastAsia="en-GB"/>
              </w:rPr>
              <w:t>18.6</w:t>
            </w:r>
          </w:p>
        </w:tc>
        <w:tc>
          <w:tcPr>
            <w:tcW w:w="704" w:type="dxa"/>
            <w:tcBorders>
              <w:top w:val="nil"/>
              <w:left w:val="nil"/>
              <w:bottom w:val="single" w:sz="4" w:space="0" w:color="auto"/>
              <w:right w:val="single" w:sz="4" w:space="0" w:color="auto"/>
            </w:tcBorders>
            <w:shd w:val="clear" w:color="auto" w:fill="auto"/>
            <w:noWrap/>
            <w:vAlign w:val="center"/>
            <w:hideMark/>
          </w:tcPr>
          <w:p w:rsidR="003E73FF" w:rsidRPr="005D5E63" w:rsidRDefault="003E73FF" w:rsidP="005D5E63">
            <w:pPr>
              <w:jc w:val="center"/>
              <w:rPr>
                <w:rFonts w:ascii="Calibri" w:hAnsi="Calibri"/>
                <w:color w:val="000000"/>
                <w:sz w:val="16"/>
                <w:szCs w:val="16"/>
                <w:lang w:val="en-GB" w:eastAsia="en-GB"/>
              </w:rPr>
            </w:pPr>
            <w:r w:rsidRPr="005D5E63">
              <w:rPr>
                <w:rFonts w:ascii="Calibri" w:hAnsi="Calibri"/>
                <w:color w:val="000000"/>
                <w:sz w:val="16"/>
                <w:szCs w:val="16"/>
                <w:lang w:val="en-GB" w:eastAsia="en-GB"/>
              </w:rPr>
              <w:t>28.9</w:t>
            </w:r>
          </w:p>
        </w:tc>
        <w:tc>
          <w:tcPr>
            <w:tcW w:w="704" w:type="dxa"/>
            <w:tcBorders>
              <w:top w:val="nil"/>
              <w:left w:val="nil"/>
              <w:bottom w:val="single" w:sz="4" w:space="0" w:color="auto"/>
              <w:right w:val="single" w:sz="4" w:space="0" w:color="auto"/>
            </w:tcBorders>
            <w:shd w:val="clear" w:color="auto" w:fill="auto"/>
            <w:noWrap/>
            <w:vAlign w:val="center"/>
            <w:hideMark/>
          </w:tcPr>
          <w:p w:rsidR="003E73FF" w:rsidRPr="005D5E63" w:rsidRDefault="003E73FF" w:rsidP="005D5E63">
            <w:pPr>
              <w:jc w:val="center"/>
              <w:rPr>
                <w:rFonts w:ascii="Calibri" w:hAnsi="Calibri"/>
                <w:color w:val="000000"/>
                <w:sz w:val="16"/>
                <w:szCs w:val="16"/>
                <w:lang w:val="en-GB" w:eastAsia="en-GB"/>
              </w:rPr>
            </w:pPr>
            <w:r w:rsidRPr="005D5E63">
              <w:rPr>
                <w:rFonts w:ascii="Calibri" w:hAnsi="Calibri"/>
                <w:color w:val="000000"/>
                <w:sz w:val="16"/>
                <w:szCs w:val="16"/>
                <w:lang w:val="en-GB" w:eastAsia="en-GB"/>
              </w:rPr>
              <w:t>22.7</w:t>
            </w:r>
          </w:p>
        </w:tc>
        <w:tc>
          <w:tcPr>
            <w:tcW w:w="704" w:type="dxa"/>
            <w:tcBorders>
              <w:top w:val="nil"/>
              <w:left w:val="nil"/>
              <w:bottom w:val="single" w:sz="4" w:space="0" w:color="auto"/>
              <w:right w:val="single" w:sz="4" w:space="0" w:color="auto"/>
            </w:tcBorders>
            <w:shd w:val="clear" w:color="auto" w:fill="auto"/>
            <w:noWrap/>
            <w:vAlign w:val="center"/>
            <w:hideMark/>
          </w:tcPr>
          <w:p w:rsidR="003E73FF" w:rsidRPr="005D5E63" w:rsidRDefault="003E73FF" w:rsidP="005D5E63">
            <w:pPr>
              <w:jc w:val="center"/>
              <w:rPr>
                <w:rFonts w:ascii="Calibri" w:hAnsi="Calibri"/>
                <w:color w:val="000000"/>
                <w:sz w:val="16"/>
                <w:szCs w:val="16"/>
                <w:lang w:val="en-GB" w:eastAsia="en-GB"/>
              </w:rPr>
            </w:pPr>
            <w:r w:rsidRPr="005D5E63">
              <w:rPr>
                <w:rFonts w:ascii="Calibri" w:hAnsi="Calibri"/>
                <w:color w:val="000000"/>
                <w:sz w:val="16"/>
                <w:szCs w:val="16"/>
                <w:lang w:val="en-GB" w:eastAsia="en-GB"/>
              </w:rPr>
              <w:t>28.1</w:t>
            </w:r>
          </w:p>
        </w:tc>
      </w:tr>
      <w:tr w:rsidR="003E73FF" w:rsidRPr="005D5E63" w:rsidTr="00856338">
        <w:trPr>
          <w:trHeight w:val="300"/>
        </w:trPr>
        <w:tc>
          <w:tcPr>
            <w:tcW w:w="1293" w:type="dxa"/>
            <w:vMerge/>
            <w:tcBorders>
              <w:top w:val="nil"/>
              <w:left w:val="single" w:sz="4" w:space="0" w:color="auto"/>
              <w:bottom w:val="single" w:sz="4" w:space="0" w:color="auto"/>
              <w:right w:val="single" w:sz="4" w:space="0" w:color="auto"/>
            </w:tcBorders>
            <w:vAlign w:val="center"/>
            <w:hideMark/>
          </w:tcPr>
          <w:p w:rsidR="003E73FF" w:rsidRPr="005D5E63" w:rsidRDefault="003E73FF" w:rsidP="005D5E63">
            <w:pPr>
              <w:jc w:val="left"/>
              <w:rPr>
                <w:rFonts w:ascii="Calibri" w:hAnsi="Calibri"/>
                <w:b/>
                <w:bCs/>
                <w:color w:val="000000"/>
                <w:sz w:val="18"/>
                <w:szCs w:val="18"/>
                <w:lang w:val="en-GB" w:eastAsia="en-GB"/>
              </w:rPr>
            </w:pPr>
          </w:p>
        </w:tc>
        <w:tc>
          <w:tcPr>
            <w:tcW w:w="842" w:type="dxa"/>
            <w:vMerge/>
            <w:tcBorders>
              <w:top w:val="nil"/>
              <w:left w:val="single" w:sz="4" w:space="0" w:color="auto"/>
              <w:bottom w:val="single" w:sz="4" w:space="0" w:color="auto"/>
              <w:right w:val="single" w:sz="4" w:space="0" w:color="auto"/>
            </w:tcBorders>
            <w:vAlign w:val="center"/>
            <w:hideMark/>
          </w:tcPr>
          <w:p w:rsidR="003E73FF" w:rsidRPr="005D5E63" w:rsidRDefault="003E73FF" w:rsidP="005D5E63">
            <w:pPr>
              <w:jc w:val="left"/>
              <w:rPr>
                <w:rFonts w:ascii="Calibri" w:hAnsi="Calibri"/>
                <w:b/>
                <w:bCs/>
                <w:color w:val="000000"/>
                <w:sz w:val="18"/>
                <w:szCs w:val="18"/>
                <w:lang w:val="en-GB" w:eastAsia="en-GB"/>
              </w:rPr>
            </w:pPr>
          </w:p>
        </w:tc>
        <w:tc>
          <w:tcPr>
            <w:tcW w:w="888" w:type="dxa"/>
            <w:tcBorders>
              <w:top w:val="nil"/>
              <w:left w:val="nil"/>
              <w:bottom w:val="single" w:sz="4" w:space="0" w:color="auto"/>
              <w:right w:val="single" w:sz="4" w:space="0" w:color="auto"/>
            </w:tcBorders>
            <w:shd w:val="clear" w:color="000000" w:fill="DBE5F1"/>
            <w:noWrap/>
            <w:vAlign w:val="center"/>
            <w:hideMark/>
          </w:tcPr>
          <w:p w:rsidR="003E73FF" w:rsidRPr="005D5E63" w:rsidRDefault="003E73FF" w:rsidP="005D5E63">
            <w:pPr>
              <w:jc w:val="center"/>
              <w:rPr>
                <w:rFonts w:ascii="Calibri" w:hAnsi="Calibri"/>
                <w:b/>
                <w:bCs/>
                <w:color w:val="000000"/>
                <w:sz w:val="18"/>
                <w:szCs w:val="18"/>
                <w:lang w:val="en-GB" w:eastAsia="en-GB"/>
              </w:rPr>
            </w:pPr>
            <w:r w:rsidRPr="005D5E63">
              <w:rPr>
                <w:rFonts w:ascii="Calibri" w:hAnsi="Calibri"/>
                <w:b/>
                <w:bCs/>
                <w:color w:val="000000"/>
                <w:sz w:val="18"/>
                <w:szCs w:val="18"/>
                <w:lang w:val="en-GB" w:eastAsia="en-GB"/>
              </w:rPr>
              <w:t>England</w:t>
            </w:r>
          </w:p>
        </w:tc>
        <w:tc>
          <w:tcPr>
            <w:tcW w:w="618" w:type="dxa"/>
            <w:tcBorders>
              <w:top w:val="nil"/>
              <w:left w:val="nil"/>
              <w:bottom w:val="single" w:sz="4" w:space="0" w:color="auto"/>
              <w:right w:val="single" w:sz="4" w:space="0" w:color="auto"/>
            </w:tcBorders>
            <w:shd w:val="clear" w:color="000000" w:fill="DBE5F1"/>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18.6</w:t>
            </w:r>
          </w:p>
        </w:tc>
        <w:tc>
          <w:tcPr>
            <w:tcW w:w="619" w:type="dxa"/>
            <w:tcBorders>
              <w:top w:val="nil"/>
              <w:left w:val="nil"/>
              <w:bottom w:val="single" w:sz="4" w:space="0" w:color="auto"/>
              <w:right w:val="single" w:sz="4" w:space="0" w:color="auto"/>
            </w:tcBorders>
            <w:shd w:val="clear" w:color="000000" w:fill="DBE5F1"/>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19.1</w:t>
            </w:r>
          </w:p>
        </w:tc>
        <w:tc>
          <w:tcPr>
            <w:tcW w:w="619" w:type="dxa"/>
            <w:tcBorders>
              <w:top w:val="nil"/>
              <w:left w:val="nil"/>
              <w:bottom w:val="single" w:sz="4" w:space="0" w:color="auto"/>
              <w:right w:val="single" w:sz="4" w:space="0" w:color="auto"/>
            </w:tcBorders>
            <w:shd w:val="clear" w:color="000000" w:fill="DBE5F1"/>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20.8</w:t>
            </w:r>
          </w:p>
        </w:tc>
        <w:tc>
          <w:tcPr>
            <w:tcW w:w="619" w:type="dxa"/>
            <w:tcBorders>
              <w:top w:val="nil"/>
              <w:left w:val="nil"/>
              <w:bottom w:val="single" w:sz="4" w:space="0" w:color="auto"/>
              <w:right w:val="single" w:sz="4" w:space="0" w:color="auto"/>
            </w:tcBorders>
            <w:shd w:val="clear" w:color="000000" w:fill="DBE5F1"/>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20.2</w:t>
            </w:r>
          </w:p>
        </w:tc>
        <w:tc>
          <w:tcPr>
            <w:tcW w:w="619" w:type="dxa"/>
            <w:tcBorders>
              <w:top w:val="nil"/>
              <w:left w:val="nil"/>
              <w:bottom w:val="single" w:sz="4" w:space="0" w:color="auto"/>
              <w:right w:val="single" w:sz="4" w:space="0" w:color="auto"/>
            </w:tcBorders>
            <w:shd w:val="clear" w:color="000000" w:fill="DBE5F1"/>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20</w:t>
            </w:r>
          </w:p>
        </w:tc>
        <w:tc>
          <w:tcPr>
            <w:tcW w:w="706" w:type="dxa"/>
            <w:tcBorders>
              <w:top w:val="nil"/>
              <w:left w:val="nil"/>
              <w:bottom w:val="single" w:sz="4" w:space="0" w:color="auto"/>
              <w:right w:val="single" w:sz="4" w:space="0" w:color="auto"/>
            </w:tcBorders>
            <w:shd w:val="clear" w:color="000000" w:fill="DBE5F1"/>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19.5</w:t>
            </w:r>
          </w:p>
        </w:tc>
        <w:tc>
          <w:tcPr>
            <w:tcW w:w="732" w:type="dxa"/>
            <w:tcBorders>
              <w:top w:val="nil"/>
              <w:left w:val="nil"/>
              <w:bottom w:val="single" w:sz="4" w:space="0" w:color="auto"/>
              <w:right w:val="single" w:sz="4" w:space="0" w:color="auto"/>
            </w:tcBorders>
            <w:shd w:val="clear" w:color="000000" w:fill="DBE5F1"/>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19.6</w:t>
            </w:r>
          </w:p>
        </w:tc>
        <w:tc>
          <w:tcPr>
            <w:tcW w:w="704" w:type="dxa"/>
            <w:tcBorders>
              <w:top w:val="nil"/>
              <w:left w:val="nil"/>
              <w:bottom w:val="single" w:sz="4" w:space="0" w:color="auto"/>
              <w:right w:val="single" w:sz="4" w:space="0" w:color="auto"/>
            </w:tcBorders>
            <w:shd w:val="clear" w:color="000000" w:fill="DBE5F1"/>
            <w:noWrap/>
            <w:vAlign w:val="center"/>
            <w:hideMark/>
          </w:tcPr>
          <w:p w:rsidR="003E73FF" w:rsidRPr="005D5E63" w:rsidRDefault="003E73FF" w:rsidP="005D5E63">
            <w:pPr>
              <w:jc w:val="center"/>
              <w:rPr>
                <w:rFonts w:ascii="Calibri" w:hAnsi="Calibri"/>
                <w:b/>
                <w:bCs/>
                <w:color w:val="000000"/>
                <w:sz w:val="16"/>
                <w:szCs w:val="16"/>
                <w:lang w:val="en-GB" w:eastAsia="en-GB"/>
              </w:rPr>
            </w:pPr>
            <w:r w:rsidRPr="005D5E63">
              <w:rPr>
                <w:rFonts w:ascii="Calibri" w:hAnsi="Calibri"/>
                <w:b/>
                <w:bCs/>
                <w:color w:val="000000"/>
                <w:sz w:val="16"/>
                <w:szCs w:val="16"/>
                <w:lang w:val="en-GB" w:eastAsia="en-GB"/>
              </w:rPr>
              <w:t>18.7</w:t>
            </w:r>
          </w:p>
        </w:tc>
        <w:tc>
          <w:tcPr>
            <w:tcW w:w="703" w:type="dxa"/>
            <w:tcBorders>
              <w:top w:val="nil"/>
              <w:left w:val="nil"/>
              <w:bottom w:val="single" w:sz="4" w:space="0" w:color="auto"/>
              <w:right w:val="single" w:sz="4" w:space="0" w:color="auto"/>
            </w:tcBorders>
            <w:shd w:val="clear" w:color="000000" w:fill="DBE5F1"/>
            <w:noWrap/>
            <w:vAlign w:val="center"/>
            <w:hideMark/>
          </w:tcPr>
          <w:p w:rsidR="003E73FF" w:rsidRPr="005D5E63" w:rsidRDefault="003E73FF" w:rsidP="005D5E63">
            <w:pPr>
              <w:jc w:val="center"/>
              <w:rPr>
                <w:rFonts w:ascii="Calibri" w:hAnsi="Calibri"/>
                <w:color w:val="000000"/>
                <w:sz w:val="16"/>
                <w:szCs w:val="16"/>
                <w:lang w:val="en-GB" w:eastAsia="en-GB"/>
              </w:rPr>
            </w:pPr>
            <w:r w:rsidRPr="005D5E63">
              <w:rPr>
                <w:rFonts w:ascii="Calibri" w:hAnsi="Calibri"/>
                <w:color w:val="000000"/>
                <w:sz w:val="16"/>
                <w:szCs w:val="16"/>
                <w:lang w:val="en-GB" w:eastAsia="en-GB"/>
              </w:rPr>
              <w:t>18.1</w:t>
            </w:r>
          </w:p>
        </w:tc>
        <w:tc>
          <w:tcPr>
            <w:tcW w:w="704" w:type="dxa"/>
            <w:tcBorders>
              <w:top w:val="nil"/>
              <w:left w:val="nil"/>
              <w:bottom w:val="single" w:sz="4" w:space="0" w:color="auto"/>
              <w:right w:val="single" w:sz="4" w:space="0" w:color="auto"/>
            </w:tcBorders>
            <w:shd w:val="clear" w:color="000000" w:fill="DBE5F1"/>
            <w:noWrap/>
            <w:vAlign w:val="center"/>
            <w:hideMark/>
          </w:tcPr>
          <w:p w:rsidR="003E73FF" w:rsidRPr="005D5E63" w:rsidRDefault="003E73FF" w:rsidP="005D5E63">
            <w:pPr>
              <w:jc w:val="center"/>
              <w:rPr>
                <w:rFonts w:ascii="Calibri" w:hAnsi="Calibri"/>
                <w:color w:val="000000"/>
                <w:sz w:val="16"/>
                <w:szCs w:val="16"/>
                <w:lang w:val="en-GB" w:eastAsia="en-GB"/>
              </w:rPr>
            </w:pPr>
            <w:r w:rsidRPr="005D5E63">
              <w:rPr>
                <w:rFonts w:ascii="Calibri" w:hAnsi="Calibri"/>
                <w:color w:val="000000"/>
                <w:sz w:val="16"/>
                <w:szCs w:val="16"/>
                <w:lang w:val="en-GB" w:eastAsia="en-GB"/>
              </w:rPr>
              <w:t>20.1</w:t>
            </w:r>
          </w:p>
        </w:tc>
        <w:tc>
          <w:tcPr>
            <w:tcW w:w="704" w:type="dxa"/>
            <w:tcBorders>
              <w:top w:val="nil"/>
              <w:left w:val="nil"/>
              <w:bottom w:val="single" w:sz="4" w:space="0" w:color="auto"/>
              <w:right w:val="single" w:sz="4" w:space="0" w:color="auto"/>
            </w:tcBorders>
            <w:shd w:val="clear" w:color="000000" w:fill="DBE5F1"/>
            <w:noWrap/>
            <w:vAlign w:val="center"/>
            <w:hideMark/>
          </w:tcPr>
          <w:p w:rsidR="003E73FF" w:rsidRPr="005D5E63" w:rsidRDefault="003E73FF" w:rsidP="005D5E63">
            <w:pPr>
              <w:jc w:val="center"/>
              <w:rPr>
                <w:rFonts w:ascii="Calibri" w:hAnsi="Calibri"/>
                <w:color w:val="000000"/>
                <w:sz w:val="16"/>
                <w:szCs w:val="16"/>
                <w:lang w:val="en-GB" w:eastAsia="en-GB"/>
              </w:rPr>
            </w:pPr>
            <w:r w:rsidRPr="005D5E63">
              <w:rPr>
                <w:rFonts w:ascii="Calibri" w:hAnsi="Calibri"/>
                <w:color w:val="000000"/>
                <w:sz w:val="16"/>
                <w:szCs w:val="16"/>
                <w:lang w:val="en-GB" w:eastAsia="en-GB"/>
              </w:rPr>
              <w:t>21.2</w:t>
            </w:r>
          </w:p>
        </w:tc>
        <w:tc>
          <w:tcPr>
            <w:tcW w:w="704" w:type="dxa"/>
            <w:tcBorders>
              <w:top w:val="nil"/>
              <w:left w:val="nil"/>
              <w:bottom w:val="single" w:sz="4" w:space="0" w:color="auto"/>
              <w:right w:val="single" w:sz="4" w:space="0" w:color="auto"/>
            </w:tcBorders>
            <w:shd w:val="clear" w:color="000000" w:fill="DBE5F1"/>
            <w:noWrap/>
            <w:vAlign w:val="center"/>
            <w:hideMark/>
          </w:tcPr>
          <w:p w:rsidR="003E73FF" w:rsidRPr="005D5E63" w:rsidRDefault="003E73FF" w:rsidP="005D5E63">
            <w:pPr>
              <w:jc w:val="center"/>
              <w:rPr>
                <w:rFonts w:ascii="Calibri" w:hAnsi="Calibri"/>
                <w:color w:val="000000"/>
                <w:sz w:val="16"/>
                <w:szCs w:val="16"/>
                <w:lang w:val="en-GB" w:eastAsia="en-GB"/>
              </w:rPr>
            </w:pPr>
            <w:r w:rsidRPr="005D5E63">
              <w:rPr>
                <w:rFonts w:ascii="Calibri" w:hAnsi="Calibri"/>
                <w:color w:val="000000"/>
                <w:sz w:val="16"/>
                <w:szCs w:val="16"/>
                <w:lang w:val="en-GB" w:eastAsia="en-GB"/>
              </w:rPr>
              <w:t>N/A</w:t>
            </w:r>
          </w:p>
        </w:tc>
      </w:tr>
      <w:tr w:rsidR="003E73FF" w:rsidRPr="005D5E63" w:rsidTr="00856338">
        <w:trPr>
          <w:trHeight w:val="300"/>
        </w:trPr>
        <w:tc>
          <w:tcPr>
            <w:tcW w:w="1293" w:type="dxa"/>
            <w:tcBorders>
              <w:top w:val="nil"/>
              <w:left w:val="nil"/>
              <w:bottom w:val="nil"/>
              <w:right w:val="nil"/>
            </w:tcBorders>
            <w:shd w:val="clear" w:color="auto" w:fill="auto"/>
            <w:noWrap/>
            <w:vAlign w:val="bottom"/>
            <w:hideMark/>
          </w:tcPr>
          <w:p w:rsidR="003E73FF" w:rsidRPr="005D5E63" w:rsidRDefault="003E73FF" w:rsidP="005D5E63">
            <w:pPr>
              <w:jc w:val="left"/>
              <w:rPr>
                <w:rFonts w:ascii="Calibri" w:hAnsi="Calibri"/>
                <w:color w:val="000000"/>
                <w:lang w:val="en-GB" w:eastAsia="en-GB"/>
              </w:rPr>
            </w:pPr>
          </w:p>
        </w:tc>
        <w:tc>
          <w:tcPr>
            <w:tcW w:w="842" w:type="dxa"/>
            <w:tcBorders>
              <w:top w:val="nil"/>
              <w:left w:val="nil"/>
              <w:bottom w:val="nil"/>
              <w:right w:val="nil"/>
            </w:tcBorders>
            <w:shd w:val="clear" w:color="auto" w:fill="auto"/>
            <w:noWrap/>
            <w:vAlign w:val="bottom"/>
            <w:hideMark/>
          </w:tcPr>
          <w:p w:rsidR="003E73FF" w:rsidRPr="005D5E63" w:rsidRDefault="003E73FF" w:rsidP="005D5E63">
            <w:pPr>
              <w:jc w:val="left"/>
              <w:rPr>
                <w:rFonts w:ascii="Calibri" w:hAnsi="Calibri"/>
                <w:color w:val="000000"/>
                <w:lang w:val="en-GB" w:eastAsia="en-GB"/>
              </w:rPr>
            </w:pPr>
          </w:p>
        </w:tc>
        <w:tc>
          <w:tcPr>
            <w:tcW w:w="888" w:type="dxa"/>
            <w:tcBorders>
              <w:top w:val="nil"/>
              <w:left w:val="nil"/>
              <w:bottom w:val="nil"/>
              <w:right w:val="nil"/>
            </w:tcBorders>
            <w:shd w:val="clear" w:color="auto" w:fill="auto"/>
            <w:noWrap/>
            <w:vAlign w:val="bottom"/>
            <w:hideMark/>
          </w:tcPr>
          <w:p w:rsidR="003E73FF" w:rsidRPr="005D5E63" w:rsidRDefault="003E73FF" w:rsidP="005D5E63">
            <w:pPr>
              <w:jc w:val="left"/>
              <w:rPr>
                <w:rFonts w:ascii="Calibri" w:hAnsi="Calibri"/>
                <w:color w:val="000000"/>
                <w:lang w:val="en-GB" w:eastAsia="en-GB"/>
              </w:rPr>
            </w:pPr>
          </w:p>
        </w:tc>
        <w:tc>
          <w:tcPr>
            <w:tcW w:w="618" w:type="dxa"/>
            <w:tcBorders>
              <w:top w:val="nil"/>
              <w:left w:val="single" w:sz="4" w:space="0" w:color="auto"/>
              <w:bottom w:val="single" w:sz="4" w:space="0" w:color="auto"/>
              <w:right w:val="single" w:sz="4" w:space="0" w:color="auto"/>
            </w:tcBorders>
            <w:shd w:val="clear" w:color="000000" w:fill="FCD5B4"/>
            <w:noWrap/>
            <w:vAlign w:val="bottom"/>
            <w:hideMark/>
          </w:tcPr>
          <w:p w:rsidR="003E73FF" w:rsidRPr="005D5E63" w:rsidRDefault="003E73FF" w:rsidP="005D5E63">
            <w:pPr>
              <w:jc w:val="left"/>
              <w:rPr>
                <w:rFonts w:ascii="Calibri" w:hAnsi="Calibri"/>
                <w:color w:val="000000"/>
                <w:lang w:val="en-GB" w:eastAsia="en-GB"/>
              </w:rPr>
            </w:pPr>
            <w:r w:rsidRPr="005D5E63">
              <w:rPr>
                <w:rFonts w:ascii="Calibri" w:hAnsi="Calibri"/>
                <w:color w:val="000000"/>
                <w:lang w:val="en-GB" w:eastAsia="en-GB"/>
              </w:rPr>
              <w:t> </w:t>
            </w:r>
          </w:p>
        </w:tc>
        <w:tc>
          <w:tcPr>
            <w:tcW w:w="1857" w:type="dxa"/>
            <w:gridSpan w:val="3"/>
            <w:tcBorders>
              <w:top w:val="nil"/>
              <w:left w:val="nil"/>
              <w:bottom w:val="nil"/>
              <w:right w:val="nil"/>
            </w:tcBorders>
            <w:shd w:val="clear" w:color="auto" w:fill="auto"/>
            <w:noWrap/>
            <w:vAlign w:val="bottom"/>
            <w:hideMark/>
          </w:tcPr>
          <w:p w:rsidR="003E73FF" w:rsidRPr="005D5E63" w:rsidRDefault="003E73FF" w:rsidP="005D5E63">
            <w:pPr>
              <w:jc w:val="left"/>
              <w:rPr>
                <w:rFonts w:ascii="Calibri" w:hAnsi="Calibri"/>
                <w:color w:val="000000"/>
                <w:sz w:val="20"/>
                <w:szCs w:val="20"/>
                <w:lang w:val="en-GB" w:eastAsia="en-GB"/>
              </w:rPr>
            </w:pPr>
            <w:r w:rsidRPr="005D5E63">
              <w:rPr>
                <w:rFonts w:ascii="Calibri" w:hAnsi="Calibri"/>
                <w:color w:val="000000"/>
                <w:sz w:val="20"/>
                <w:szCs w:val="20"/>
                <w:lang w:val="en-GB" w:eastAsia="en-GB"/>
              </w:rPr>
              <w:t>Calculated values</w:t>
            </w:r>
          </w:p>
        </w:tc>
        <w:tc>
          <w:tcPr>
            <w:tcW w:w="619" w:type="dxa"/>
            <w:tcBorders>
              <w:top w:val="nil"/>
              <w:left w:val="nil"/>
              <w:bottom w:val="nil"/>
              <w:right w:val="nil"/>
            </w:tcBorders>
            <w:shd w:val="clear" w:color="auto" w:fill="auto"/>
            <w:noWrap/>
            <w:vAlign w:val="bottom"/>
            <w:hideMark/>
          </w:tcPr>
          <w:p w:rsidR="003E73FF" w:rsidRPr="005D5E63" w:rsidRDefault="003E73FF" w:rsidP="005D5E63">
            <w:pPr>
              <w:jc w:val="left"/>
              <w:rPr>
                <w:rFonts w:ascii="Calibri" w:hAnsi="Calibri"/>
                <w:color w:val="000000"/>
                <w:lang w:val="en-GB" w:eastAsia="en-GB"/>
              </w:rPr>
            </w:pPr>
          </w:p>
        </w:tc>
        <w:tc>
          <w:tcPr>
            <w:tcW w:w="706" w:type="dxa"/>
            <w:tcBorders>
              <w:top w:val="nil"/>
              <w:left w:val="nil"/>
              <w:bottom w:val="nil"/>
              <w:right w:val="nil"/>
            </w:tcBorders>
            <w:shd w:val="clear" w:color="auto" w:fill="auto"/>
            <w:noWrap/>
            <w:vAlign w:val="bottom"/>
            <w:hideMark/>
          </w:tcPr>
          <w:p w:rsidR="003E73FF" w:rsidRPr="005D5E63" w:rsidRDefault="003E73FF" w:rsidP="005D5E63">
            <w:pPr>
              <w:jc w:val="left"/>
              <w:rPr>
                <w:rFonts w:ascii="Calibri" w:hAnsi="Calibri"/>
                <w:color w:val="000000"/>
                <w:lang w:val="en-GB" w:eastAsia="en-GB"/>
              </w:rPr>
            </w:pPr>
          </w:p>
        </w:tc>
        <w:tc>
          <w:tcPr>
            <w:tcW w:w="732" w:type="dxa"/>
            <w:tcBorders>
              <w:top w:val="nil"/>
              <w:left w:val="nil"/>
              <w:bottom w:val="nil"/>
              <w:right w:val="nil"/>
            </w:tcBorders>
            <w:shd w:val="clear" w:color="auto" w:fill="auto"/>
            <w:noWrap/>
            <w:vAlign w:val="bottom"/>
            <w:hideMark/>
          </w:tcPr>
          <w:p w:rsidR="003E73FF" w:rsidRPr="005D5E63" w:rsidRDefault="003E73FF" w:rsidP="005D5E63">
            <w:pPr>
              <w:jc w:val="left"/>
              <w:rPr>
                <w:rFonts w:ascii="Calibri" w:hAnsi="Calibri"/>
                <w:color w:val="000000"/>
                <w:lang w:val="en-GB" w:eastAsia="en-GB"/>
              </w:rPr>
            </w:pPr>
          </w:p>
        </w:tc>
        <w:tc>
          <w:tcPr>
            <w:tcW w:w="704" w:type="dxa"/>
            <w:tcBorders>
              <w:top w:val="nil"/>
              <w:left w:val="single" w:sz="4" w:space="0" w:color="auto"/>
              <w:bottom w:val="single" w:sz="4" w:space="0" w:color="auto"/>
              <w:right w:val="single" w:sz="4" w:space="0" w:color="auto"/>
            </w:tcBorders>
            <w:shd w:val="clear" w:color="000000" w:fill="D7E4BC"/>
            <w:noWrap/>
            <w:vAlign w:val="bottom"/>
            <w:hideMark/>
          </w:tcPr>
          <w:p w:rsidR="003E73FF" w:rsidRPr="005D5E63" w:rsidRDefault="003E73FF" w:rsidP="005D5E63">
            <w:pPr>
              <w:jc w:val="left"/>
              <w:rPr>
                <w:rFonts w:ascii="Calibri" w:hAnsi="Calibri"/>
                <w:color w:val="000000"/>
                <w:lang w:val="en-GB" w:eastAsia="en-GB"/>
              </w:rPr>
            </w:pPr>
            <w:r w:rsidRPr="005D5E63">
              <w:rPr>
                <w:rFonts w:ascii="Calibri" w:hAnsi="Calibri"/>
                <w:color w:val="000000"/>
                <w:lang w:val="en-GB" w:eastAsia="en-GB"/>
              </w:rPr>
              <w:t> </w:t>
            </w:r>
          </w:p>
        </w:tc>
        <w:tc>
          <w:tcPr>
            <w:tcW w:w="2111" w:type="dxa"/>
            <w:gridSpan w:val="3"/>
            <w:tcBorders>
              <w:top w:val="nil"/>
              <w:left w:val="nil"/>
              <w:bottom w:val="nil"/>
              <w:right w:val="nil"/>
            </w:tcBorders>
            <w:shd w:val="clear" w:color="auto" w:fill="auto"/>
            <w:noWrap/>
            <w:vAlign w:val="bottom"/>
            <w:hideMark/>
          </w:tcPr>
          <w:p w:rsidR="003E73FF" w:rsidRPr="005D5E63" w:rsidRDefault="003E73FF" w:rsidP="005D5E63">
            <w:pPr>
              <w:jc w:val="left"/>
              <w:rPr>
                <w:rFonts w:ascii="Calibri" w:hAnsi="Calibri"/>
                <w:color w:val="000000"/>
                <w:sz w:val="20"/>
                <w:szCs w:val="20"/>
                <w:lang w:val="en-GB" w:eastAsia="en-GB"/>
              </w:rPr>
            </w:pPr>
            <w:r w:rsidRPr="005D5E63">
              <w:rPr>
                <w:rFonts w:ascii="Calibri" w:hAnsi="Calibri"/>
                <w:color w:val="000000"/>
                <w:sz w:val="20"/>
                <w:szCs w:val="20"/>
                <w:lang w:val="en-GB" w:eastAsia="en-GB"/>
              </w:rPr>
              <w:t>Recorded Values</w:t>
            </w:r>
          </w:p>
        </w:tc>
        <w:tc>
          <w:tcPr>
            <w:tcW w:w="704" w:type="dxa"/>
            <w:tcBorders>
              <w:top w:val="nil"/>
              <w:left w:val="nil"/>
              <w:bottom w:val="nil"/>
              <w:right w:val="nil"/>
            </w:tcBorders>
            <w:shd w:val="clear" w:color="auto" w:fill="auto"/>
            <w:noWrap/>
            <w:vAlign w:val="bottom"/>
            <w:hideMark/>
          </w:tcPr>
          <w:p w:rsidR="003E73FF" w:rsidRPr="005D5E63" w:rsidRDefault="003E73FF" w:rsidP="005D5E63">
            <w:pPr>
              <w:jc w:val="left"/>
              <w:rPr>
                <w:rFonts w:ascii="Calibri" w:hAnsi="Calibri"/>
                <w:color w:val="000000"/>
                <w:lang w:val="en-GB" w:eastAsia="en-GB"/>
              </w:rPr>
            </w:pPr>
          </w:p>
        </w:tc>
      </w:tr>
    </w:tbl>
    <w:p w:rsidR="00B74BEE" w:rsidRDefault="00B74BEE" w:rsidP="00B74BEE">
      <w:pPr>
        <w:pStyle w:val="Datasetresponses"/>
        <w:rPr>
          <w:b/>
          <w:i w:val="0"/>
          <w:sz w:val="22"/>
          <w:szCs w:val="22"/>
        </w:rPr>
      </w:pPr>
    </w:p>
    <w:p w:rsidR="00B74BEE" w:rsidRPr="009C7AF7" w:rsidRDefault="005E12A0" w:rsidP="00B74BEE">
      <w:pPr>
        <w:pStyle w:val="Datasetresponses"/>
        <w:rPr>
          <w:b/>
          <w:i w:val="0"/>
          <w:sz w:val="22"/>
          <w:szCs w:val="22"/>
        </w:rPr>
      </w:pPr>
      <w:r>
        <w:rPr>
          <w:b/>
          <w:i w:val="0"/>
          <w:sz w:val="22"/>
          <w:szCs w:val="22"/>
        </w:rPr>
        <w:t xml:space="preserve">Learning from </w:t>
      </w:r>
      <w:r w:rsidR="00B74BEE" w:rsidRPr="009C7AF7">
        <w:rPr>
          <w:b/>
          <w:i w:val="0"/>
          <w:sz w:val="22"/>
          <w:szCs w:val="22"/>
        </w:rPr>
        <w:t>PALs and complaints</w:t>
      </w:r>
    </w:p>
    <w:p w:rsidR="00B74BEE" w:rsidRPr="00B74BEE" w:rsidRDefault="00B74BEE" w:rsidP="00B74BEE">
      <w:pPr>
        <w:rPr>
          <w:rFonts w:cs="Arial"/>
        </w:rPr>
      </w:pPr>
      <w:r w:rsidRPr="00B74BEE">
        <w:rPr>
          <w:rFonts w:cs="Arial"/>
        </w:rPr>
        <w:t>The Trust has a well established Patient Advice and Liaison Service (PALS) and a complaints-management system, supported and facilitated by a Senior Manager. Both services are used to ensure that p</w:t>
      </w:r>
      <w:r w:rsidR="00933CC0">
        <w:rPr>
          <w:rFonts w:cs="Arial"/>
        </w:rPr>
        <w:t>atients and people using Trust s</w:t>
      </w:r>
      <w:r w:rsidRPr="00B74BEE">
        <w:rPr>
          <w:rFonts w:cs="Arial"/>
        </w:rPr>
        <w:t xml:space="preserve">ervices are supported in navigating the system and finding resolution to questions, concerns and complaints.  The information from these questions, concerns and complaints is routinely </w:t>
      </w:r>
      <w:proofErr w:type="spellStart"/>
      <w:r w:rsidRPr="00B74BEE">
        <w:rPr>
          <w:rFonts w:cs="Arial"/>
        </w:rPr>
        <w:t>analysed</w:t>
      </w:r>
      <w:proofErr w:type="spellEnd"/>
      <w:r w:rsidRPr="00B74BEE">
        <w:rPr>
          <w:rFonts w:cs="Arial"/>
        </w:rPr>
        <w:t xml:space="preserve"> and used to inform service development and reported to the Trust Board through formal monthly reports. </w:t>
      </w:r>
    </w:p>
    <w:p w:rsidR="00B74BEE" w:rsidRPr="00B74BEE" w:rsidRDefault="00B74BEE" w:rsidP="00B74BEE">
      <w:pPr>
        <w:rPr>
          <w:rFonts w:cs="Arial"/>
        </w:rPr>
      </w:pPr>
    </w:p>
    <w:p w:rsidR="00B74BEE" w:rsidRPr="00B74BEE" w:rsidRDefault="00933CC0" w:rsidP="00B74BEE">
      <w:pPr>
        <w:rPr>
          <w:rFonts w:cs="Arial"/>
        </w:rPr>
      </w:pPr>
      <w:r>
        <w:rPr>
          <w:rFonts w:cs="Arial"/>
        </w:rPr>
        <w:t xml:space="preserve">The Senior Manager for </w:t>
      </w:r>
      <w:r w:rsidR="00B74BEE" w:rsidRPr="00B74BEE">
        <w:rPr>
          <w:rFonts w:cs="Arial"/>
        </w:rPr>
        <w:t xml:space="preserve">complaints and PALS actively engages in supporting the development of staff to ensure they are able to respond appropriately and sensitively to complaints, whilst handling sensitive </w:t>
      </w:r>
      <w:r w:rsidR="00B74BEE" w:rsidRPr="00B74BEE">
        <w:rPr>
          <w:rFonts w:cs="Arial"/>
        </w:rPr>
        <w:lastRenderedPageBreak/>
        <w:t xml:space="preserve">situations and data. Staff training in complaints resolution will remain high on the training agenda for the Trust. </w:t>
      </w:r>
    </w:p>
    <w:p w:rsidR="00B74BEE" w:rsidRPr="00B74BEE" w:rsidRDefault="00B74BEE" w:rsidP="00B74BEE">
      <w:pPr>
        <w:rPr>
          <w:rFonts w:cs="Arial"/>
        </w:rPr>
      </w:pPr>
    </w:p>
    <w:p w:rsidR="00B74BEE" w:rsidRPr="00B74BEE" w:rsidRDefault="00B74BEE" w:rsidP="00B74BEE">
      <w:pPr>
        <w:rPr>
          <w:rFonts w:cs="Arial"/>
        </w:rPr>
      </w:pPr>
      <w:r w:rsidRPr="00B74BEE">
        <w:rPr>
          <w:rFonts w:cs="Arial"/>
        </w:rPr>
        <w:t xml:space="preserve">The Trust received a total of 238 formal complaints which represents a 5.7% increase on the last year’s total of 225 for 2013/2014. </w:t>
      </w:r>
    </w:p>
    <w:p w:rsidR="00B74BEE" w:rsidRPr="00B74BEE" w:rsidRDefault="00B74BEE" w:rsidP="00B74BEE">
      <w:pPr>
        <w:rPr>
          <w:rFonts w:cs="Arial"/>
        </w:rPr>
      </w:pPr>
    </w:p>
    <w:p w:rsidR="00B74BEE" w:rsidRPr="00B74BEE" w:rsidRDefault="00B74BEE" w:rsidP="00B74BEE">
      <w:pPr>
        <w:pStyle w:val="Mainitembody"/>
        <w:spacing w:before="0"/>
        <w:ind w:left="0"/>
        <w:rPr>
          <w:rFonts w:cs="Arial"/>
          <w:szCs w:val="22"/>
        </w:rPr>
      </w:pPr>
      <w:r w:rsidRPr="00B74BEE">
        <w:rPr>
          <w:rFonts w:cs="Arial"/>
        </w:rPr>
        <w:t xml:space="preserve">The Trust looks for trends in complaints to see if there are any recurring or growing issues that may need special attention. </w:t>
      </w:r>
      <w:r w:rsidRPr="00B74BEE">
        <w:rPr>
          <w:rFonts w:cs="Arial"/>
          <w:szCs w:val="22"/>
        </w:rPr>
        <w:t xml:space="preserve">The proportion of complaints linked to nursing care has continued to decrease and reflects the significant effort that Trust </w:t>
      </w:r>
      <w:proofErr w:type="gramStart"/>
      <w:r w:rsidRPr="00B74BEE">
        <w:rPr>
          <w:rFonts w:cs="Arial"/>
          <w:szCs w:val="22"/>
        </w:rPr>
        <w:t>staff have</w:t>
      </w:r>
      <w:proofErr w:type="gramEnd"/>
      <w:r w:rsidRPr="00B74BEE">
        <w:rPr>
          <w:rFonts w:cs="Arial"/>
          <w:szCs w:val="22"/>
        </w:rPr>
        <w:t xml:space="preserve"> made throughout the year to improve the standards of nursing care. The main subjects of complaint are around medical treatment and communication however both have seen a reduction in numbers this year</w:t>
      </w:r>
      <w:r w:rsidRPr="00B74BEE">
        <w:rPr>
          <w:rFonts w:cs="Arial"/>
          <w:color w:val="FF0000"/>
          <w:szCs w:val="22"/>
        </w:rPr>
        <w:t>.</w:t>
      </w:r>
    </w:p>
    <w:p w:rsidR="00B74BEE" w:rsidRPr="00B74BEE" w:rsidRDefault="00B74BEE" w:rsidP="00B74BEE">
      <w:pPr>
        <w:pStyle w:val="Mainitembody"/>
        <w:spacing w:before="0"/>
        <w:ind w:left="0"/>
        <w:rPr>
          <w:rFonts w:cs="Arial"/>
          <w:szCs w:val="22"/>
        </w:rPr>
      </w:pPr>
    </w:p>
    <w:p w:rsidR="00B74BEE" w:rsidRPr="00B74BEE" w:rsidRDefault="00B74BEE" w:rsidP="00B74BEE">
      <w:pPr>
        <w:rPr>
          <w:rFonts w:cs="Arial"/>
        </w:rPr>
      </w:pPr>
      <w:r w:rsidRPr="00B74BEE">
        <w:rPr>
          <w:rFonts w:cs="Arial"/>
        </w:rPr>
        <w:t>Clinical and Nursing Leads have undertaken specific reviews in areas where a high number of complaints have been received including the Emergency and Orthopedic Departments. As a result of these reviews the Leads have reflected with the Consultants and other staff on the themes identified to learn from the patients</w:t>
      </w:r>
      <w:r w:rsidR="00933CC0">
        <w:rPr>
          <w:rFonts w:cs="Arial"/>
        </w:rPr>
        <w:t>’</w:t>
      </w:r>
      <w:r w:rsidRPr="00B74BEE">
        <w:rPr>
          <w:rFonts w:cs="Arial"/>
        </w:rPr>
        <w:t xml:space="preserve"> experience and improve the way treatment is delivered in the future. </w:t>
      </w:r>
    </w:p>
    <w:p w:rsidR="00B74BEE" w:rsidRPr="00B74BEE" w:rsidRDefault="00B74BEE" w:rsidP="00B74BEE">
      <w:pPr>
        <w:pStyle w:val="Mainitembody"/>
        <w:spacing w:before="0"/>
        <w:ind w:left="0"/>
        <w:rPr>
          <w:rFonts w:cs="Arial"/>
          <w:szCs w:val="22"/>
        </w:rPr>
      </w:pPr>
    </w:p>
    <w:p w:rsidR="00B74BEE" w:rsidRPr="00B74BEE" w:rsidRDefault="00B74BEE" w:rsidP="00B74BEE">
      <w:pPr>
        <w:pStyle w:val="Mainitembody"/>
        <w:spacing w:before="0"/>
        <w:ind w:left="0"/>
        <w:rPr>
          <w:rFonts w:cs="Arial"/>
          <w:szCs w:val="22"/>
        </w:rPr>
      </w:pPr>
      <w:r w:rsidRPr="00B74BEE">
        <w:rPr>
          <w:rFonts w:cs="Arial"/>
          <w:szCs w:val="22"/>
        </w:rPr>
        <w:t>Complainants are always invited to come into the Hospital and discuss their concerns with the relevant staff, and this helps staff to get a better understanding of how things are from a patient’s or family’s perspective as well as helping patients and families to hear the staff view.</w:t>
      </w:r>
    </w:p>
    <w:p w:rsidR="00B74BEE" w:rsidRPr="00B74BEE" w:rsidRDefault="00B74BEE" w:rsidP="00B74BEE">
      <w:pPr>
        <w:rPr>
          <w:rFonts w:cs="Arial"/>
        </w:rPr>
      </w:pPr>
    </w:p>
    <w:p w:rsidR="00B74BEE" w:rsidRPr="009C7AF7" w:rsidRDefault="00B74BEE" w:rsidP="00B74BEE">
      <w:pPr>
        <w:rPr>
          <w:rFonts w:cs="Arial"/>
        </w:rPr>
      </w:pPr>
      <w:r w:rsidRPr="00B74BEE">
        <w:rPr>
          <w:rFonts w:cs="Arial"/>
        </w:rPr>
        <w:t>The table below shows the main types of complaints received during 2014/15 and the changes from last year.</w:t>
      </w:r>
    </w:p>
    <w:p w:rsidR="00B74BEE" w:rsidRPr="009C7AF7" w:rsidRDefault="00B74BEE" w:rsidP="00B74BEE">
      <w:pPr>
        <w:pStyle w:val="Datasetresponses"/>
        <w:rPr>
          <w:b/>
          <w:i w:val="0"/>
        </w:rPr>
      </w:pPr>
    </w:p>
    <w:p w:rsidR="00B74BEE" w:rsidRPr="009C7AF7" w:rsidRDefault="00B74BEE" w:rsidP="00B74BEE">
      <w:pPr>
        <w:pStyle w:val="Datasetresponses"/>
        <w:rPr>
          <w:b/>
          <w:i w:val="0"/>
          <w:sz w:val="22"/>
          <w:szCs w:val="22"/>
        </w:rPr>
      </w:pPr>
      <w:r w:rsidRPr="009C7AF7">
        <w:rPr>
          <w:b/>
          <w:i w:val="0"/>
          <w:sz w:val="22"/>
          <w:szCs w:val="22"/>
        </w:rPr>
        <w:t>Main types of</w:t>
      </w:r>
      <w:r>
        <w:rPr>
          <w:b/>
          <w:i w:val="0"/>
          <w:sz w:val="22"/>
          <w:szCs w:val="22"/>
        </w:rPr>
        <w:t xml:space="preserve"> complaints received during 2014/15</w:t>
      </w:r>
      <w:r w:rsidRPr="009C7AF7">
        <w:rPr>
          <w:b/>
          <w:i w:val="0"/>
          <w:sz w:val="22"/>
          <w:szCs w:val="22"/>
        </w:rPr>
        <w:t>:</w:t>
      </w:r>
    </w:p>
    <w:p w:rsidR="00B74BEE" w:rsidRDefault="00B74BEE" w:rsidP="00B74BEE">
      <w:pPr>
        <w:rPr>
          <w:rFonts w:cs="Arial"/>
        </w:rPr>
      </w:pPr>
    </w:p>
    <w:tbl>
      <w:tblPr>
        <w:tblStyle w:val="TableGrid"/>
        <w:tblW w:w="10741" w:type="dxa"/>
        <w:tblLook w:val="04A0"/>
      </w:tblPr>
      <w:tblGrid>
        <w:gridCol w:w="5495"/>
        <w:gridCol w:w="1748"/>
        <w:gridCol w:w="1749"/>
        <w:gridCol w:w="1749"/>
      </w:tblGrid>
      <w:tr w:rsidR="00B74BEE" w:rsidTr="00FE3B47">
        <w:tc>
          <w:tcPr>
            <w:tcW w:w="5495" w:type="dxa"/>
          </w:tcPr>
          <w:p w:rsidR="00B74BEE" w:rsidRDefault="00B74BEE" w:rsidP="00FE3B47">
            <w:pPr>
              <w:rPr>
                <w:rFonts w:cs="Arial"/>
              </w:rPr>
            </w:pPr>
          </w:p>
        </w:tc>
        <w:tc>
          <w:tcPr>
            <w:tcW w:w="1748" w:type="dxa"/>
          </w:tcPr>
          <w:p w:rsidR="00B74BEE" w:rsidRPr="00C26A2F" w:rsidRDefault="00B74BEE" w:rsidP="00FE3B47">
            <w:pPr>
              <w:pStyle w:val="NoSpacing"/>
              <w:jc w:val="right"/>
              <w:rPr>
                <w:rFonts w:cs="Arial"/>
                <w:b/>
              </w:rPr>
            </w:pPr>
            <w:r w:rsidRPr="00C26A2F">
              <w:rPr>
                <w:rFonts w:cs="Arial"/>
                <w:b/>
              </w:rPr>
              <w:t>2012/13</w:t>
            </w:r>
          </w:p>
        </w:tc>
        <w:tc>
          <w:tcPr>
            <w:tcW w:w="1749" w:type="dxa"/>
          </w:tcPr>
          <w:p w:rsidR="00B74BEE" w:rsidRPr="00C26A2F" w:rsidRDefault="00B74BEE" w:rsidP="00FE3B47">
            <w:pPr>
              <w:pStyle w:val="NoSpacing"/>
              <w:jc w:val="right"/>
              <w:rPr>
                <w:rFonts w:cs="Arial"/>
                <w:b/>
              </w:rPr>
            </w:pPr>
            <w:r w:rsidRPr="00C26A2F">
              <w:rPr>
                <w:rFonts w:cs="Arial"/>
                <w:b/>
              </w:rPr>
              <w:t>2013/14</w:t>
            </w:r>
          </w:p>
        </w:tc>
        <w:tc>
          <w:tcPr>
            <w:tcW w:w="1749" w:type="dxa"/>
          </w:tcPr>
          <w:p w:rsidR="00B74BEE" w:rsidRPr="00C26A2F" w:rsidRDefault="00B74BEE" w:rsidP="00FE3B47">
            <w:pPr>
              <w:pStyle w:val="NoSpacing"/>
              <w:jc w:val="right"/>
              <w:rPr>
                <w:rFonts w:cs="Arial"/>
                <w:b/>
              </w:rPr>
            </w:pPr>
            <w:r>
              <w:rPr>
                <w:rFonts w:cs="Arial"/>
                <w:b/>
              </w:rPr>
              <w:t>2014/15</w:t>
            </w:r>
          </w:p>
        </w:tc>
      </w:tr>
      <w:tr w:rsidR="00B74BEE" w:rsidTr="00FE3B47">
        <w:tc>
          <w:tcPr>
            <w:tcW w:w="5495" w:type="dxa"/>
          </w:tcPr>
          <w:p w:rsidR="00B74BEE" w:rsidRPr="009C7AF7" w:rsidRDefault="00B74BEE" w:rsidP="00FE3B47">
            <w:pPr>
              <w:pStyle w:val="NoSpacing"/>
              <w:jc w:val="left"/>
              <w:rPr>
                <w:rFonts w:cs="Arial"/>
              </w:rPr>
            </w:pPr>
            <w:r w:rsidRPr="009C7AF7">
              <w:rPr>
                <w:rFonts w:cs="Arial"/>
              </w:rPr>
              <w:t>Complaints about staff attitude - %</w:t>
            </w:r>
          </w:p>
        </w:tc>
        <w:tc>
          <w:tcPr>
            <w:tcW w:w="1748" w:type="dxa"/>
          </w:tcPr>
          <w:p w:rsidR="00B74BEE" w:rsidRPr="009C7AF7" w:rsidRDefault="00B74BEE" w:rsidP="00FE3B47">
            <w:pPr>
              <w:pStyle w:val="NoSpacing"/>
              <w:jc w:val="right"/>
              <w:rPr>
                <w:rFonts w:cs="Arial"/>
              </w:rPr>
            </w:pPr>
            <w:r w:rsidRPr="009C7AF7">
              <w:rPr>
                <w:rFonts w:cs="Arial"/>
              </w:rPr>
              <w:t>8%</w:t>
            </w:r>
          </w:p>
        </w:tc>
        <w:tc>
          <w:tcPr>
            <w:tcW w:w="1749" w:type="dxa"/>
          </w:tcPr>
          <w:p w:rsidR="00B74BEE" w:rsidRPr="009C7AF7" w:rsidRDefault="00B74BEE" w:rsidP="00FE3B47">
            <w:pPr>
              <w:pStyle w:val="NoSpacing"/>
              <w:jc w:val="right"/>
              <w:rPr>
                <w:rFonts w:cs="Arial"/>
              </w:rPr>
            </w:pPr>
            <w:r w:rsidRPr="009C7AF7">
              <w:rPr>
                <w:rFonts w:cs="Arial"/>
              </w:rPr>
              <w:t>6.9%</w:t>
            </w:r>
          </w:p>
        </w:tc>
        <w:tc>
          <w:tcPr>
            <w:tcW w:w="1749" w:type="dxa"/>
          </w:tcPr>
          <w:p w:rsidR="00B74BEE" w:rsidRPr="009C7AF7" w:rsidRDefault="00B74BEE" w:rsidP="00FE3B47">
            <w:pPr>
              <w:pStyle w:val="NoSpacing"/>
              <w:jc w:val="right"/>
              <w:rPr>
                <w:rFonts w:cs="Arial"/>
              </w:rPr>
            </w:pPr>
            <w:r>
              <w:rPr>
                <w:rFonts w:cs="Arial"/>
              </w:rPr>
              <w:t>8%</w:t>
            </w:r>
          </w:p>
        </w:tc>
      </w:tr>
      <w:tr w:rsidR="00B74BEE" w:rsidTr="00FE3B47">
        <w:tc>
          <w:tcPr>
            <w:tcW w:w="5495" w:type="dxa"/>
          </w:tcPr>
          <w:p w:rsidR="00B74BEE" w:rsidRPr="009C7AF7" w:rsidRDefault="00B74BEE" w:rsidP="00FE3B47">
            <w:pPr>
              <w:pStyle w:val="NoSpacing"/>
              <w:jc w:val="left"/>
              <w:rPr>
                <w:rFonts w:cs="Arial"/>
              </w:rPr>
            </w:pPr>
            <w:r w:rsidRPr="009C7AF7">
              <w:rPr>
                <w:rFonts w:cs="Arial"/>
              </w:rPr>
              <w:t>Complaints about medical treatment - %</w:t>
            </w:r>
          </w:p>
        </w:tc>
        <w:tc>
          <w:tcPr>
            <w:tcW w:w="1748" w:type="dxa"/>
          </w:tcPr>
          <w:p w:rsidR="00B74BEE" w:rsidRPr="009C7AF7" w:rsidRDefault="00B74BEE" w:rsidP="00FE3B47">
            <w:pPr>
              <w:pStyle w:val="NoSpacing"/>
              <w:jc w:val="right"/>
              <w:rPr>
                <w:rFonts w:cs="Arial"/>
              </w:rPr>
            </w:pPr>
            <w:r w:rsidRPr="009C7AF7">
              <w:rPr>
                <w:rFonts w:cs="Arial"/>
              </w:rPr>
              <w:t>25%</w:t>
            </w:r>
          </w:p>
        </w:tc>
        <w:tc>
          <w:tcPr>
            <w:tcW w:w="1749" w:type="dxa"/>
          </w:tcPr>
          <w:p w:rsidR="00B74BEE" w:rsidRPr="009C7AF7" w:rsidRDefault="00B74BEE" w:rsidP="00FE3B47">
            <w:pPr>
              <w:pStyle w:val="NoSpacing"/>
              <w:jc w:val="right"/>
              <w:rPr>
                <w:rFonts w:cs="Arial"/>
              </w:rPr>
            </w:pPr>
            <w:r w:rsidRPr="009C7AF7">
              <w:rPr>
                <w:rFonts w:cs="Arial"/>
              </w:rPr>
              <w:t>30%</w:t>
            </w:r>
          </w:p>
        </w:tc>
        <w:tc>
          <w:tcPr>
            <w:tcW w:w="1749" w:type="dxa"/>
          </w:tcPr>
          <w:p w:rsidR="00B74BEE" w:rsidRPr="009C7AF7" w:rsidRDefault="00B74BEE" w:rsidP="00FE3B47">
            <w:pPr>
              <w:pStyle w:val="NoSpacing"/>
              <w:jc w:val="right"/>
              <w:rPr>
                <w:rFonts w:cs="Arial"/>
              </w:rPr>
            </w:pPr>
            <w:r>
              <w:rPr>
                <w:rFonts w:cs="Arial"/>
              </w:rPr>
              <w:t>24%</w:t>
            </w:r>
          </w:p>
        </w:tc>
      </w:tr>
      <w:tr w:rsidR="00B74BEE" w:rsidTr="00FE3B47">
        <w:tc>
          <w:tcPr>
            <w:tcW w:w="5495" w:type="dxa"/>
          </w:tcPr>
          <w:p w:rsidR="00B74BEE" w:rsidRPr="009C7AF7" w:rsidRDefault="00B74BEE" w:rsidP="00FE3B47">
            <w:pPr>
              <w:pStyle w:val="NoSpacing"/>
              <w:jc w:val="left"/>
              <w:rPr>
                <w:rFonts w:cs="Arial"/>
              </w:rPr>
            </w:pPr>
            <w:r w:rsidRPr="009C7AF7">
              <w:rPr>
                <w:rFonts w:cs="Arial"/>
              </w:rPr>
              <w:t>Complaints about nursing care - %</w:t>
            </w:r>
          </w:p>
        </w:tc>
        <w:tc>
          <w:tcPr>
            <w:tcW w:w="1748" w:type="dxa"/>
          </w:tcPr>
          <w:p w:rsidR="00B74BEE" w:rsidRPr="009C7AF7" w:rsidRDefault="00B74BEE" w:rsidP="00FE3B47">
            <w:pPr>
              <w:pStyle w:val="NoSpacing"/>
              <w:jc w:val="right"/>
              <w:rPr>
                <w:rFonts w:cs="Arial"/>
              </w:rPr>
            </w:pPr>
            <w:r w:rsidRPr="009C7AF7">
              <w:rPr>
                <w:rFonts w:cs="Arial"/>
              </w:rPr>
              <w:t>16%</w:t>
            </w:r>
          </w:p>
        </w:tc>
        <w:tc>
          <w:tcPr>
            <w:tcW w:w="1749" w:type="dxa"/>
          </w:tcPr>
          <w:p w:rsidR="00B74BEE" w:rsidRPr="009C7AF7" w:rsidRDefault="00B74BEE" w:rsidP="00FE3B47">
            <w:pPr>
              <w:pStyle w:val="NoSpacing"/>
              <w:jc w:val="right"/>
              <w:rPr>
                <w:rFonts w:cs="Arial"/>
              </w:rPr>
            </w:pPr>
            <w:r w:rsidRPr="009C7AF7">
              <w:rPr>
                <w:rFonts w:cs="Arial"/>
              </w:rPr>
              <w:t>14%</w:t>
            </w:r>
          </w:p>
        </w:tc>
        <w:tc>
          <w:tcPr>
            <w:tcW w:w="1749" w:type="dxa"/>
          </w:tcPr>
          <w:p w:rsidR="00B74BEE" w:rsidRPr="009C7AF7" w:rsidRDefault="00B74BEE" w:rsidP="00FE3B47">
            <w:pPr>
              <w:pStyle w:val="NoSpacing"/>
              <w:jc w:val="right"/>
              <w:rPr>
                <w:rFonts w:cs="Arial"/>
              </w:rPr>
            </w:pPr>
            <w:r>
              <w:rPr>
                <w:rFonts w:cs="Arial"/>
              </w:rPr>
              <w:t>11%</w:t>
            </w:r>
          </w:p>
        </w:tc>
      </w:tr>
      <w:tr w:rsidR="00B74BEE" w:rsidTr="00FE3B47">
        <w:tc>
          <w:tcPr>
            <w:tcW w:w="5495" w:type="dxa"/>
          </w:tcPr>
          <w:p w:rsidR="00B74BEE" w:rsidRPr="009C7AF7" w:rsidRDefault="00B74BEE" w:rsidP="00FE3B47">
            <w:pPr>
              <w:pStyle w:val="NoSpacing"/>
              <w:spacing w:after="120"/>
              <w:jc w:val="left"/>
              <w:rPr>
                <w:rFonts w:cs="Arial"/>
              </w:rPr>
            </w:pPr>
            <w:r w:rsidRPr="009C7AF7">
              <w:rPr>
                <w:rFonts w:cs="Arial"/>
              </w:rPr>
              <w:t xml:space="preserve">Complaints about communication </w:t>
            </w:r>
            <w:r w:rsidRPr="00C26A2F">
              <w:rPr>
                <w:rFonts w:cs="Arial"/>
              </w:rPr>
              <w:t>- %</w:t>
            </w:r>
          </w:p>
        </w:tc>
        <w:tc>
          <w:tcPr>
            <w:tcW w:w="1748" w:type="dxa"/>
          </w:tcPr>
          <w:p w:rsidR="00B74BEE" w:rsidRPr="009C7AF7" w:rsidRDefault="00B74BEE" w:rsidP="00FE3B47">
            <w:pPr>
              <w:pStyle w:val="NoSpacing"/>
              <w:jc w:val="right"/>
              <w:rPr>
                <w:rFonts w:cs="Arial"/>
              </w:rPr>
            </w:pPr>
            <w:r w:rsidRPr="009C7AF7">
              <w:rPr>
                <w:rFonts w:cs="Arial"/>
              </w:rPr>
              <w:t>22%</w:t>
            </w:r>
          </w:p>
        </w:tc>
        <w:tc>
          <w:tcPr>
            <w:tcW w:w="1749" w:type="dxa"/>
          </w:tcPr>
          <w:p w:rsidR="00B74BEE" w:rsidRPr="009C7AF7" w:rsidRDefault="00B74BEE" w:rsidP="00FE3B47">
            <w:pPr>
              <w:pStyle w:val="NoSpacing"/>
              <w:jc w:val="right"/>
              <w:rPr>
                <w:rFonts w:cs="Arial"/>
              </w:rPr>
            </w:pPr>
            <w:r w:rsidRPr="009C7AF7">
              <w:rPr>
                <w:rFonts w:cs="Arial"/>
              </w:rPr>
              <w:t>23%</w:t>
            </w:r>
          </w:p>
        </w:tc>
        <w:tc>
          <w:tcPr>
            <w:tcW w:w="1749" w:type="dxa"/>
          </w:tcPr>
          <w:p w:rsidR="00B74BEE" w:rsidRPr="009C7AF7" w:rsidRDefault="00B74BEE" w:rsidP="00FE3B47">
            <w:pPr>
              <w:pStyle w:val="NoSpacing"/>
              <w:jc w:val="right"/>
              <w:rPr>
                <w:rFonts w:cs="Arial"/>
              </w:rPr>
            </w:pPr>
            <w:r>
              <w:rPr>
                <w:rFonts w:cs="Arial"/>
              </w:rPr>
              <w:t>23%</w:t>
            </w:r>
          </w:p>
        </w:tc>
      </w:tr>
    </w:tbl>
    <w:p w:rsidR="00B74BEE" w:rsidRPr="009C7AF7" w:rsidRDefault="00B74BEE" w:rsidP="00B74BEE">
      <w:pPr>
        <w:rPr>
          <w:rFonts w:cs="Arial"/>
        </w:rPr>
      </w:pPr>
    </w:p>
    <w:p w:rsidR="00B74BEE" w:rsidRPr="009C7AF7" w:rsidRDefault="00B74BEE" w:rsidP="00B74BEE">
      <w:pPr>
        <w:rPr>
          <w:rFonts w:cs="Arial"/>
        </w:rPr>
      </w:pPr>
    </w:p>
    <w:p w:rsidR="00B74BEE" w:rsidRPr="009C7AF7" w:rsidRDefault="00B74BEE" w:rsidP="00B74BEE">
      <w:pPr>
        <w:pStyle w:val="Datasetresponses"/>
        <w:rPr>
          <w:b/>
          <w:i w:val="0"/>
          <w:sz w:val="22"/>
          <w:szCs w:val="22"/>
        </w:rPr>
      </w:pPr>
      <w:r w:rsidRPr="009C7AF7">
        <w:rPr>
          <w:b/>
          <w:i w:val="0"/>
          <w:sz w:val="22"/>
          <w:szCs w:val="22"/>
        </w:rPr>
        <w:t>Parliamentary and Health Service Ombudsman</w:t>
      </w:r>
    </w:p>
    <w:p w:rsidR="00B74BEE" w:rsidRPr="009C7AF7" w:rsidRDefault="00B74BEE" w:rsidP="00B74BEE">
      <w:pPr>
        <w:rPr>
          <w:rFonts w:cs="Arial"/>
        </w:rPr>
      </w:pPr>
      <w:r w:rsidRPr="009C7AF7">
        <w:rPr>
          <w:rFonts w:cs="Arial"/>
        </w:rPr>
        <w:t>The Parliamentary Ombudsman can investigate complaints when individuals feel they have been treated unfairly or have received poor service from government departments and other public organisations and the NHS in England. The Ombudsman can decide not to investigate, to agree with how the original complaint was dealt with, or to uphold a complaint and insist that the public organi</w:t>
      </w:r>
      <w:r w:rsidR="00933CC0">
        <w:rPr>
          <w:rFonts w:cs="Arial"/>
        </w:rPr>
        <w:t>sation puts things right.</w:t>
      </w:r>
    </w:p>
    <w:p w:rsidR="00B74BEE" w:rsidRPr="009C7AF7" w:rsidRDefault="00B74BEE" w:rsidP="00B74BEE">
      <w:pPr>
        <w:rPr>
          <w:rFonts w:cs="Arial"/>
        </w:rPr>
      </w:pPr>
    </w:p>
    <w:p w:rsidR="00B74BEE" w:rsidRPr="00E96B7B" w:rsidRDefault="00B74BEE" w:rsidP="00B74BEE">
      <w:pPr>
        <w:rPr>
          <w:rFonts w:cs="Arial"/>
        </w:rPr>
      </w:pPr>
      <w:r>
        <w:rPr>
          <w:rFonts w:cs="Arial"/>
        </w:rPr>
        <w:t>During 2014/15</w:t>
      </w:r>
      <w:r w:rsidRPr="009C7AF7">
        <w:rPr>
          <w:rFonts w:cs="Arial"/>
        </w:rPr>
        <w:t xml:space="preserve"> </w:t>
      </w:r>
      <w:r w:rsidR="00933CC0">
        <w:rPr>
          <w:rFonts w:cs="Arial"/>
        </w:rPr>
        <w:t>six</w:t>
      </w:r>
      <w:r>
        <w:rPr>
          <w:rFonts w:cs="Arial"/>
        </w:rPr>
        <w:t xml:space="preserve"> </w:t>
      </w:r>
      <w:r w:rsidRPr="009C7AF7">
        <w:rPr>
          <w:rFonts w:cs="Arial"/>
        </w:rPr>
        <w:t>complain</w:t>
      </w:r>
      <w:r>
        <w:rPr>
          <w:rFonts w:cs="Arial"/>
        </w:rPr>
        <w:t>ts were accepted by</w:t>
      </w:r>
      <w:r w:rsidRPr="009C7AF7">
        <w:rPr>
          <w:rFonts w:cs="Arial"/>
        </w:rPr>
        <w:t xml:space="preserve"> the Ombudsman</w:t>
      </w:r>
      <w:r>
        <w:rPr>
          <w:rFonts w:cs="Arial"/>
        </w:rPr>
        <w:t xml:space="preserve"> for investigation</w:t>
      </w:r>
      <w:r w:rsidRPr="009C7AF7">
        <w:rPr>
          <w:rFonts w:cs="Arial"/>
        </w:rPr>
        <w:t xml:space="preserve">. The Ombudsman confirmed that </w:t>
      </w:r>
      <w:r w:rsidRPr="00E96B7B">
        <w:rPr>
          <w:rFonts w:cs="Arial"/>
        </w:rPr>
        <w:t>three of these complaints would be “not uphe</w:t>
      </w:r>
      <w:r w:rsidR="00933CC0">
        <w:rPr>
          <w:rFonts w:cs="Arial"/>
        </w:rPr>
        <w:t xml:space="preserve">ld”, and is still considering their </w:t>
      </w:r>
      <w:r w:rsidRPr="00E96B7B">
        <w:rPr>
          <w:rFonts w:cs="Arial"/>
        </w:rPr>
        <w:t xml:space="preserve">decision on three cases. </w:t>
      </w:r>
    </w:p>
    <w:p w:rsidR="00B74BEE" w:rsidRPr="009C7AF7" w:rsidRDefault="00B74BEE" w:rsidP="00B74BEE">
      <w:pPr>
        <w:rPr>
          <w:rFonts w:cs="Arial"/>
        </w:rPr>
      </w:pPr>
    </w:p>
    <w:p w:rsidR="00B74BEE" w:rsidRPr="00E96B7B" w:rsidRDefault="00B74BEE" w:rsidP="00B74BEE">
      <w:pPr>
        <w:pStyle w:val="Datasetresponses"/>
        <w:rPr>
          <w:b/>
          <w:i w:val="0"/>
          <w:sz w:val="22"/>
          <w:szCs w:val="22"/>
        </w:rPr>
      </w:pPr>
      <w:r w:rsidRPr="00E96B7B">
        <w:rPr>
          <w:b/>
          <w:i w:val="0"/>
          <w:sz w:val="22"/>
          <w:szCs w:val="22"/>
        </w:rPr>
        <w:t>Complying with t</w:t>
      </w:r>
      <w:r w:rsidRPr="00E96B7B">
        <w:rPr>
          <w:rFonts w:cstheme="minorHAnsi"/>
          <w:b/>
          <w:i w:val="0"/>
          <w:sz w:val="22"/>
          <w:szCs w:val="22"/>
        </w:rPr>
        <w:t>he vision of good complaint handling</w:t>
      </w:r>
    </w:p>
    <w:p w:rsidR="00B74BEE" w:rsidRPr="00774D96" w:rsidRDefault="00B74BEE" w:rsidP="00B74BEE">
      <w:pPr>
        <w:autoSpaceDE w:val="0"/>
        <w:autoSpaceDN w:val="0"/>
        <w:adjustRightInd w:val="0"/>
        <w:rPr>
          <w:rFonts w:cstheme="minorHAnsi"/>
          <w:lang w:val="en-GB"/>
        </w:rPr>
      </w:pPr>
      <w:r w:rsidRPr="00774D96">
        <w:rPr>
          <w:rFonts w:cstheme="minorHAnsi"/>
        </w:rPr>
        <w:t xml:space="preserve">The Trust continues to cooperate with the Ombudsman when required. </w:t>
      </w:r>
      <w:r>
        <w:rPr>
          <w:rFonts w:cstheme="minorHAnsi"/>
        </w:rPr>
        <w:t xml:space="preserve">The </w:t>
      </w:r>
      <w:r w:rsidRPr="00774D96">
        <w:rPr>
          <w:rFonts w:cstheme="minorHAnsi"/>
          <w:lang w:val="en-GB"/>
        </w:rPr>
        <w:t>vision of good complaint handling outlined in by the</w:t>
      </w:r>
      <w:r w:rsidRPr="00774D96">
        <w:rPr>
          <w:rFonts w:cstheme="minorHAnsi"/>
        </w:rPr>
        <w:t xml:space="preserve"> Parliamentary and Health Service Ombudsman report </w:t>
      </w:r>
      <w:r>
        <w:rPr>
          <w:rFonts w:cstheme="minorHAnsi"/>
        </w:rPr>
        <w:t xml:space="preserve">was </w:t>
      </w:r>
      <w:r w:rsidRPr="00774D96">
        <w:rPr>
          <w:rFonts w:cstheme="minorHAnsi"/>
        </w:rPr>
        <w:t>published in November 2014</w:t>
      </w:r>
      <w:r>
        <w:rPr>
          <w:rFonts w:cstheme="minorHAnsi"/>
        </w:rPr>
        <w:t xml:space="preserve">. The </w:t>
      </w:r>
      <w:r w:rsidRPr="00774D96">
        <w:rPr>
          <w:rFonts w:cstheme="minorHAnsi"/>
          <w:lang w:val="en-GB"/>
        </w:rPr>
        <w:t>Complaints Policy and Procedures</w:t>
      </w:r>
      <w:r>
        <w:rPr>
          <w:rFonts w:cstheme="minorHAnsi"/>
          <w:lang w:val="en-GB"/>
        </w:rPr>
        <w:t xml:space="preserve"> have been reviewed to ensure that best practice is being followed. </w:t>
      </w:r>
      <w:r w:rsidRPr="00774D96">
        <w:rPr>
          <w:rFonts w:cstheme="minorHAnsi"/>
        </w:rPr>
        <w:t xml:space="preserve">The framework introduced in this report will be used </w:t>
      </w:r>
      <w:r>
        <w:rPr>
          <w:rFonts w:cstheme="minorHAnsi"/>
        </w:rPr>
        <w:t xml:space="preserve">in the new format </w:t>
      </w:r>
      <w:r w:rsidR="00933CC0">
        <w:rPr>
          <w:rFonts w:cstheme="minorHAnsi"/>
        </w:rPr>
        <w:t xml:space="preserve">of the </w:t>
      </w:r>
      <w:r>
        <w:rPr>
          <w:rFonts w:cstheme="minorHAnsi"/>
        </w:rPr>
        <w:t>complaint</w:t>
      </w:r>
      <w:r w:rsidR="008A7C04">
        <w:rPr>
          <w:rFonts w:cstheme="minorHAnsi"/>
        </w:rPr>
        <w:t>s</w:t>
      </w:r>
      <w:r>
        <w:rPr>
          <w:rFonts w:cstheme="minorHAnsi"/>
        </w:rPr>
        <w:t xml:space="preserve"> satisfaction survey for 2015/16.</w:t>
      </w:r>
    </w:p>
    <w:p w:rsidR="001F7345" w:rsidRPr="001F7345" w:rsidRDefault="001F7345" w:rsidP="001F7345">
      <w:pPr>
        <w:rPr>
          <w:rFonts w:cs="Arial"/>
          <w:b/>
          <w:color w:val="FF0000"/>
        </w:rPr>
      </w:pPr>
    </w:p>
    <w:p w:rsidR="00F93ABB" w:rsidRPr="001573AE" w:rsidRDefault="00F93ABB" w:rsidP="0096565E">
      <w:pPr>
        <w:pStyle w:val="Heading2"/>
      </w:pPr>
      <w:bookmarkStart w:id="35" w:name="_Toc293583980"/>
      <w:bookmarkStart w:id="36" w:name="_Toc325024770"/>
      <w:bookmarkStart w:id="37" w:name="_Toc326061975"/>
      <w:bookmarkStart w:id="38" w:name="_Toc387747652"/>
      <w:bookmarkEnd w:id="30"/>
      <w:r w:rsidRPr="001573AE">
        <w:lastRenderedPageBreak/>
        <w:t>2.2.</w:t>
      </w:r>
      <w:r>
        <w:t>4</w:t>
      </w:r>
      <w:r w:rsidRPr="001573AE">
        <w:t xml:space="preserve"> Annual Quality Account</w:t>
      </w:r>
      <w:bookmarkEnd w:id="35"/>
      <w:bookmarkEnd w:id="36"/>
      <w:bookmarkEnd w:id="37"/>
      <w:bookmarkEnd w:id="38"/>
    </w:p>
    <w:p w:rsidR="00F93ABB" w:rsidRPr="00D15B06" w:rsidRDefault="00F93ABB" w:rsidP="00217C62">
      <w:pPr>
        <w:autoSpaceDE w:val="0"/>
        <w:autoSpaceDN w:val="0"/>
        <w:adjustRightInd w:val="0"/>
        <w:rPr>
          <w:rFonts w:cs="Arial"/>
          <w:b/>
          <w:color w:val="000000"/>
          <w:highlight w:val="yellow"/>
        </w:rPr>
      </w:pPr>
    </w:p>
    <w:p w:rsidR="00F93ABB" w:rsidRPr="009C7AF7" w:rsidRDefault="00F93ABB" w:rsidP="00487111">
      <w:pPr>
        <w:widowControl w:val="0"/>
        <w:autoSpaceDE w:val="0"/>
        <w:autoSpaceDN w:val="0"/>
        <w:adjustRightInd w:val="0"/>
        <w:spacing w:after="240"/>
        <w:rPr>
          <w:rFonts w:cs="Arial"/>
        </w:rPr>
      </w:pPr>
      <w:r w:rsidRPr="009C7AF7">
        <w:rPr>
          <w:rFonts w:cs="Arial"/>
        </w:rPr>
        <w:t>All providers of NHS services are required to produce an annual Quality Account as set out in the National Health Service (Quality Account) Regulations 2010. This requirement took effect in April 2</w:t>
      </w:r>
      <w:r w:rsidR="003145B6">
        <w:rPr>
          <w:rFonts w:cs="Arial"/>
        </w:rPr>
        <w:t xml:space="preserve">010. This is therefore the </w:t>
      </w:r>
      <w:r w:rsidR="00A4447B">
        <w:rPr>
          <w:rFonts w:cs="Arial"/>
        </w:rPr>
        <w:t>fourth</w:t>
      </w:r>
      <w:r w:rsidRPr="009C7AF7">
        <w:rPr>
          <w:rFonts w:cs="Arial"/>
        </w:rPr>
        <w:t xml:space="preserve"> year that we have published a mandatory Quality Account.</w:t>
      </w:r>
    </w:p>
    <w:p w:rsidR="00F93ABB" w:rsidRPr="009C7AF7" w:rsidRDefault="00F93ABB" w:rsidP="00487111">
      <w:pPr>
        <w:widowControl w:val="0"/>
        <w:autoSpaceDE w:val="0"/>
        <w:autoSpaceDN w:val="0"/>
        <w:adjustRightInd w:val="0"/>
        <w:spacing w:after="240"/>
        <w:rPr>
          <w:rFonts w:cs="Arial"/>
        </w:rPr>
      </w:pPr>
      <w:r w:rsidRPr="009C7AF7">
        <w:rPr>
          <w:rFonts w:cs="Arial"/>
        </w:rPr>
        <w:t>Quality Accounts are annual public reports from providers of NHS healthcare about the quality of services they deliver. The primary purpose of Quality Accounts is for healthcare organisations to assess quality across all of the healthcare services they offer and to demonstrate a commitment to continuous, evidence-based quality improvement.</w:t>
      </w:r>
    </w:p>
    <w:p w:rsidR="00F93ABB" w:rsidRPr="009C7AF7" w:rsidRDefault="00F93ABB" w:rsidP="00487111">
      <w:pPr>
        <w:widowControl w:val="0"/>
        <w:autoSpaceDE w:val="0"/>
        <w:autoSpaceDN w:val="0"/>
        <w:adjustRightInd w:val="0"/>
        <w:spacing w:after="240"/>
        <w:rPr>
          <w:rFonts w:cs="Arial"/>
        </w:rPr>
      </w:pPr>
      <w:r w:rsidRPr="009C7AF7">
        <w:rPr>
          <w:rFonts w:cs="Arial"/>
        </w:rPr>
        <w:t xml:space="preserve">The </w:t>
      </w:r>
      <w:r w:rsidR="000B0365" w:rsidRPr="009C7AF7">
        <w:rPr>
          <w:rFonts w:cs="Arial"/>
        </w:rPr>
        <w:t xml:space="preserve">Trust’s </w:t>
      </w:r>
      <w:r w:rsidRPr="009C7AF7">
        <w:rPr>
          <w:rFonts w:cs="Arial"/>
        </w:rPr>
        <w:t>Quality Account describe</w:t>
      </w:r>
      <w:r w:rsidR="000B0365" w:rsidRPr="009C7AF7">
        <w:rPr>
          <w:rFonts w:cs="Arial"/>
        </w:rPr>
        <w:t>s</w:t>
      </w:r>
      <w:r w:rsidRPr="009C7AF7">
        <w:rPr>
          <w:rFonts w:cs="Arial"/>
        </w:rPr>
        <w:t xml:space="preserve"> our quality priorities across three ‘domains’ or areas:</w:t>
      </w:r>
    </w:p>
    <w:p w:rsidR="00F93ABB" w:rsidRPr="009C7AF7" w:rsidRDefault="00F93ABB" w:rsidP="00DF0B0F">
      <w:pPr>
        <w:widowControl w:val="0"/>
        <w:autoSpaceDE w:val="0"/>
        <w:autoSpaceDN w:val="0"/>
        <w:adjustRightInd w:val="0"/>
        <w:spacing w:after="240"/>
        <w:rPr>
          <w:rFonts w:cs="Arial"/>
        </w:rPr>
      </w:pPr>
      <w:r w:rsidRPr="009C7AF7">
        <w:rPr>
          <w:rFonts w:cs="Arial"/>
          <w:b/>
          <w:bCs/>
          <w:i/>
        </w:rPr>
        <w:t xml:space="preserve">Patient Safety </w:t>
      </w:r>
      <w:r w:rsidRPr="009C7AF7">
        <w:rPr>
          <w:rFonts w:cs="Arial"/>
          <w:b/>
          <w:i/>
        </w:rPr>
        <w:t>–</w:t>
      </w:r>
      <w:r w:rsidRPr="009C7AF7">
        <w:rPr>
          <w:rFonts w:cs="Arial"/>
        </w:rPr>
        <w:t xml:space="preserve"> having the right systems in place to effectively report, analyse and prevent errors, ensuring that our patients receive the safest possible care.</w:t>
      </w:r>
    </w:p>
    <w:p w:rsidR="00F93ABB" w:rsidRPr="009C7AF7" w:rsidRDefault="00F93ABB" w:rsidP="00DF0B0F">
      <w:pPr>
        <w:widowControl w:val="0"/>
        <w:autoSpaceDE w:val="0"/>
        <w:autoSpaceDN w:val="0"/>
        <w:adjustRightInd w:val="0"/>
        <w:spacing w:after="240"/>
        <w:rPr>
          <w:rFonts w:cs="Arial"/>
        </w:rPr>
      </w:pPr>
      <w:r w:rsidRPr="009C7AF7">
        <w:rPr>
          <w:rFonts w:cs="Arial"/>
          <w:b/>
          <w:bCs/>
          <w:i/>
        </w:rPr>
        <w:t xml:space="preserve">Clinical Effectiveness </w:t>
      </w:r>
      <w:r w:rsidRPr="009C7AF7">
        <w:rPr>
          <w:rFonts w:cs="Arial"/>
          <w:b/>
          <w:i/>
        </w:rPr>
        <w:t>–</w:t>
      </w:r>
      <w:r w:rsidRPr="009C7AF7">
        <w:rPr>
          <w:rFonts w:cs="Arial"/>
        </w:rPr>
        <w:t xml:space="preserve"> providing treatment and care for our patients that produces the best possible outcomes with the most effective use of financial resources.</w:t>
      </w:r>
    </w:p>
    <w:p w:rsidR="00F93ABB" w:rsidRPr="009C7AF7" w:rsidRDefault="00F93ABB" w:rsidP="00DF0B0F">
      <w:pPr>
        <w:widowControl w:val="0"/>
        <w:autoSpaceDE w:val="0"/>
        <w:autoSpaceDN w:val="0"/>
        <w:adjustRightInd w:val="0"/>
        <w:spacing w:after="240"/>
        <w:rPr>
          <w:rFonts w:cs="Arial"/>
        </w:rPr>
      </w:pPr>
      <w:r w:rsidRPr="009C7AF7">
        <w:rPr>
          <w:rFonts w:cs="Arial"/>
          <w:b/>
          <w:bCs/>
          <w:i/>
        </w:rPr>
        <w:t xml:space="preserve">Patient Experience </w:t>
      </w:r>
      <w:r w:rsidRPr="009C7AF7">
        <w:rPr>
          <w:rFonts w:cs="Arial"/>
          <w:b/>
          <w:i/>
        </w:rPr>
        <w:t>–</w:t>
      </w:r>
      <w:r w:rsidRPr="009C7AF7">
        <w:rPr>
          <w:rFonts w:cs="Arial"/>
        </w:rPr>
        <w:t xml:space="preserve"> meeting our patients’ emotional as well as physical needs. This includes being treated with dignity and respect in a comfortable and safe environment, and being given the appropriate information about their care.</w:t>
      </w:r>
    </w:p>
    <w:p w:rsidR="00F93ABB" w:rsidRPr="009C7AF7" w:rsidRDefault="000B0365" w:rsidP="00487111">
      <w:pPr>
        <w:widowControl w:val="0"/>
        <w:autoSpaceDE w:val="0"/>
        <w:autoSpaceDN w:val="0"/>
        <w:adjustRightInd w:val="0"/>
        <w:spacing w:after="240"/>
        <w:rPr>
          <w:rFonts w:cs="Arial"/>
        </w:rPr>
      </w:pPr>
      <w:r w:rsidRPr="009C7AF7">
        <w:rPr>
          <w:rFonts w:cs="Arial"/>
        </w:rPr>
        <w:t>In the Trust’s Qua</w:t>
      </w:r>
      <w:r w:rsidR="003145B6">
        <w:rPr>
          <w:rFonts w:cs="Arial"/>
        </w:rPr>
        <w:t>lity account 2014/15</w:t>
      </w:r>
      <w:r w:rsidRPr="009C7AF7">
        <w:rPr>
          <w:rFonts w:cs="Arial"/>
        </w:rPr>
        <w:t>, we describe our progress against the priorit</w:t>
      </w:r>
      <w:r w:rsidR="003145B6">
        <w:rPr>
          <w:rFonts w:cs="Arial"/>
        </w:rPr>
        <w:t>ies that we established for 2014/15</w:t>
      </w:r>
      <w:r w:rsidRPr="009C7AF7">
        <w:rPr>
          <w:rFonts w:cs="Arial"/>
        </w:rPr>
        <w:t>.  We also identify a number of are</w:t>
      </w:r>
      <w:r w:rsidR="00F93ABB" w:rsidRPr="009C7AF7">
        <w:rPr>
          <w:rFonts w:cs="Arial"/>
        </w:rPr>
        <w:t xml:space="preserve">as </w:t>
      </w:r>
      <w:r w:rsidRPr="009C7AF7">
        <w:rPr>
          <w:rFonts w:cs="Arial"/>
        </w:rPr>
        <w:t>for focus during the next twelve months and we explain how we inten</w:t>
      </w:r>
      <w:r w:rsidR="003145B6">
        <w:rPr>
          <w:rFonts w:cs="Arial"/>
        </w:rPr>
        <w:t>d to improve quality during 2015/16</w:t>
      </w:r>
      <w:r w:rsidR="00F93ABB" w:rsidRPr="009C7AF7">
        <w:rPr>
          <w:rFonts w:cs="Arial"/>
        </w:rPr>
        <w:t xml:space="preserve">. </w:t>
      </w:r>
      <w:r w:rsidRPr="009C7AF7">
        <w:rPr>
          <w:rFonts w:cs="Arial"/>
        </w:rPr>
        <w:t xml:space="preserve"> </w:t>
      </w:r>
      <w:r w:rsidR="00F93ABB" w:rsidRPr="009C7AF7">
        <w:rPr>
          <w:rFonts w:cs="Arial"/>
        </w:rPr>
        <w:t xml:space="preserve">Throughout the year we will report on our progress to the Trust Board, to our </w:t>
      </w:r>
      <w:r w:rsidRPr="009C7AF7">
        <w:rPr>
          <w:rFonts w:cs="Arial"/>
        </w:rPr>
        <w:t>Patients</w:t>
      </w:r>
      <w:r w:rsidR="00F93ABB" w:rsidRPr="009C7AF7">
        <w:rPr>
          <w:rFonts w:cs="Arial"/>
        </w:rPr>
        <w:t xml:space="preserve"> Council and to our Commissioners.</w:t>
      </w:r>
    </w:p>
    <w:p w:rsidR="00F93ABB" w:rsidRPr="00E82C7F" w:rsidRDefault="00F93ABB" w:rsidP="00487111">
      <w:pPr>
        <w:rPr>
          <w:rFonts w:cs="Arial"/>
          <w:b/>
        </w:rPr>
      </w:pPr>
      <w:r w:rsidRPr="00E82C7F">
        <w:rPr>
          <w:rFonts w:cs="Arial"/>
          <w:b/>
        </w:rPr>
        <w:t xml:space="preserve">Ensuring Performance </w:t>
      </w:r>
      <w:proofErr w:type="gramStart"/>
      <w:r w:rsidRPr="00E82C7F">
        <w:rPr>
          <w:rFonts w:cs="Arial"/>
          <w:b/>
        </w:rPr>
        <w:t>Against</w:t>
      </w:r>
      <w:proofErr w:type="gramEnd"/>
      <w:r w:rsidRPr="00E82C7F">
        <w:rPr>
          <w:rFonts w:cs="Arial"/>
          <w:b/>
        </w:rPr>
        <w:t xml:space="preserve"> Our Priorities </w:t>
      </w:r>
    </w:p>
    <w:p w:rsidR="00F93ABB" w:rsidRPr="009C7AF7" w:rsidRDefault="00F93ABB" w:rsidP="00487111">
      <w:pPr>
        <w:rPr>
          <w:rFonts w:cs="Arial"/>
        </w:rPr>
      </w:pPr>
      <w:r w:rsidRPr="009C7AF7">
        <w:rPr>
          <w:rFonts w:cs="Arial"/>
        </w:rPr>
        <w:t>Managing effectively to ensure we have and can demonstrate we are achieving our priorities is important for both staff and service users. The Trust has recently reviewed how it monitors performance through a revision of its Governance Framework. Governance is the term used to describe a systematic approach to planning, monitoring and improving the quality of care and services we deliver. It is a framework we use to ensure accountability for the continuing improvement of services we provide, whilst safeguarding high standards and creating an environment which provides excellence for those in our care.</w:t>
      </w:r>
    </w:p>
    <w:p w:rsidR="00F93ABB" w:rsidRPr="009C7AF7" w:rsidRDefault="00F93ABB" w:rsidP="00487111">
      <w:pPr>
        <w:rPr>
          <w:rFonts w:cs="Arial"/>
        </w:rPr>
      </w:pPr>
    </w:p>
    <w:p w:rsidR="00F93ABB" w:rsidRPr="009C7AF7" w:rsidRDefault="00F93ABB" w:rsidP="00487111">
      <w:pPr>
        <w:rPr>
          <w:rFonts w:cs="Arial"/>
        </w:rPr>
      </w:pPr>
      <w:r w:rsidRPr="009C7AF7">
        <w:rPr>
          <w:rFonts w:cs="Arial"/>
        </w:rPr>
        <w:t>Performance against our priorities is reviewed routinely at key committee meetings in the Trust, inc</w:t>
      </w:r>
      <w:r w:rsidR="003145B6">
        <w:rPr>
          <w:rFonts w:cs="Arial"/>
        </w:rPr>
        <w:t xml:space="preserve">luding the Trust Board and has </w:t>
      </w:r>
      <w:r w:rsidRPr="009C7AF7">
        <w:rPr>
          <w:rFonts w:cs="Arial"/>
        </w:rPr>
        <w:t>be</w:t>
      </w:r>
      <w:r w:rsidR="003145B6">
        <w:rPr>
          <w:rFonts w:cs="Arial"/>
        </w:rPr>
        <w:t>en</w:t>
      </w:r>
      <w:r w:rsidRPr="009C7AF7">
        <w:rPr>
          <w:rFonts w:cs="Arial"/>
        </w:rPr>
        <w:t xml:space="preserve"> shared with our service users through </w:t>
      </w:r>
      <w:r w:rsidR="00E82C7F">
        <w:rPr>
          <w:rFonts w:cs="Arial"/>
        </w:rPr>
        <w:t>the revised Patient and Public Engagement Strategy</w:t>
      </w:r>
      <w:r w:rsidRPr="009C7AF7">
        <w:rPr>
          <w:rFonts w:cs="Arial"/>
        </w:rPr>
        <w:t xml:space="preserve"> we describe above. </w:t>
      </w:r>
    </w:p>
    <w:p w:rsidR="009C7AF7" w:rsidRPr="009C7AF7" w:rsidRDefault="009C7AF7" w:rsidP="00487111">
      <w:pPr>
        <w:rPr>
          <w:rFonts w:cs="Arial"/>
        </w:rPr>
      </w:pPr>
    </w:p>
    <w:p w:rsidR="00F93ABB" w:rsidRPr="009C7AF7" w:rsidRDefault="00F93ABB" w:rsidP="001D7BC0">
      <w:pPr>
        <w:rPr>
          <w:rFonts w:cs="Arial"/>
        </w:rPr>
      </w:pPr>
      <w:r w:rsidRPr="009C7AF7">
        <w:rPr>
          <w:rFonts w:cs="Arial"/>
        </w:rPr>
        <w:t>Performance against priorities is also subject to scrutiny and review by our commissi</w:t>
      </w:r>
      <w:r w:rsidR="001F0C9D">
        <w:rPr>
          <w:rFonts w:cs="Arial"/>
        </w:rPr>
        <w:t xml:space="preserve">oners, and the Trust Development </w:t>
      </w:r>
      <w:r w:rsidRPr="009C7AF7">
        <w:rPr>
          <w:rFonts w:cs="Arial"/>
        </w:rPr>
        <w:t>Authority as well</w:t>
      </w:r>
      <w:r w:rsidR="00E82C7F">
        <w:rPr>
          <w:rFonts w:cs="Arial"/>
        </w:rPr>
        <w:t xml:space="preserve"> as the Care Quality Commission</w:t>
      </w:r>
      <w:r w:rsidRPr="009C7AF7">
        <w:rPr>
          <w:rFonts w:cs="Arial"/>
        </w:rPr>
        <w:t xml:space="preserve">. </w:t>
      </w:r>
      <w:bookmarkStart w:id="39" w:name="_Toc293583987"/>
      <w:bookmarkStart w:id="40" w:name="_Toc325024771"/>
      <w:bookmarkStart w:id="41" w:name="_Toc326061976"/>
    </w:p>
    <w:p w:rsidR="00F93ABB" w:rsidRPr="004C6892" w:rsidRDefault="00F93ABB" w:rsidP="001D7BC0">
      <w:pPr>
        <w:rPr>
          <w:rFonts w:cs="Arial"/>
        </w:rPr>
      </w:pPr>
    </w:p>
    <w:p w:rsidR="00F93ABB" w:rsidRPr="00995780" w:rsidRDefault="00F93ABB" w:rsidP="00AD4076">
      <w:pPr>
        <w:pStyle w:val="Heading1"/>
        <w:ind w:left="709" w:hanging="709"/>
      </w:pPr>
      <w:bookmarkStart w:id="42" w:name="_Toc387747653"/>
      <w:r>
        <w:t>2.</w:t>
      </w:r>
      <w:r w:rsidR="00456F99">
        <w:t>3</w:t>
      </w:r>
      <w:r>
        <w:t xml:space="preserve"> </w:t>
      </w:r>
      <w:r w:rsidR="00AD4076">
        <w:t xml:space="preserve">  </w:t>
      </w:r>
      <w:r>
        <w:t>The Resources, Principal Risks and Uncertainties and Relationships That May Affect the Trust’s L</w:t>
      </w:r>
      <w:r w:rsidRPr="00F36E46">
        <w:t>ong</w:t>
      </w:r>
      <w:r>
        <w:t>-Term V</w:t>
      </w:r>
      <w:r w:rsidRPr="00F36E46">
        <w:t>alue</w:t>
      </w:r>
      <w:bookmarkEnd w:id="39"/>
      <w:bookmarkEnd w:id="40"/>
      <w:bookmarkEnd w:id="41"/>
      <w:bookmarkEnd w:id="42"/>
      <w:r>
        <w:t xml:space="preserve"> </w:t>
      </w:r>
    </w:p>
    <w:p w:rsidR="00F93ABB" w:rsidRPr="009C7AF7" w:rsidRDefault="00F93ABB" w:rsidP="00174822">
      <w:pPr>
        <w:rPr>
          <w:rFonts w:cs="Arial"/>
          <w:bCs/>
        </w:rPr>
      </w:pPr>
      <w:r w:rsidRPr="009C7AF7">
        <w:rPr>
          <w:rFonts w:cs="Arial"/>
          <w:bCs/>
        </w:rPr>
        <w:t>The key risks to achievement of the Trusts objectives during the last year were identified as being:</w:t>
      </w:r>
    </w:p>
    <w:p w:rsidR="00F93ABB" w:rsidRPr="009C7AF7" w:rsidRDefault="008D3EC8" w:rsidP="00CA6887">
      <w:pPr>
        <w:pStyle w:val="ListParagraph"/>
        <w:numPr>
          <w:ilvl w:val="1"/>
          <w:numId w:val="5"/>
        </w:numPr>
        <w:spacing w:before="120"/>
        <w:ind w:left="1077" w:hanging="357"/>
        <w:contextualSpacing w:val="0"/>
        <w:rPr>
          <w:rFonts w:cs="Arial"/>
          <w:bCs/>
        </w:rPr>
      </w:pPr>
      <w:r>
        <w:rPr>
          <w:rFonts w:cs="Arial"/>
          <w:bCs/>
        </w:rPr>
        <w:t>Risk that medical staffing will not be at the required n</w:t>
      </w:r>
      <w:r w:rsidR="0064511C">
        <w:rPr>
          <w:rFonts w:cs="Arial"/>
          <w:bCs/>
        </w:rPr>
        <w:t>umbers or skills to deliver sa</w:t>
      </w:r>
      <w:r>
        <w:rPr>
          <w:rFonts w:cs="Arial"/>
          <w:bCs/>
        </w:rPr>
        <w:t>fe and dignified care.</w:t>
      </w:r>
    </w:p>
    <w:p w:rsidR="00F93ABB" w:rsidRPr="009C7AF7" w:rsidRDefault="008D3EC8" w:rsidP="00CA6887">
      <w:pPr>
        <w:pStyle w:val="ListParagraph"/>
        <w:numPr>
          <w:ilvl w:val="1"/>
          <w:numId w:val="5"/>
        </w:numPr>
        <w:spacing w:before="120"/>
        <w:ind w:left="1077" w:hanging="357"/>
        <w:contextualSpacing w:val="0"/>
        <w:rPr>
          <w:rFonts w:cs="Arial"/>
          <w:bCs/>
        </w:rPr>
      </w:pPr>
      <w:r>
        <w:rPr>
          <w:rFonts w:cs="Arial"/>
          <w:bCs/>
        </w:rPr>
        <w:lastRenderedPageBreak/>
        <w:t>Risk that the Trust does not meet CQC requirements for a minimum of good rating</w:t>
      </w:r>
      <w:r w:rsidR="0064511C">
        <w:rPr>
          <w:rFonts w:cs="Arial"/>
          <w:bCs/>
        </w:rPr>
        <w:t>.</w:t>
      </w:r>
    </w:p>
    <w:p w:rsidR="00FE4FF1" w:rsidRPr="009C7AF7" w:rsidRDefault="008D3EC8" w:rsidP="00CA6887">
      <w:pPr>
        <w:pStyle w:val="ListParagraph"/>
        <w:numPr>
          <w:ilvl w:val="1"/>
          <w:numId w:val="5"/>
        </w:numPr>
        <w:spacing w:before="120"/>
        <w:ind w:left="1077" w:hanging="357"/>
        <w:contextualSpacing w:val="0"/>
        <w:rPr>
          <w:rFonts w:cs="Arial"/>
          <w:bCs/>
        </w:rPr>
      </w:pPr>
      <w:r>
        <w:rPr>
          <w:rFonts w:cs="Arial"/>
          <w:bCs/>
        </w:rPr>
        <w:t>Failure to ensure medicines are safely and securely procured, prescribed, dispensed, prepared, administered and monitored in accordance with the statutory requirements of the Medicines Act 1968 and the Health and Social Care Act 2008.</w:t>
      </w:r>
    </w:p>
    <w:p w:rsidR="00F93ABB" w:rsidRPr="009C7AF7" w:rsidRDefault="005832B3" w:rsidP="00CA6887">
      <w:pPr>
        <w:pStyle w:val="ListParagraph"/>
        <w:numPr>
          <w:ilvl w:val="1"/>
          <w:numId w:val="5"/>
        </w:numPr>
        <w:autoSpaceDE w:val="0"/>
        <w:autoSpaceDN w:val="0"/>
        <w:adjustRightInd w:val="0"/>
        <w:spacing w:before="120"/>
        <w:ind w:left="1077" w:hanging="357"/>
        <w:contextualSpacing w:val="0"/>
        <w:rPr>
          <w:rFonts w:cs="Arial"/>
          <w:lang w:eastAsia="en-GB"/>
        </w:rPr>
      </w:pPr>
      <w:r>
        <w:rPr>
          <w:rFonts w:cs="Arial"/>
          <w:lang w:eastAsia="en-GB"/>
        </w:rPr>
        <w:t xml:space="preserve">Risk that the Trust is unable to deliver a </w:t>
      </w:r>
      <w:r w:rsidR="0064511C">
        <w:rPr>
          <w:rFonts w:cs="Arial"/>
          <w:lang w:eastAsia="en-GB"/>
        </w:rPr>
        <w:t>sustainable solution in a reas</w:t>
      </w:r>
      <w:r>
        <w:rPr>
          <w:rFonts w:cs="Arial"/>
          <w:lang w:eastAsia="en-GB"/>
        </w:rPr>
        <w:t>onable timescale as the process is external to the Trust and subject to national approvals and policy directives.</w:t>
      </w:r>
    </w:p>
    <w:p w:rsidR="00F93ABB" w:rsidRPr="009C7AF7" w:rsidRDefault="00F93ABB" w:rsidP="006C3115">
      <w:pPr>
        <w:autoSpaceDE w:val="0"/>
        <w:autoSpaceDN w:val="0"/>
        <w:adjustRightInd w:val="0"/>
        <w:rPr>
          <w:rFonts w:cs="Arial"/>
          <w:lang w:eastAsia="en-GB"/>
        </w:rPr>
      </w:pPr>
    </w:p>
    <w:p w:rsidR="00F93ABB" w:rsidRPr="009C7AF7" w:rsidRDefault="00F93ABB" w:rsidP="006C3115">
      <w:pPr>
        <w:autoSpaceDE w:val="0"/>
        <w:autoSpaceDN w:val="0"/>
        <w:adjustRightInd w:val="0"/>
        <w:rPr>
          <w:rFonts w:cs="Arial"/>
          <w:lang w:eastAsia="en-GB"/>
        </w:rPr>
      </w:pPr>
      <w:r w:rsidRPr="009C7AF7">
        <w:rPr>
          <w:rFonts w:cs="Arial"/>
          <w:lang w:eastAsia="en-GB"/>
        </w:rPr>
        <w:t xml:space="preserve">Specific risk mitigation processes were </w:t>
      </w:r>
      <w:r w:rsidR="003C7758" w:rsidRPr="009C7AF7">
        <w:rPr>
          <w:rFonts w:cs="Arial"/>
          <w:lang w:eastAsia="en-GB"/>
        </w:rPr>
        <w:t>utilised</w:t>
      </w:r>
      <w:r w:rsidRPr="009C7AF7">
        <w:rPr>
          <w:rFonts w:cs="Arial"/>
          <w:lang w:eastAsia="en-GB"/>
        </w:rPr>
        <w:t xml:space="preserve"> to manage these risks including:</w:t>
      </w:r>
    </w:p>
    <w:p w:rsidR="00F93ABB" w:rsidRPr="00C26A2F" w:rsidRDefault="0064511C" w:rsidP="00CA6887">
      <w:pPr>
        <w:pStyle w:val="ListParagraph"/>
        <w:numPr>
          <w:ilvl w:val="1"/>
          <w:numId w:val="5"/>
        </w:numPr>
        <w:autoSpaceDE w:val="0"/>
        <w:autoSpaceDN w:val="0"/>
        <w:adjustRightInd w:val="0"/>
        <w:spacing w:before="120"/>
        <w:ind w:left="1077" w:hanging="357"/>
        <w:contextualSpacing w:val="0"/>
        <w:rPr>
          <w:rFonts w:cs="Arial"/>
          <w:lang w:eastAsia="en-GB"/>
        </w:rPr>
      </w:pPr>
      <w:r>
        <w:rPr>
          <w:rFonts w:cs="Arial"/>
          <w:lang w:eastAsia="en-GB"/>
        </w:rPr>
        <w:t>Participation in whole healthcare community Urgent Care Groups to respond to emergency demand</w:t>
      </w:r>
      <w:r>
        <w:rPr>
          <w:rFonts w:cs="Arial"/>
        </w:rPr>
        <w:t>.</w:t>
      </w:r>
    </w:p>
    <w:p w:rsidR="00F93ABB" w:rsidRDefault="005A0CCA" w:rsidP="00CA6887">
      <w:pPr>
        <w:pStyle w:val="ListParagraph"/>
        <w:numPr>
          <w:ilvl w:val="1"/>
          <w:numId w:val="5"/>
        </w:numPr>
        <w:autoSpaceDE w:val="0"/>
        <w:autoSpaceDN w:val="0"/>
        <w:adjustRightInd w:val="0"/>
        <w:spacing w:before="120"/>
        <w:ind w:left="1077" w:hanging="357"/>
        <w:contextualSpacing w:val="0"/>
        <w:rPr>
          <w:rFonts w:cs="Arial"/>
          <w:lang w:eastAsia="en-GB"/>
        </w:rPr>
      </w:pPr>
      <w:r>
        <w:rPr>
          <w:rFonts w:cs="Arial"/>
        </w:rPr>
        <w:t>D</w:t>
      </w:r>
      <w:r w:rsidR="007508A0">
        <w:rPr>
          <w:rFonts w:cs="Arial"/>
        </w:rPr>
        <w:t xml:space="preserve">aily monitoring, risk scoring and reporting </w:t>
      </w:r>
      <w:r>
        <w:rPr>
          <w:rFonts w:cs="Arial"/>
        </w:rPr>
        <w:t xml:space="preserve">of incidents, concerns, </w:t>
      </w:r>
      <w:r w:rsidR="007508A0">
        <w:rPr>
          <w:rFonts w:cs="Arial"/>
        </w:rPr>
        <w:t xml:space="preserve">and staff risks in each service area. </w:t>
      </w:r>
    </w:p>
    <w:p w:rsidR="007508A0" w:rsidRPr="00C26A2F" w:rsidRDefault="007508A0" w:rsidP="00CA6887">
      <w:pPr>
        <w:pStyle w:val="ListParagraph"/>
        <w:numPr>
          <w:ilvl w:val="1"/>
          <w:numId w:val="5"/>
        </w:numPr>
        <w:autoSpaceDE w:val="0"/>
        <w:autoSpaceDN w:val="0"/>
        <w:adjustRightInd w:val="0"/>
        <w:spacing w:before="120"/>
        <w:ind w:left="1077" w:hanging="357"/>
        <w:contextualSpacing w:val="0"/>
        <w:rPr>
          <w:rFonts w:cs="Arial"/>
          <w:lang w:eastAsia="en-GB"/>
        </w:rPr>
      </w:pPr>
      <w:r>
        <w:rPr>
          <w:rFonts w:cs="Arial"/>
        </w:rPr>
        <w:t>Quarterly audit of the management of high risk medications.</w:t>
      </w:r>
    </w:p>
    <w:p w:rsidR="00F93ABB" w:rsidRPr="00C26A2F" w:rsidRDefault="00F93ABB" w:rsidP="00CA6887">
      <w:pPr>
        <w:pStyle w:val="ListParagraph"/>
        <w:numPr>
          <w:ilvl w:val="1"/>
          <w:numId w:val="5"/>
        </w:numPr>
        <w:autoSpaceDE w:val="0"/>
        <w:autoSpaceDN w:val="0"/>
        <w:adjustRightInd w:val="0"/>
        <w:spacing w:before="120"/>
        <w:ind w:left="1077" w:hanging="357"/>
        <w:contextualSpacing w:val="0"/>
        <w:rPr>
          <w:rFonts w:cs="Arial"/>
          <w:lang w:eastAsia="en-GB"/>
        </w:rPr>
      </w:pPr>
      <w:r w:rsidRPr="00C26A2F">
        <w:rPr>
          <w:rFonts w:cs="Arial"/>
          <w:lang w:eastAsia="en-GB"/>
        </w:rPr>
        <w:t>Monthly executive review of all risks, assurances and risk mitigation plans.</w:t>
      </w:r>
    </w:p>
    <w:p w:rsidR="00F93ABB" w:rsidRPr="00C26A2F" w:rsidRDefault="00F93ABB" w:rsidP="00174822">
      <w:pPr>
        <w:autoSpaceDE w:val="0"/>
        <w:autoSpaceDN w:val="0"/>
        <w:adjustRightInd w:val="0"/>
        <w:ind w:left="709" w:hanging="709"/>
        <w:rPr>
          <w:rFonts w:cs="Arial"/>
          <w:lang w:eastAsia="en-GB"/>
        </w:rPr>
      </w:pPr>
    </w:p>
    <w:p w:rsidR="00F93ABB" w:rsidRPr="00C26A2F" w:rsidRDefault="00F93ABB" w:rsidP="00D63D4E">
      <w:pPr>
        <w:rPr>
          <w:lang w:eastAsia="en-GB"/>
        </w:rPr>
      </w:pPr>
      <w:r w:rsidRPr="00C26A2F">
        <w:rPr>
          <w:bCs/>
        </w:rPr>
        <w:t xml:space="preserve">These risks were managed through the Assurance Framework and risk management processes.  In addition, the </w:t>
      </w:r>
      <w:r w:rsidRPr="00C26A2F">
        <w:rPr>
          <w:lang w:eastAsia="en-GB"/>
        </w:rPr>
        <w:t>Board sought assurance that the Trust’s objectives were being achieved and the risks controlled through a variety of assurance processes, including performance reports with high level KPIs, audits (internal and external), assessments by regulatory and monitoring agencie</w:t>
      </w:r>
      <w:r w:rsidR="00E82C7F">
        <w:rPr>
          <w:lang w:eastAsia="en-GB"/>
        </w:rPr>
        <w:t>s (e</w:t>
      </w:r>
      <w:r w:rsidR="00FE700D">
        <w:rPr>
          <w:lang w:eastAsia="en-GB"/>
        </w:rPr>
        <w:t>.g. Healthwatch, Royal Colleges, NHS Trust Development Authority</w:t>
      </w:r>
      <w:r w:rsidRPr="00C26A2F">
        <w:rPr>
          <w:lang w:eastAsia="en-GB"/>
        </w:rPr>
        <w:t xml:space="preserve">). </w:t>
      </w:r>
    </w:p>
    <w:p w:rsidR="00F93ABB" w:rsidRPr="009C7AF7" w:rsidRDefault="00F93ABB" w:rsidP="00D63D4E"/>
    <w:p w:rsidR="00F93ABB" w:rsidRPr="009C7AF7" w:rsidRDefault="00F93ABB" w:rsidP="00D63D4E">
      <w:pPr>
        <w:rPr>
          <w:b/>
        </w:rPr>
      </w:pPr>
      <w:r w:rsidRPr="009C7AF7">
        <w:t xml:space="preserve">The Risk Management Strategy defines the Trust’s key external stakeholders and who is required to be kept informed of high level risks and where appropriate, consulted in the management of risks faced by the Trust.  Executive Directors have taken responsibility for assuring that external stakeholders are informed as necessary, particularly in the event of a serious untoward incident. </w:t>
      </w:r>
    </w:p>
    <w:p w:rsidR="00F93ABB" w:rsidRPr="009C7AF7" w:rsidRDefault="00F93ABB" w:rsidP="00174822">
      <w:pPr>
        <w:rPr>
          <w:rFonts w:cs="Arial"/>
        </w:rPr>
      </w:pPr>
    </w:p>
    <w:p w:rsidR="00D96133" w:rsidRPr="009C7AF7" w:rsidRDefault="00D96133" w:rsidP="00D96133">
      <w:pPr>
        <w:rPr>
          <w:rFonts w:cs="Arial"/>
        </w:rPr>
      </w:pPr>
      <w:r w:rsidRPr="009C7AF7">
        <w:rPr>
          <w:rFonts w:cs="Arial"/>
        </w:rPr>
        <w:t>During the last 12 months, the Trust has continued its active involvement as required by the Civil Contingencies Act with the new Local Resilience Partnership Health which takes into account in terms of health emergency planning, risks identified on the Community Risk Register.</w:t>
      </w:r>
    </w:p>
    <w:p w:rsidR="00D96133" w:rsidRPr="009C7AF7" w:rsidRDefault="00D96133" w:rsidP="00D96133">
      <w:pPr>
        <w:rPr>
          <w:rFonts w:cs="Arial"/>
        </w:rPr>
      </w:pPr>
    </w:p>
    <w:p w:rsidR="00D96133" w:rsidRPr="009C7AF7" w:rsidRDefault="00D96133" w:rsidP="00D96133">
      <w:pPr>
        <w:rPr>
          <w:rFonts w:cs="Arial"/>
        </w:rPr>
      </w:pPr>
      <w:r w:rsidRPr="009C7AF7">
        <w:rPr>
          <w:rFonts w:cs="Arial"/>
        </w:rPr>
        <w:t xml:space="preserve">The Trust continues to work closely with the main commissioner of services, North Somerset Clinical Commissioning Group, to jointly plan and develop services. </w:t>
      </w:r>
    </w:p>
    <w:p w:rsidR="00F93ABB" w:rsidRPr="009C7AF7" w:rsidRDefault="00F93ABB" w:rsidP="00174822">
      <w:pPr>
        <w:rPr>
          <w:rFonts w:cs="Arial"/>
        </w:rPr>
      </w:pPr>
    </w:p>
    <w:p w:rsidR="00F93ABB" w:rsidRPr="009C7AF7" w:rsidRDefault="00F93ABB" w:rsidP="00174822">
      <w:pPr>
        <w:rPr>
          <w:rFonts w:cs="Arial"/>
        </w:rPr>
      </w:pPr>
      <w:r w:rsidRPr="009C7AF7">
        <w:rPr>
          <w:rFonts w:cs="Arial"/>
        </w:rPr>
        <w:t>The Trust will continue to work closely with othe</w:t>
      </w:r>
      <w:r w:rsidR="00FE700D">
        <w:rPr>
          <w:rFonts w:cs="Arial"/>
        </w:rPr>
        <w:t xml:space="preserve">r key partners during the coming </w:t>
      </w:r>
      <w:r w:rsidRPr="009C7AF7">
        <w:rPr>
          <w:rFonts w:cs="Arial"/>
        </w:rPr>
        <w:t>months, notably the NHS Trust Development Authority, the North Somerset Clinical Commissioning Group, Somerset Clinical Commissioning Group, North Somerset Council, Weston College and the local Healthwatch. The Trust will also continue to take an active part in sector-wide networks in particular:</w:t>
      </w:r>
    </w:p>
    <w:p w:rsidR="00F93ABB" w:rsidRPr="009C7AF7" w:rsidRDefault="00F93ABB" w:rsidP="00174822">
      <w:pPr>
        <w:rPr>
          <w:rFonts w:cs="Arial"/>
        </w:rPr>
      </w:pPr>
    </w:p>
    <w:p w:rsidR="00026310" w:rsidRPr="009C7AF7" w:rsidRDefault="00026310" w:rsidP="00A4366A">
      <w:pPr>
        <w:rPr>
          <w:rFonts w:cs="Arial"/>
        </w:rPr>
      </w:pPr>
      <w:r w:rsidRPr="009C7AF7">
        <w:rPr>
          <w:rFonts w:cs="Arial"/>
        </w:rPr>
        <w:t xml:space="preserve">Regional meetings and forums: </w:t>
      </w:r>
    </w:p>
    <w:p w:rsidR="00026310" w:rsidRPr="009C7AF7" w:rsidRDefault="00026310" w:rsidP="00CA6887">
      <w:pPr>
        <w:pStyle w:val="ListParagraph"/>
        <w:numPr>
          <w:ilvl w:val="0"/>
          <w:numId w:val="11"/>
        </w:numPr>
        <w:ind w:left="1134" w:hanging="425"/>
        <w:contextualSpacing w:val="0"/>
        <w:rPr>
          <w:rFonts w:cs="Arial"/>
        </w:rPr>
      </w:pPr>
      <w:r w:rsidRPr="009C7AF7">
        <w:rPr>
          <w:rFonts w:cs="Arial"/>
        </w:rPr>
        <w:t>Chairs and Chief Executives with the Trust Development Authority</w:t>
      </w:r>
    </w:p>
    <w:p w:rsidR="00026310" w:rsidRPr="009C7AF7" w:rsidRDefault="00026310" w:rsidP="00CA6887">
      <w:pPr>
        <w:pStyle w:val="ListParagraph"/>
        <w:numPr>
          <w:ilvl w:val="0"/>
          <w:numId w:val="11"/>
        </w:numPr>
        <w:ind w:left="1134" w:hanging="425"/>
        <w:contextualSpacing w:val="0"/>
        <w:rPr>
          <w:rFonts w:cs="Arial"/>
        </w:rPr>
      </w:pPr>
      <w:r w:rsidRPr="009C7AF7">
        <w:rPr>
          <w:rFonts w:cs="Arial"/>
        </w:rPr>
        <w:t>Specialist forums for Directors of Finance, Nursing &amp; Human Resources</w:t>
      </w:r>
    </w:p>
    <w:p w:rsidR="00026310" w:rsidRPr="009C7AF7" w:rsidRDefault="00026310" w:rsidP="00026310">
      <w:pPr>
        <w:ind w:left="1134" w:hanging="425"/>
        <w:rPr>
          <w:rFonts w:cs="Arial"/>
        </w:rPr>
      </w:pPr>
    </w:p>
    <w:p w:rsidR="00026310" w:rsidRPr="009C7AF7" w:rsidRDefault="00026310" w:rsidP="00A4366A">
      <w:pPr>
        <w:rPr>
          <w:rFonts w:cs="Arial"/>
        </w:rPr>
      </w:pPr>
      <w:r w:rsidRPr="009C7AF7">
        <w:rPr>
          <w:rFonts w:cs="Arial"/>
        </w:rPr>
        <w:t>Bristol, North Somerset, Somerset &amp; South Gloucestershire Area (BNSSSG) meetings and forums :</w:t>
      </w:r>
    </w:p>
    <w:p w:rsidR="00026310" w:rsidRPr="009C7AF7" w:rsidRDefault="008A7C04" w:rsidP="00CA6887">
      <w:pPr>
        <w:pStyle w:val="ListParagraph"/>
        <w:numPr>
          <w:ilvl w:val="0"/>
          <w:numId w:val="11"/>
        </w:numPr>
        <w:ind w:left="1134" w:hanging="425"/>
        <w:contextualSpacing w:val="0"/>
        <w:rPr>
          <w:rFonts w:cs="Arial"/>
        </w:rPr>
      </w:pPr>
      <w:r>
        <w:rPr>
          <w:rFonts w:cs="Arial"/>
        </w:rPr>
        <w:t>BNSSSG Quality Review M</w:t>
      </w:r>
      <w:r w:rsidR="00026310" w:rsidRPr="009C7AF7">
        <w:rPr>
          <w:rFonts w:cs="Arial"/>
        </w:rPr>
        <w:t>eetings</w:t>
      </w:r>
    </w:p>
    <w:p w:rsidR="00026310" w:rsidRPr="009C7AF7" w:rsidRDefault="00026310" w:rsidP="00CA6887">
      <w:pPr>
        <w:pStyle w:val="ListParagraph"/>
        <w:numPr>
          <w:ilvl w:val="0"/>
          <w:numId w:val="11"/>
        </w:numPr>
        <w:ind w:left="1134" w:hanging="425"/>
        <w:contextualSpacing w:val="0"/>
        <w:rPr>
          <w:rFonts w:cs="Arial"/>
        </w:rPr>
      </w:pPr>
      <w:r w:rsidRPr="009C7AF7">
        <w:rPr>
          <w:rFonts w:cs="Arial"/>
        </w:rPr>
        <w:t>North Somerset Infection Prevention and Control Forum</w:t>
      </w:r>
    </w:p>
    <w:p w:rsidR="00730841" w:rsidRPr="009C7AF7" w:rsidRDefault="00730841" w:rsidP="00CA6887">
      <w:pPr>
        <w:pStyle w:val="ListParagraph"/>
        <w:numPr>
          <w:ilvl w:val="0"/>
          <w:numId w:val="11"/>
        </w:numPr>
        <w:ind w:left="1134" w:hanging="425"/>
        <w:contextualSpacing w:val="0"/>
        <w:rPr>
          <w:rFonts w:cs="Arial"/>
        </w:rPr>
      </w:pPr>
      <w:r w:rsidRPr="009C7AF7">
        <w:rPr>
          <w:rFonts w:cs="Arial"/>
        </w:rPr>
        <w:t>West of England</w:t>
      </w:r>
      <w:r w:rsidR="008A7C04">
        <w:rPr>
          <w:rFonts w:cs="Arial"/>
        </w:rPr>
        <w:t xml:space="preserve"> Academic Health S</w:t>
      </w:r>
      <w:r w:rsidR="00DA13C6" w:rsidRPr="009C7AF7">
        <w:rPr>
          <w:rFonts w:cs="Arial"/>
        </w:rPr>
        <w:t>ciences Network</w:t>
      </w:r>
    </w:p>
    <w:p w:rsidR="00026310" w:rsidRPr="008A7C04" w:rsidRDefault="008A7C04" w:rsidP="008A7C04">
      <w:pPr>
        <w:pStyle w:val="ListParagraph"/>
        <w:numPr>
          <w:ilvl w:val="0"/>
          <w:numId w:val="11"/>
        </w:numPr>
        <w:rPr>
          <w:rFonts w:cs="Arial"/>
        </w:rPr>
      </w:pPr>
      <w:r w:rsidRPr="008A7C04">
        <w:rPr>
          <w:rFonts w:cs="Arial"/>
        </w:rPr>
        <w:t>West of England Patient Safety Collaborative Board</w:t>
      </w:r>
    </w:p>
    <w:p w:rsidR="00026310" w:rsidRPr="009C7AF7" w:rsidRDefault="00026310" w:rsidP="00A4366A">
      <w:pPr>
        <w:rPr>
          <w:rFonts w:cs="Arial"/>
        </w:rPr>
      </w:pPr>
      <w:r w:rsidRPr="009C7AF7">
        <w:rPr>
          <w:rFonts w:cs="Arial"/>
        </w:rPr>
        <w:t xml:space="preserve">Clinical Networking: </w:t>
      </w:r>
    </w:p>
    <w:p w:rsidR="00026310" w:rsidRPr="009C7AF7" w:rsidRDefault="00026310" w:rsidP="00CA6887">
      <w:pPr>
        <w:pStyle w:val="ListParagraph"/>
        <w:numPr>
          <w:ilvl w:val="0"/>
          <w:numId w:val="11"/>
        </w:numPr>
        <w:ind w:left="1134" w:hanging="425"/>
        <w:contextualSpacing w:val="0"/>
        <w:rPr>
          <w:rFonts w:cs="Arial"/>
        </w:rPr>
      </w:pPr>
      <w:r w:rsidRPr="009C7AF7">
        <w:rPr>
          <w:rFonts w:cs="Arial"/>
        </w:rPr>
        <w:t>Care pathway networks including the Avon, Somerset, Gloucester and Wiltshire Cancer Network and Urgent Care Network</w:t>
      </w:r>
    </w:p>
    <w:p w:rsidR="00026310" w:rsidRPr="009C7AF7" w:rsidRDefault="00026310" w:rsidP="00CA6887">
      <w:pPr>
        <w:pStyle w:val="ListParagraph"/>
        <w:numPr>
          <w:ilvl w:val="0"/>
          <w:numId w:val="11"/>
        </w:numPr>
        <w:ind w:left="1134" w:hanging="425"/>
        <w:contextualSpacing w:val="0"/>
        <w:rPr>
          <w:rFonts w:cs="Arial"/>
        </w:rPr>
      </w:pPr>
      <w:r w:rsidRPr="009C7AF7">
        <w:rPr>
          <w:rFonts w:cs="Arial"/>
        </w:rPr>
        <w:lastRenderedPageBreak/>
        <w:t>North Somerset Safeguarding Adults Board</w:t>
      </w:r>
    </w:p>
    <w:p w:rsidR="00026310" w:rsidRPr="009C7AF7" w:rsidRDefault="00026310" w:rsidP="00CA6887">
      <w:pPr>
        <w:pStyle w:val="ListParagraph"/>
        <w:numPr>
          <w:ilvl w:val="0"/>
          <w:numId w:val="11"/>
        </w:numPr>
        <w:ind w:left="1134" w:hanging="425"/>
        <w:contextualSpacing w:val="0"/>
        <w:rPr>
          <w:rFonts w:cs="Arial"/>
        </w:rPr>
      </w:pPr>
      <w:r w:rsidRPr="009C7AF7">
        <w:rPr>
          <w:rFonts w:cs="Arial"/>
        </w:rPr>
        <w:t>North Somerset Safeguarding Children Board</w:t>
      </w:r>
    </w:p>
    <w:p w:rsidR="00026310" w:rsidRPr="009C7AF7" w:rsidRDefault="00026310" w:rsidP="00CA6887">
      <w:pPr>
        <w:pStyle w:val="ListParagraph"/>
        <w:numPr>
          <w:ilvl w:val="0"/>
          <w:numId w:val="11"/>
        </w:numPr>
        <w:ind w:left="1134" w:hanging="425"/>
        <w:contextualSpacing w:val="0"/>
        <w:rPr>
          <w:rFonts w:cs="Arial"/>
          <w:b/>
          <w:sz w:val="24"/>
          <w:szCs w:val="24"/>
          <w:u w:val="single"/>
        </w:rPr>
      </w:pPr>
      <w:r w:rsidRPr="009C7AF7">
        <w:rPr>
          <w:rFonts w:cs="Arial"/>
        </w:rPr>
        <w:t xml:space="preserve">Avon and Somerset Local Health Resilience Partnership </w:t>
      </w:r>
    </w:p>
    <w:p w:rsidR="00026310" w:rsidRPr="009C7AF7" w:rsidRDefault="00026310" w:rsidP="00CA6887">
      <w:pPr>
        <w:pStyle w:val="ListParagraph"/>
        <w:numPr>
          <w:ilvl w:val="0"/>
          <w:numId w:val="11"/>
        </w:numPr>
        <w:ind w:left="1134" w:hanging="425"/>
        <w:contextualSpacing w:val="0"/>
        <w:rPr>
          <w:rFonts w:cs="Arial"/>
          <w:b/>
          <w:sz w:val="24"/>
          <w:szCs w:val="24"/>
          <w:u w:val="single"/>
        </w:rPr>
      </w:pPr>
      <w:r w:rsidRPr="009C7AF7">
        <w:rPr>
          <w:rFonts w:cs="Arial"/>
        </w:rPr>
        <w:t>North Somerset Health Overview and Scrutiny Committee</w:t>
      </w:r>
    </w:p>
    <w:p w:rsidR="00026310" w:rsidRPr="009C7AF7" w:rsidRDefault="00026310" w:rsidP="00CA6887">
      <w:pPr>
        <w:pStyle w:val="ListParagraph"/>
        <w:numPr>
          <w:ilvl w:val="0"/>
          <w:numId w:val="11"/>
        </w:numPr>
        <w:ind w:left="1134" w:hanging="425"/>
        <w:contextualSpacing w:val="0"/>
        <w:rPr>
          <w:rFonts w:cs="Arial"/>
          <w:b/>
          <w:sz w:val="24"/>
          <w:szCs w:val="24"/>
          <w:u w:val="single"/>
        </w:rPr>
      </w:pPr>
      <w:r w:rsidRPr="009C7AF7">
        <w:rPr>
          <w:rFonts w:cs="Arial"/>
        </w:rPr>
        <w:t>North Somerset Health and Wellbeing Board (People and Communities Board)</w:t>
      </w:r>
    </w:p>
    <w:p w:rsidR="00F93ABB" w:rsidRPr="009C7AF7" w:rsidRDefault="00F93ABB" w:rsidP="00026310">
      <w:pPr>
        <w:ind w:left="709"/>
        <w:rPr>
          <w:rFonts w:cs="Arial"/>
          <w:b/>
          <w:bCs/>
        </w:rPr>
      </w:pPr>
    </w:p>
    <w:p w:rsidR="00F93ABB" w:rsidRPr="009C7AF7" w:rsidRDefault="00F93ABB" w:rsidP="00174822">
      <w:pPr>
        <w:rPr>
          <w:rFonts w:cs="Arial"/>
          <w:bCs/>
        </w:rPr>
      </w:pPr>
      <w:r w:rsidRPr="009C7AF7">
        <w:rPr>
          <w:rFonts w:cs="Arial"/>
          <w:bCs/>
        </w:rPr>
        <w:t>Participation in and strengthening of partnership arrangements for the Trust has continued to make a significant contribution to the achievements of the Trust and to the wider objectives of the health and social care economy including:</w:t>
      </w:r>
    </w:p>
    <w:p w:rsidR="002B0479" w:rsidRPr="009C7AF7" w:rsidRDefault="002B0479" w:rsidP="002B0479"/>
    <w:p w:rsidR="00F93ABB" w:rsidRPr="009C7AF7" w:rsidRDefault="00F93ABB" w:rsidP="00CA6887">
      <w:pPr>
        <w:pStyle w:val="ListParagraph"/>
        <w:numPr>
          <w:ilvl w:val="0"/>
          <w:numId w:val="6"/>
        </w:numPr>
        <w:spacing w:before="120"/>
        <w:ind w:left="1077" w:hanging="357"/>
        <w:contextualSpacing w:val="0"/>
        <w:rPr>
          <w:rFonts w:cs="Arial"/>
        </w:rPr>
      </w:pPr>
      <w:r w:rsidRPr="009C7AF7">
        <w:rPr>
          <w:rFonts w:cs="Arial"/>
          <w:bCs/>
        </w:rPr>
        <w:t xml:space="preserve">Contribution to the </w:t>
      </w:r>
      <w:r w:rsidRPr="009C7AF7">
        <w:rPr>
          <w:rFonts w:cs="Arial"/>
        </w:rPr>
        <w:t>North Somerset Partnership Health and Wellbeing Partnership sustainable Community Strategy shared priorities, with particular regard to increased integrated working with the local authority</w:t>
      </w:r>
      <w:r w:rsidR="00B64EC8" w:rsidRPr="009C7AF7">
        <w:rPr>
          <w:rFonts w:cs="Arial"/>
        </w:rPr>
        <w:t>, community services social enterprise, voluntary agencies</w:t>
      </w:r>
      <w:r w:rsidRPr="009C7AF7">
        <w:rPr>
          <w:rFonts w:cs="Arial"/>
        </w:rPr>
        <w:t xml:space="preserve"> and </w:t>
      </w:r>
      <w:r w:rsidR="00B64EC8" w:rsidRPr="009C7AF7">
        <w:rPr>
          <w:rFonts w:cs="Arial"/>
        </w:rPr>
        <w:t>clinical commissioning group</w:t>
      </w:r>
      <w:r w:rsidRPr="009C7AF7">
        <w:rPr>
          <w:rFonts w:cs="Arial"/>
        </w:rPr>
        <w:t xml:space="preserve"> to improve hospital discharge timeliness, coordination of care closer to home and avoidance of inappropriate hospital admissions together with active involvement in the local  alcohol a</w:t>
      </w:r>
      <w:r w:rsidR="008A7C04">
        <w:rPr>
          <w:rFonts w:cs="Arial"/>
        </w:rPr>
        <w:t>nd smoking cessation strategies,</w:t>
      </w:r>
    </w:p>
    <w:p w:rsidR="00E67633" w:rsidRPr="009C7AF7" w:rsidRDefault="00E67633" w:rsidP="00CA6887">
      <w:pPr>
        <w:pStyle w:val="ListParagraph"/>
        <w:numPr>
          <w:ilvl w:val="0"/>
          <w:numId w:val="6"/>
        </w:numPr>
        <w:spacing w:before="120"/>
        <w:ind w:left="1077" w:hanging="357"/>
        <w:contextualSpacing w:val="0"/>
        <w:rPr>
          <w:rFonts w:cs="Arial"/>
        </w:rPr>
      </w:pPr>
      <w:r w:rsidRPr="009C7AF7">
        <w:rPr>
          <w:rFonts w:cs="Arial"/>
        </w:rPr>
        <w:t>Partnership working with North Somerset Community Partnership, the Local Authority, NHS 111, South West Ambulance Service and Avon and Wiltshire Mental Health Partnership was significantly strengthened this winter through improved working across the health and social care economy.  Daily operational meetings improved further the already well-formed urgent care network forums and this led to a significant positive improvement in winter performance.  This partnership working further strengthens the already strong foundations for service delivery during the next twelve month</w:t>
      </w:r>
      <w:r w:rsidR="008A7C04">
        <w:rPr>
          <w:rFonts w:cs="Arial"/>
        </w:rPr>
        <w:t>s of seamless care for patients,</w:t>
      </w:r>
    </w:p>
    <w:p w:rsidR="00F93ABB" w:rsidRPr="009C7AF7" w:rsidRDefault="00F93ABB" w:rsidP="00CA6887">
      <w:pPr>
        <w:pStyle w:val="ListParagraph"/>
        <w:numPr>
          <w:ilvl w:val="0"/>
          <w:numId w:val="6"/>
        </w:numPr>
        <w:spacing w:before="120"/>
        <w:ind w:left="1077" w:hanging="357"/>
        <w:contextualSpacing w:val="0"/>
        <w:rPr>
          <w:rFonts w:cs="Arial"/>
        </w:rPr>
      </w:pPr>
      <w:r w:rsidRPr="009C7AF7">
        <w:rPr>
          <w:rFonts w:cs="Arial"/>
        </w:rPr>
        <w:t>Work with the community learning disability team, local authority and user groups to improve services for ad</w:t>
      </w:r>
      <w:r w:rsidR="008A7C04">
        <w:rPr>
          <w:rFonts w:cs="Arial"/>
        </w:rPr>
        <w:t>ults with learning disabilities,</w:t>
      </w:r>
    </w:p>
    <w:p w:rsidR="00F93ABB" w:rsidRPr="009C7AF7" w:rsidRDefault="00F93ABB" w:rsidP="00CA6887">
      <w:pPr>
        <w:pStyle w:val="ListParagraph"/>
        <w:numPr>
          <w:ilvl w:val="0"/>
          <w:numId w:val="6"/>
        </w:numPr>
        <w:spacing w:before="120"/>
        <w:ind w:left="1077" w:hanging="357"/>
        <w:contextualSpacing w:val="0"/>
        <w:rPr>
          <w:rFonts w:cs="Arial"/>
        </w:rPr>
      </w:pPr>
      <w:r w:rsidRPr="009C7AF7">
        <w:rPr>
          <w:rFonts w:cs="Arial"/>
        </w:rPr>
        <w:t>Active involvement in the safeguarding adults a</w:t>
      </w:r>
      <w:r w:rsidR="008A7C04">
        <w:rPr>
          <w:rFonts w:cs="Arial"/>
        </w:rPr>
        <w:t>nd safeguarding children boards,</w:t>
      </w:r>
    </w:p>
    <w:p w:rsidR="00F93ABB" w:rsidRPr="009C7AF7" w:rsidRDefault="00F93ABB" w:rsidP="00CA6887">
      <w:pPr>
        <w:pStyle w:val="ListParagraph"/>
        <w:numPr>
          <w:ilvl w:val="0"/>
          <w:numId w:val="6"/>
        </w:numPr>
        <w:spacing w:before="120"/>
        <w:ind w:left="1077" w:hanging="357"/>
        <w:contextualSpacing w:val="0"/>
        <w:rPr>
          <w:rFonts w:cs="Arial"/>
        </w:rPr>
      </w:pPr>
      <w:r w:rsidRPr="009C7AF7">
        <w:rPr>
          <w:rFonts w:cs="Arial"/>
        </w:rPr>
        <w:t>Work with a range of multiagency and multidisciplinary groups to meet the standards detailed within</w:t>
      </w:r>
      <w:r w:rsidR="008A7C04">
        <w:rPr>
          <w:rFonts w:cs="Arial"/>
        </w:rPr>
        <w:t xml:space="preserve"> the national dementia strategy,</w:t>
      </w:r>
    </w:p>
    <w:p w:rsidR="00F93ABB" w:rsidRPr="009C7AF7" w:rsidRDefault="00F93ABB" w:rsidP="00CA6887">
      <w:pPr>
        <w:pStyle w:val="ListParagraph"/>
        <w:numPr>
          <w:ilvl w:val="0"/>
          <w:numId w:val="6"/>
        </w:numPr>
        <w:spacing w:before="120"/>
        <w:ind w:left="1077" w:hanging="357"/>
        <w:contextualSpacing w:val="0"/>
        <w:rPr>
          <w:rFonts w:cs="Arial"/>
        </w:rPr>
      </w:pPr>
      <w:r w:rsidRPr="009C7AF7">
        <w:rPr>
          <w:rFonts w:cs="Arial"/>
        </w:rPr>
        <w:t>Active involvement in the regional south west equality delivery scheme to ensure ongoing improvements in assuring equality and diversity for staff and patients</w:t>
      </w:r>
      <w:r w:rsidR="008A7C04">
        <w:rPr>
          <w:rFonts w:cs="Arial"/>
        </w:rPr>
        <w:t>.</w:t>
      </w:r>
    </w:p>
    <w:p w:rsidR="005012CA" w:rsidRPr="009C7AF7" w:rsidRDefault="005012CA" w:rsidP="00995780">
      <w:pPr>
        <w:rPr>
          <w:rFonts w:cs="Arial"/>
          <w:bCs/>
        </w:rPr>
      </w:pPr>
    </w:p>
    <w:p w:rsidR="008742A7" w:rsidRDefault="00F93ABB" w:rsidP="00995780">
      <w:pPr>
        <w:rPr>
          <w:rFonts w:cs="Arial"/>
          <w:bCs/>
        </w:rPr>
      </w:pPr>
      <w:r w:rsidRPr="009C7AF7">
        <w:rPr>
          <w:rFonts w:cs="Arial"/>
          <w:bCs/>
        </w:rPr>
        <w:t xml:space="preserve">Outcomes from the work undertaken are clearly evident within the Trust, </w:t>
      </w:r>
      <w:r w:rsidR="008742A7" w:rsidRPr="009C7AF7">
        <w:rPr>
          <w:rFonts w:cs="Arial"/>
          <w:bCs/>
        </w:rPr>
        <w:t xml:space="preserve">including </w:t>
      </w:r>
      <w:r w:rsidRPr="009C7AF7">
        <w:rPr>
          <w:rFonts w:cs="Arial"/>
          <w:bCs/>
        </w:rPr>
        <w:t>for example</w:t>
      </w:r>
      <w:r w:rsidR="008742A7" w:rsidRPr="009C7AF7">
        <w:rPr>
          <w:rFonts w:cs="Arial"/>
          <w:bCs/>
        </w:rPr>
        <w:t>:</w:t>
      </w:r>
    </w:p>
    <w:p w:rsidR="00296128" w:rsidRDefault="00296128" w:rsidP="00995780">
      <w:pPr>
        <w:rPr>
          <w:rFonts w:cs="Arial"/>
          <w:bCs/>
        </w:rPr>
      </w:pPr>
    </w:p>
    <w:p w:rsidR="00296128" w:rsidRPr="00A159C6" w:rsidRDefault="00296128" w:rsidP="00A159C6">
      <w:pPr>
        <w:pStyle w:val="ListParagraph"/>
        <w:numPr>
          <w:ilvl w:val="0"/>
          <w:numId w:val="37"/>
        </w:numPr>
        <w:rPr>
          <w:rFonts w:cs="Arial"/>
        </w:rPr>
      </w:pPr>
      <w:r w:rsidRPr="00A159C6">
        <w:rPr>
          <w:rFonts w:cs="Arial"/>
        </w:rPr>
        <w:t>Continued progress against the national quality targets. In particular we have reinforced our cancer pathways to ensure that we meet the national standards for cancer treatment. Throughout 2014/15 we saw a sustained improvement in our delivery of these targets and in Quarter 3 we have deliver</w:t>
      </w:r>
      <w:r w:rsidR="008A7C04">
        <w:rPr>
          <w:rFonts w:cs="Arial"/>
        </w:rPr>
        <w:t>ed all eight of these standards,</w:t>
      </w:r>
    </w:p>
    <w:p w:rsidR="00296128" w:rsidRPr="00296128" w:rsidRDefault="00296128" w:rsidP="00296128">
      <w:pPr>
        <w:rPr>
          <w:rFonts w:cs="Arial"/>
        </w:rPr>
      </w:pPr>
    </w:p>
    <w:p w:rsidR="00296128" w:rsidRPr="00A159C6" w:rsidRDefault="00A159C6" w:rsidP="00A159C6">
      <w:pPr>
        <w:pStyle w:val="ListParagraph"/>
        <w:numPr>
          <w:ilvl w:val="0"/>
          <w:numId w:val="37"/>
        </w:numPr>
        <w:rPr>
          <w:rFonts w:cs="Arial"/>
        </w:rPr>
      </w:pPr>
      <w:r w:rsidRPr="00A159C6">
        <w:rPr>
          <w:rFonts w:cs="Arial"/>
        </w:rPr>
        <w:t xml:space="preserve">Reducing the number of </w:t>
      </w:r>
      <w:r w:rsidR="00296128" w:rsidRPr="00A159C6">
        <w:rPr>
          <w:rFonts w:cs="Arial"/>
        </w:rPr>
        <w:t>patients waiting for planned tr</w:t>
      </w:r>
      <w:r w:rsidRPr="00A159C6">
        <w:rPr>
          <w:rFonts w:cs="Arial"/>
        </w:rPr>
        <w:t xml:space="preserve">eatments </w:t>
      </w:r>
      <w:r w:rsidR="00296128" w:rsidRPr="00A159C6">
        <w:rPr>
          <w:rFonts w:cs="Arial"/>
        </w:rPr>
        <w:t>to ensure that we met the national guidance on Referral to Treatments. We have continued to meet all of these targets throughout 2014/5 with over 90% of patient</w:t>
      </w:r>
      <w:r w:rsidR="008A7C04">
        <w:rPr>
          <w:rFonts w:cs="Arial"/>
        </w:rPr>
        <w:t>s being treated within 18 weeks,</w:t>
      </w:r>
    </w:p>
    <w:p w:rsidR="00296128" w:rsidRPr="00296128" w:rsidRDefault="00296128" w:rsidP="00296128">
      <w:pPr>
        <w:rPr>
          <w:rFonts w:cs="Arial"/>
        </w:rPr>
      </w:pPr>
    </w:p>
    <w:p w:rsidR="00296128" w:rsidRPr="00A159C6" w:rsidRDefault="00A159C6" w:rsidP="00A159C6">
      <w:pPr>
        <w:pStyle w:val="ListParagraph"/>
        <w:numPr>
          <w:ilvl w:val="0"/>
          <w:numId w:val="37"/>
        </w:numPr>
        <w:rPr>
          <w:rFonts w:cs="Arial"/>
        </w:rPr>
      </w:pPr>
      <w:r w:rsidRPr="00A159C6">
        <w:rPr>
          <w:rFonts w:cs="Arial"/>
        </w:rPr>
        <w:t xml:space="preserve">Reducing </w:t>
      </w:r>
      <w:r w:rsidR="00296128" w:rsidRPr="00A159C6">
        <w:rPr>
          <w:rFonts w:cs="Arial"/>
        </w:rPr>
        <w:t xml:space="preserve">wait times for children and young people who use our community </w:t>
      </w:r>
      <w:proofErr w:type="spellStart"/>
      <w:r w:rsidR="00296128" w:rsidRPr="00A159C6">
        <w:rPr>
          <w:rFonts w:cs="Arial"/>
        </w:rPr>
        <w:t>paediatric</w:t>
      </w:r>
      <w:proofErr w:type="spellEnd"/>
      <w:r w:rsidR="00296128" w:rsidRPr="00A159C6">
        <w:rPr>
          <w:rFonts w:cs="Arial"/>
        </w:rPr>
        <w:t xml:space="preserve"> services. This had been a very challenging area for us over the past couple of years, but deployment of further specialist staff this year has reduced</w:t>
      </w:r>
      <w:r w:rsidR="008A7C04">
        <w:rPr>
          <w:rFonts w:cs="Arial"/>
        </w:rPr>
        <w:t xml:space="preserve"> initial wait times to 18 weeks,</w:t>
      </w:r>
    </w:p>
    <w:p w:rsidR="00296128" w:rsidRPr="00296128" w:rsidRDefault="00296128" w:rsidP="00296128">
      <w:pPr>
        <w:rPr>
          <w:rFonts w:cs="Arial"/>
        </w:rPr>
      </w:pPr>
    </w:p>
    <w:p w:rsidR="00296128" w:rsidRPr="00A159C6" w:rsidRDefault="00A159C6" w:rsidP="00A159C6">
      <w:pPr>
        <w:pStyle w:val="ListParagraph"/>
        <w:numPr>
          <w:ilvl w:val="0"/>
          <w:numId w:val="37"/>
        </w:numPr>
        <w:rPr>
          <w:rFonts w:cs="Arial"/>
        </w:rPr>
      </w:pPr>
      <w:r w:rsidRPr="00A159C6">
        <w:rPr>
          <w:rFonts w:cs="Arial"/>
        </w:rPr>
        <w:t>I</w:t>
      </w:r>
      <w:r w:rsidR="00296128" w:rsidRPr="00A159C6">
        <w:rPr>
          <w:rFonts w:cs="Arial"/>
        </w:rPr>
        <w:t xml:space="preserve">mproving the experience of our patients when they use our services with an increased focus on measuring patient experience and engaging with our Patients Council. We have seen a steady </w:t>
      </w:r>
      <w:r w:rsidR="00296128" w:rsidRPr="00A159C6">
        <w:rPr>
          <w:rFonts w:cs="Arial"/>
        </w:rPr>
        <w:lastRenderedPageBreak/>
        <w:t>increase in the response and outcome measures from the Friends and Family tests particularly in our Emergency De</w:t>
      </w:r>
      <w:r w:rsidR="008A7C04">
        <w:rPr>
          <w:rFonts w:cs="Arial"/>
        </w:rPr>
        <w:t>partment and Maternity Services,</w:t>
      </w:r>
    </w:p>
    <w:p w:rsidR="00296128" w:rsidRPr="00296128" w:rsidRDefault="00296128" w:rsidP="00296128">
      <w:pPr>
        <w:rPr>
          <w:rFonts w:cs="Arial"/>
        </w:rPr>
      </w:pPr>
    </w:p>
    <w:p w:rsidR="00296128" w:rsidRPr="00A159C6" w:rsidRDefault="00A159C6" w:rsidP="00A159C6">
      <w:pPr>
        <w:pStyle w:val="ListParagraph"/>
        <w:numPr>
          <w:ilvl w:val="0"/>
          <w:numId w:val="37"/>
        </w:numPr>
        <w:rPr>
          <w:rFonts w:ascii="Calibri" w:hAnsi="Calibri"/>
        </w:rPr>
      </w:pPr>
      <w:r w:rsidRPr="00A159C6">
        <w:rPr>
          <w:rFonts w:cs="Arial"/>
        </w:rPr>
        <w:t xml:space="preserve">Introducing </w:t>
      </w:r>
      <w:r w:rsidR="00296128" w:rsidRPr="00A159C6">
        <w:rPr>
          <w:rFonts w:cs="Arial"/>
        </w:rPr>
        <w:t>a steady improvement in how quickly we respond to complaints and a renewed focus on learning from these important aspects</w:t>
      </w:r>
      <w:r w:rsidR="008A7C04">
        <w:rPr>
          <w:rFonts w:cs="Arial"/>
        </w:rPr>
        <w:t xml:space="preserve"> of feedback from service users,</w:t>
      </w:r>
    </w:p>
    <w:p w:rsidR="00296128" w:rsidRPr="009C7AF7" w:rsidRDefault="00296128" w:rsidP="00995780">
      <w:pPr>
        <w:rPr>
          <w:rFonts w:cs="Arial"/>
          <w:bCs/>
        </w:rPr>
      </w:pPr>
    </w:p>
    <w:p w:rsidR="008742A7" w:rsidRPr="009C7AF7" w:rsidRDefault="00A159C6" w:rsidP="00A159C6">
      <w:pPr>
        <w:pStyle w:val="ListParagraph"/>
        <w:numPr>
          <w:ilvl w:val="0"/>
          <w:numId w:val="37"/>
        </w:numPr>
        <w:spacing w:after="200"/>
        <w:jc w:val="left"/>
      </w:pPr>
      <w:bookmarkStart w:id="43" w:name="_Toc293583988"/>
      <w:r>
        <w:t>Continued s</w:t>
      </w:r>
      <w:r w:rsidR="00B76804" w:rsidRPr="009C7AF7">
        <w:t>tability</w:t>
      </w:r>
      <w:r w:rsidR="008742A7" w:rsidRPr="009C7AF7">
        <w:t xml:space="preserve"> in our financial position in the Trust despite a national picture of worsening fiscal deficit.</w:t>
      </w:r>
    </w:p>
    <w:p w:rsidR="00E835A8" w:rsidRDefault="00E835A8" w:rsidP="00E835A8">
      <w:pPr>
        <w:pStyle w:val="Heading1"/>
      </w:pPr>
      <w:bookmarkStart w:id="44" w:name="_Toc387747654"/>
      <w:bookmarkStart w:id="45" w:name="_Toc325024774"/>
      <w:bookmarkStart w:id="46" w:name="_Toc326061977"/>
      <w:r>
        <w:t>2</w:t>
      </w:r>
      <w:r w:rsidRPr="005317E2">
        <w:t>.</w:t>
      </w:r>
      <w:r>
        <w:t>4 Financial P</w:t>
      </w:r>
      <w:r w:rsidRPr="005317E2">
        <w:t>osition of the Trust</w:t>
      </w:r>
    </w:p>
    <w:p w:rsidR="00E835A8" w:rsidRDefault="00E835A8" w:rsidP="00E835A8">
      <w:pPr>
        <w:rPr>
          <w:b/>
          <w:color w:val="FF0000"/>
        </w:rPr>
      </w:pPr>
    </w:p>
    <w:p w:rsidR="00E835A8" w:rsidRDefault="00E835A8" w:rsidP="00E835A8">
      <w:pPr>
        <w:pStyle w:val="Heading2"/>
      </w:pPr>
      <w:r w:rsidRPr="007C0539">
        <w:t>2.</w:t>
      </w:r>
      <w:r>
        <w:t>4</w:t>
      </w:r>
      <w:r w:rsidRPr="007C0539">
        <w:t>.1 Financial Position</w:t>
      </w:r>
    </w:p>
    <w:p w:rsidR="00E835A8" w:rsidRDefault="00E835A8" w:rsidP="00E835A8">
      <w:r w:rsidRPr="002C6F4E">
        <w:t>The Trust has reported a retained deficit of £</w:t>
      </w:r>
      <w:r>
        <w:t>4</w:t>
      </w:r>
      <w:r w:rsidRPr="002C6F4E">
        <w:t>,</w:t>
      </w:r>
      <w:r>
        <w:t>456</w:t>
      </w:r>
      <w:r w:rsidRPr="002C6F4E">
        <w:t>,000 in 201</w:t>
      </w:r>
      <w:r>
        <w:t>4</w:t>
      </w:r>
      <w:r w:rsidRPr="002C6F4E">
        <w:t>/1</w:t>
      </w:r>
      <w:r>
        <w:t>5</w:t>
      </w:r>
      <w:r w:rsidRPr="002C6F4E">
        <w:t>. The retained deficit is after an impairment charge of £3</w:t>
      </w:r>
      <w:r>
        <w:t>93</w:t>
      </w:r>
      <w:r w:rsidRPr="002C6F4E">
        <w:t>,000 and the elimination of the donated assets reserve of £</w:t>
      </w:r>
      <w:r>
        <w:t>161</w:t>
      </w:r>
      <w:r w:rsidRPr="002C6F4E">
        <w:t>,000. As per the Department of Health guidance on break-even duty for NHS Trusts, the costs relating to impairments and donated assets are excluded when measuring a Trust’s break-even performance (see Note 43.1 of the Annual Accounts). Therefore taking this into account the Trust has recorded a deficit of £</w:t>
      </w:r>
      <w:r>
        <w:t>3</w:t>
      </w:r>
      <w:r w:rsidRPr="002C6F4E">
        <w:t>,</w:t>
      </w:r>
      <w:r>
        <w:t>902</w:t>
      </w:r>
      <w:r w:rsidRPr="002C6F4E">
        <w:t>,000</w:t>
      </w:r>
      <w:r>
        <w:t xml:space="preserve"> </w:t>
      </w:r>
      <w:proofErr w:type="gramStart"/>
      <w:r w:rsidRPr="002C6F4E">
        <w:t>an</w:t>
      </w:r>
      <w:proofErr w:type="gramEnd"/>
      <w:r w:rsidRPr="002C6F4E">
        <w:t xml:space="preserve"> improvement of £</w:t>
      </w:r>
      <w:r>
        <w:t>1,048</w:t>
      </w:r>
      <w:r w:rsidRPr="002C6F4E">
        <w:t>,000 when compare</w:t>
      </w:r>
      <w:r>
        <w:t>d</w:t>
      </w:r>
      <w:r w:rsidRPr="002C6F4E">
        <w:t xml:space="preserve"> to the planned deficit of £4,950,000. To get to this position savings of £</w:t>
      </w:r>
      <w:r>
        <w:t>4</w:t>
      </w:r>
      <w:r w:rsidRPr="002C6F4E">
        <w:t>,5</w:t>
      </w:r>
      <w:r>
        <w:t>04</w:t>
      </w:r>
      <w:r w:rsidRPr="002C6F4E">
        <w:t>,000 were achieved during the year</w:t>
      </w:r>
      <w:r>
        <w:t>.</w:t>
      </w:r>
    </w:p>
    <w:p w:rsidR="00E835A8" w:rsidRDefault="00E835A8" w:rsidP="00E835A8">
      <w:pPr>
        <w:rPr>
          <w:b/>
          <w:color w:val="FF0000"/>
        </w:rPr>
      </w:pPr>
    </w:p>
    <w:p w:rsidR="00E835A8" w:rsidRDefault="00E835A8" w:rsidP="00E835A8">
      <w:pPr>
        <w:rPr>
          <w:b/>
          <w:color w:val="FF0000"/>
        </w:rPr>
      </w:pPr>
      <w:r w:rsidRPr="00205D2F">
        <w:rPr>
          <w:b/>
          <w:noProof/>
          <w:color w:val="FF0000"/>
          <w:lang w:val="en-GB" w:eastAsia="en-GB"/>
        </w:rPr>
        <w:drawing>
          <wp:inline distT="0" distB="0" distL="0" distR="0">
            <wp:extent cx="6534150" cy="3962400"/>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6534150" cy="3962400"/>
                    </a:xfrm>
                    <a:prstGeom prst="rect">
                      <a:avLst/>
                    </a:prstGeom>
                    <a:noFill/>
                    <a:ln w="9525">
                      <a:noFill/>
                      <a:miter lim="800000"/>
                      <a:headEnd/>
                      <a:tailEnd/>
                    </a:ln>
                  </pic:spPr>
                </pic:pic>
              </a:graphicData>
            </a:graphic>
          </wp:inline>
        </w:drawing>
      </w:r>
    </w:p>
    <w:p w:rsidR="00E835A8" w:rsidRPr="001F0C9D" w:rsidRDefault="00E835A8" w:rsidP="00E835A8">
      <w:pPr>
        <w:rPr>
          <w:b/>
          <w:color w:val="FF0000"/>
        </w:rPr>
      </w:pPr>
    </w:p>
    <w:p w:rsidR="00E835A8" w:rsidRPr="004A62ED" w:rsidRDefault="00E835A8" w:rsidP="00E835A8">
      <w:pPr>
        <w:pStyle w:val="Heading2"/>
        <w:rPr>
          <w:b w:val="0"/>
        </w:rPr>
      </w:pPr>
      <w:r w:rsidRPr="004A62ED">
        <w:t>2.</w:t>
      </w:r>
      <w:r>
        <w:t>4</w:t>
      </w:r>
      <w:r w:rsidRPr="004A62ED">
        <w:t>.2 Financial Position 201</w:t>
      </w:r>
      <w:r>
        <w:t>5</w:t>
      </w:r>
      <w:r w:rsidRPr="004A62ED">
        <w:t>/1</w:t>
      </w:r>
      <w:r>
        <w:t>6</w:t>
      </w:r>
    </w:p>
    <w:p w:rsidR="00E835A8" w:rsidRDefault="00E835A8" w:rsidP="00E835A8">
      <w:pPr>
        <w:rPr>
          <w:rFonts w:cs="Arial"/>
        </w:rPr>
      </w:pPr>
      <w:r w:rsidRPr="009C7AF7">
        <w:rPr>
          <w:rFonts w:cs="Arial"/>
        </w:rPr>
        <w:t>The Trust is planning to deliver a deficit of £</w:t>
      </w:r>
      <w:r>
        <w:rPr>
          <w:rFonts w:cs="Arial"/>
        </w:rPr>
        <w:t>7</w:t>
      </w:r>
      <w:r w:rsidRPr="009C7AF7">
        <w:rPr>
          <w:rFonts w:cs="Arial"/>
        </w:rPr>
        <w:t>,950,000 in 201</w:t>
      </w:r>
      <w:r>
        <w:rPr>
          <w:rFonts w:cs="Arial"/>
        </w:rPr>
        <w:t>5</w:t>
      </w:r>
      <w:r w:rsidRPr="009C7AF7">
        <w:rPr>
          <w:rFonts w:cs="Arial"/>
        </w:rPr>
        <w:t>/1</w:t>
      </w:r>
      <w:r>
        <w:rPr>
          <w:rFonts w:cs="Arial"/>
        </w:rPr>
        <w:t>6</w:t>
      </w:r>
      <w:r w:rsidRPr="009C7AF7">
        <w:rPr>
          <w:rFonts w:cs="Arial"/>
        </w:rPr>
        <w:t>.</w:t>
      </w:r>
    </w:p>
    <w:p w:rsidR="00E835A8" w:rsidRPr="009C7AF7" w:rsidRDefault="00E835A8" w:rsidP="00E835A8">
      <w:pPr>
        <w:rPr>
          <w:rFonts w:cs="Arial"/>
        </w:rPr>
      </w:pPr>
    </w:p>
    <w:p w:rsidR="00E835A8" w:rsidRPr="003C5392" w:rsidRDefault="00E835A8" w:rsidP="00E835A8">
      <w:pPr>
        <w:pStyle w:val="Heading2"/>
        <w:rPr>
          <w:b w:val="0"/>
        </w:rPr>
      </w:pPr>
      <w:r w:rsidRPr="004A62ED">
        <w:lastRenderedPageBreak/>
        <w:t>2.</w:t>
      </w:r>
      <w:r>
        <w:t>4</w:t>
      </w:r>
      <w:r w:rsidRPr="004A62ED">
        <w:t>.3 Financial Recovery</w:t>
      </w:r>
    </w:p>
    <w:p w:rsidR="00E835A8" w:rsidRPr="00C26A2F" w:rsidRDefault="00E835A8" w:rsidP="00E835A8">
      <w:pPr>
        <w:rPr>
          <w:rFonts w:cs="Arial"/>
        </w:rPr>
      </w:pPr>
      <w:r w:rsidRPr="009C7AF7">
        <w:rPr>
          <w:rFonts w:cs="Arial"/>
        </w:rPr>
        <w:t>A budget for 201</w:t>
      </w:r>
      <w:r>
        <w:rPr>
          <w:rFonts w:cs="Arial"/>
        </w:rPr>
        <w:t>5</w:t>
      </w:r>
      <w:r w:rsidRPr="009C7AF7">
        <w:rPr>
          <w:rFonts w:cs="Arial"/>
        </w:rPr>
        <w:t>/1</w:t>
      </w:r>
      <w:r>
        <w:rPr>
          <w:rFonts w:cs="Arial"/>
        </w:rPr>
        <w:t>6</w:t>
      </w:r>
      <w:r w:rsidRPr="009C7AF7">
        <w:rPr>
          <w:rFonts w:cs="Arial"/>
        </w:rPr>
        <w:t xml:space="preserve"> has been approved by the Trust Board and includes details of risks and clear assumptions. Further significant savings of £</w:t>
      </w:r>
      <w:r>
        <w:rPr>
          <w:rFonts w:cs="Arial"/>
        </w:rPr>
        <w:t>3</w:t>
      </w:r>
      <w:r w:rsidRPr="009C7AF7">
        <w:rPr>
          <w:rFonts w:cs="Arial"/>
        </w:rPr>
        <w:t>,</w:t>
      </w:r>
      <w:r>
        <w:rPr>
          <w:rFonts w:cs="Arial"/>
        </w:rPr>
        <w:t>7</w:t>
      </w:r>
      <w:r w:rsidRPr="009C7AF7">
        <w:rPr>
          <w:rFonts w:cs="Arial"/>
        </w:rPr>
        <w:t>50,000 are planned to be delivered in 201</w:t>
      </w:r>
      <w:r>
        <w:rPr>
          <w:rFonts w:cs="Arial"/>
        </w:rPr>
        <w:t>5</w:t>
      </w:r>
      <w:r w:rsidRPr="009C7AF7">
        <w:rPr>
          <w:rFonts w:cs="Arial"/>
        </w:rPr>
        <w:t>/1</w:t>
      </w:r>
      <w:r>
        <w:rPr>
          <w:rFonts w:cs="Arial"/>
        </w:rPr>
        <w:t>6</w:t>
      </w:r>
      <w:r w:rsidRPr="009C7AF7">
        <w:rPr>
          <w:rFonts w:cs="Arial"/>
        </w:rPr>
        <w:t xml:space="preserve">.  These plans are </w:t>
      </w:r>
      <w:r>
        <w:rPr>
          <w:rFonts w:cs="Arial"/>
        </w:rPr>
        <w:t>identified</w:t>
      </w:r>
      <w:r w:rsidRPr="009C7AF7">
        <w:rPr>
          <w:rFonts w:cs="Arial"/>
        </w:rPr>
        <w:t xml:space="preserve"> and will be closely monitored and reported through the Executive Review of </w:t>
      </w:r>
      <w:r>
        <w:rPr>
          <w:rFonts w:cs="Arial"/>
        </w:rPr>
        <w:t>Business</w:t>
      </w:r>
      <w:r w:rsidRPr="00C26A2F">
        <w:rPr>
          <w:rFonts w:cs="Arial"/>
        </w:rPr>
        <w:t xml:space="preserve"> Plan</w:t>
      </w:r>
      <w:r>
        <w:rPr>
          <w:rFonts w:cs="Arial"/>
        </w:rPr>
        <w:t>ning Delivery Group</w:t>
      </w:r>
      <w:r w:rsidRPr="00C26A2F">
        <w:rPr>
          <w:rFonts w:cs="Arial"/>
        </w:rPr>
        <w:t xml:space="preserve"> meetings which will </w:t>
      </w:r>
      <w:r>
        <w:rPr>
          <w:rFonts w:cs="Arial"/>
        </w:rPr>
        <w:t xml:space="preserve">include a </w:t>
      </w:r>
      <w:r w:rsidRPr="00C26A2F">
        <w:rPr>
          <w:rFonts w:cs="Arial"/>
        </w:rPr>
        <w:t xml:space="preserve">focus on all aspects the savings plans. </w:t>
      </w:r>
    </w:p>
    <w:p w:rsidR="00E835A8" w:rsidRPr="007B7A61" w:rsidRDefault="00E835A8" w:rsidP="00E835A8">
      <w:pPr>
        <w:rPr>
          <w:b/>
          <w:color w:val="FF0000"/>
        </w:rPr>
      </w:pPr>
    </w:p>
    <w:p w:rsidR="00E835A8" w:rsidRDefault="00E835A8" w:rsidP="00E835A8">
      <w:pPr>
        <w:rPr>
          <w:rFonts w:cs="Arial"/>
          <w:color w:val="FF0000"/>
        </w:rPr>
      </w:pPr>
      <w:r w:rsidRPr="00205D2F">
        <w:rPr>
          <w:rFonts w:cs="Arial"/>
          <w:noProof/>
          <w:color w:val="FF0000"/>
          <w:lang w:val="en-GB" w:eastAsia="en-GB"/>
        </w:rPr>
        <w:drawing>
          <wp:inline distT="0" distB="0" distL="0" distR="0">
            <wp:extent cx="5372100" cy="2924175"/>
            <wp:effectExtent l="1905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srcRect/>
                    <a:stretch>
                      <a:fillRect/>
                    </a:stretch>
                  </pic:blipFill>
                  <pic:spPr bwMode="auto">
                    <a:xfrm>
                      <a:off x="0" y="0"/>
                      <a:ext cx="5372100" cy="2924175"/>
                    </a:xfrm>
                    <a:prstGeom prst="rect">
                      <a:avLst/>
                    </a:prstGeom>
                    <a:noFill/>
                    <a:ln w="9525">
                      <a:noFill/>
                      <a:miter lim="800000"/>
                      <a:headEnd/>
                      <a:tailEnd/>
                    </a:ln>
                  </pic:spPr>
                </pic:pic>
              </a:graphicData>
            </a:graphic>
          </wp:inline>
        </w:drawing>
      </w:r>
    </w:p>
    <w:p w:rsidR="00E835A8" w:rsidRDefault="00E835A8" w:rsidP="00E835A8">
      <w:pPr>
        <w:rPr>
          <w:rFonts w:cs="Arial"/>
          <w:color w:val="FF0000"/>
        </w:rPr>
      </w:pPr>
    </w:p>
    <w:p w:rsidR="00E835A8" w:rsidRPr="0023299F" w:rsidRDefault="00E835A8" w:rsidP="00E835A8">
      <w:pPr>
        <w:rPr>
          <w:rFonts w:cs="Arial"/>
          <w:color w:val="FF0000"/>
        </w:rPr>
      </w:pPr>
    </w:p>
    <w:p w:rsidR="00E835A8" w:rsidRPr="004A62ED" w:rsidRDefault="00E835A8" w:rsidP="00E835A8">
      <w:pPr>
        <w:pStyle w:val="Heading2"/>
        <w:rPr>
          <w:b w:val="0"/>
        </w:rPr>
      </w:pPr>
      <w:r w:rsidRPr="004A62ED">
        <w:t>2.</w:t>
      </w:r>
      <w:r>
        <w:t>4</w:t>
      </w:r>
      <w:r w:rsidRPr="004A62ED">
        <w:t>.4 Accounting Policies</w:t>
      </w:r>
    </w:p>
    <w:p w:rsidR="00E835A8" w:rsidRPr="001F0C9D" w:rsidRDefault="00E835A8" w:rsidP="00E835A8">
      <w:pPr>
        <w:rPr>
          <w:b/>
          <w:color w:val="FF0000"/>
        </w:rPr>
      </w:pPr>
    </w:p>
    <w:p w:rsidR="00E835A8" w:rsidRPr="009C7AF7" w:rsidRDefault="00E835A8" w:rsidP="00E835A8">
      <w:pPr>
        <w:rPr>
          <w:rFonts w:cs="Arial"/>
        </w:rPr>
      </w:pPr>
      <w:r w:rsidRPr="009C7AF7">
        <w:rPr>
          <w:rFonts w:cs="Arial"/>
        </w:rPr>
        <w:t xml:space="preserve">These set out the accounting rules that all NHS trusts are required to follow. They explain the basis on which all entries in the accounts are made. The policies are largely dictated by the Department of Health’s Manual </w:t>
      </w:r>
      <w:proofErr w:type="gramStart"/>
      <w:r w:rsidRPr="009C7AF7">
        <w:rPr>
          <w:rFonts w:cs="Arial"/>
        </w:rPr>
        <w:t>For</w:t>
      </w:r>
      <w:proofErr w:type="gramEnd"/>
      <w:r w:rsidRPr="009C7AF7">
        <w:rPr>
          <w:rFonts w:cs="Arial"/>
        </w:rPr>
        <w:t xml:space="preserve"> Accounts, although the Trust is able to tailor the policies as it sees fit. One of the main requirements is for the accounts to be reported on an accruals basis, which means that income and expenditure are recorded in the year they arise, regardless of when the cash is transferred. These accounting policies follow International Financial Reporting Standards (IFRS) and HM Treasury’s Resource Accounting Manual to the extent that they are meaningful and appropriate to the NHS. The accounting policies have been applied consistently in dealing with items considered material in relation to the accounts.</w:t>
      </w:r>
    </w:p>
    <w:p w:rsidR="00E835A8" w:rsidRPr="00E835A8" w:rsidRDefault="00E835A8" w:rsidP="00E835A8"/>
    <w:p w:rsidR="00AB14E1" w:rsidRDefault="00F93ABB" w:rsidP="00CA0579">
      <w:pPr>
        <w:pBdr>
          <w:bottom w:val="single" w:sz="4" w:space="1" w:color="auto"/>
        </w:pBdr>
        <w:jc w:val="left"/>
      </w:pPr>
      <w:bookmarkStart w:id="47" w:name="_Toc325024779"/>
      <w:bookmarkStart w:id="48" w:name="_Toc326061982"/>
      <w:bookmarkEnd w:id="43"/>
      <w:bookmarkEnd w:id="44"/>
      <w:bookmarkEnd w:id="45"/>
      <w:bookmarkEnd w:id="46"/>
      <w:r>
        <w:br w:type="page"/>
      </w:r>
    </w:p>
    <w:p w:rsidR="00AB14E1" w:rsidRPr="00B025E3" w:rsidRDefault="00AB14E1" w:rsidP="00AB14E1">
      <w:pPr>
        <w:pBdr>
          <w:bottom w:val="single" w:sz="4" w:space="1" w:color="auto"/>
        </w:pBdr>
        <w:jc w:val="left"/>
        <w:rPr>
          <w:b/>
          <w:color w:val="1F497D"/>
          <w:sz w:val="24"/>
          <w:szCs w:val="24"/>
        </w:rPr>
      </w:pPr>
      <w:r w:rsidRPr="00B025E3">
        <w:rPr>
          <w:b/>
          <w:color w:val="1F497D"/>
          <w:sz w:val="24"/>
          <w:szCs w:val="24"/>
        </w:rPr>
        <w:lastRenderedPageBreak/>
        <w:t>2.5 Emergency Preparedness</w:t>
      </w:r>
    </w:p>
    <w:p w:rsidR="00AB14E1" w:rsidRPr="00B025E3" w:rsidRDefault="00AB14E1" w:rsidP="00AB14E1">
      <w:pPr>
        <w:ind w:left="432" w:hanging="432"/>
        <w:rPr>
          <w:rFonts w:cs="Arial"/>
          <w:u w:val="single"/>
        </w:rPr>
      </w:pPr>
    </w:p>
    <w:p w:rsidR="00AB14E1" w:rsidRPr="00B025E3" w:rsidRDefault="00AB14E1" w:rsidP="00AB14E1">
      <w:pPr>
        <w:rPr>
          <w:rFonts w:cs="Arial"/>
        </w:rPr>
      </w:pPr>
      <w:r w:rsidRPr="00B025E3">
        <w:rPr>
          <w:rFonts w:cs="Arial"/>
        </w:rPr>
        <w:t>The Civil Contingencies Act 2004 places a clear statutory duty on NHS Trusts as Category 1 responders to develop appropriate plans to manage Major Incidents and to cooperate with other responders at all stages of the emergency planning process.</w:t>
      </w:r>
    </w:p>
    <w:p w:rsidR="00AB14E1" w:rsidRPr="00B025E3" w:rsidRDefault="00AB14E1" w:rsidP="00AB14E1">
      <w:pPr>
        <w:rPr>
          <w:rFonts w:cs="Arial"/>
        </w:rPr>
      </w:pPr>
    </w:p>
    <w:p w:rsidR="00AB14E1" w:rsidRPr="00B025E3" w:rsidRDefault="00AB14E1" w:rsidP="00AB14E1">
      <w:r w:rsidRPr="00B025E3">
        <w:t>Weston Area Health NHS Trust recognises its duties and responsibilities as a Category 1 responder under the Civil Contingencies Act (2004). In addition its responsibility for ensuring it meets the legal requirements and care standards for Emergency Preparedness Resilience and Response (EPRR) and business continuity as detailed in the NHS Commissioning Board EPRR and Business Continuity Management Frameworks.</w:t>
      </w:r>
    </w:p>
    <w:p w:rsidR="00AB14E1" w:rsidRPr="00B025E3" w:rsidRDefault="00AB14E1" w:rsidP="00AB14E1">
      <w:pPr>
        <w:rPr>
          <w:rFonts w:cs="Arial"/>
        </w:rPr>
      </w:pPr>
    </w:p>
    <w:p w:rsidR="00AB14E1" w:rsidRPr="00B025E3" w:rsidRDefault="00AB14E1" w:rsidP="00AB14E1">
      <w:pPr>
        <w:rPr>
          <w:rFonts w:cs="Arial"/>
          <w:b/>
        </w:rPr>
      </w:pPr>
      <w:r w:rsidRPr="00B025E3">
        <w:rPr>
          <w:rFonts w:cs="Arial"/>
          <w:b/>
        </w:rPr>
        <w:t>Preparedness</w:t>
      </w:r>
    </w:p>
    <w:p w:rsidR="00AB14E1" w:rsidRPr="00B025E3" w:rsidRDefault="00AB14E1" w:rsidP="00CA6887">
      <w:pPr>
        <w:pStyle w:val="ListParagraph"/>
        <w:numPr>
          <w:ilvl w:val="0"/>
          <w:numId w:val="23"/>
        </w:numPr>
        <w:rPr>
          <w:rFonts w:cs="Arial"/>
        </w:rPr>
      </w:pPr>
      <w:r w:rsidRPr="00B025E3">
        <w:rPr>
          <w:rFonts w:cs="Arial"/>
        </w:rPr>
        <w:t xml:space="preserve">The new structures include the formation of health subgroup of the Local Resilience Forum, the Local Health Resilience Partnership which has as </w:t>
      </w:r>
      <w:proofErr w:type="spellStart"/>
      <w:proofErr w:type="gramStart"/>
      <w:r w:rsidRPr="00B025E3">
        <w:rPr>
          <w:rFonts w:cs="Arial"/>
        </w:rPr>
        <w:t>it’s</w:t>
      </w:r>
      <w:proofErr w:type="spellEnd"/>
      <w:proofErr w:type="gramEnd"/>
      <w:r w:rsidRPr="00B025E3">
        <w:rPr>
          <w:rFonts w:cs="Arial"/>
        </w:rPr>
        <w:t xml:space="preserve"> focus a planning remit.  The Director of Operations is the Trust representative on the Strategic LHRP group, and the Emergency Planning Lead is the representative on the Tactical Planning Group. The latter has produced a work programme based on the risks within the Community Risk Register.</w:t>
      </w:r>
    </w:p>
    <w:p w:rsidR="00AB14E1" w:rsidRPr="00B025E3" w:rsidRDefault="00AB14E1" w:rsidP="00CA6887">
      <w:pPr>
        <w:pStyle w:val="ListParagraph"/>
        <w:numPr>
          <w:ilvl w:val="0"/>
          <w:numId w:val="23"/>
        </w:numPr>
        <w:rPr>
          <w:rFonts w:cs="Arial"/>
        </w:rPr>
      </w:pPr>
      <w:r w:rsidRPr="00B025E3">
        <w:rPr>
          <w:rFonts w:cs="Arial"/>
        </w:rPr>
        <w:t>The Trust Severe Weather Plan was ratified</w:t>
      </w:r>
      <w:r w:rsidR="00254B62">
        <w:rPr>
          <w:rFonts w:cs="Arial"/>
        </w:rPr>
        <w:t>.</w:t>
      </w:r>
    </w:p>
    <w:p w:rsidR="00AB14E1" w:rsidRPr="00B025E3" w:rsidRDefault="00AB14E1" w:rsidP="00AB14E1">
      <w:pPr>
        <w:ind w:left="360"/>
        <w:rPr>
          <w:rFonts w:cs="Arial"/>
        </w:rPr>
      </w:pPr>
    </w:p>
    <w:p w:rsidR="00AB14E1" w:rsidRPr="00B025E3" w:rsidRDefault="00AB14E1" w:rsidP="00AB14E1">
      <w:pPr>
        <w:rPr>
          <w:rFonts w:cs="Arial"/>
          <w:b/>
        </w:rPr>
      </w:pPr>
      <w:r w:rsidRPr="00B025E3">
        <w:rPr>
          <w:rFonts w:cs="Arial"/>
          <w:b/>
        </w:rPr>
        <w:t>Response</w:t>
      </w:r>
    </w:p>
    <w:p w:rsidR="00AB14E1" w:rsidRPr="00B025E3" w:rsidRDefault="00AB14E1" w:rsidP="00CA6887">
      <w:pPr>
        <w:pStyle w:val="ListParagraph"/>
        <w:numPr>
          <w:ilvl w:val="0"/>
          <w:numId w:val="24"/>
        </w:numPr>
        <w:rPr>
          <w:rFonts w:cs="Arial"/>
        </w:rPr>
      </w:pPr>
      <w:r w:rsidRPr="00B025E3">
        <w:rPr>
          <w:rFonts w:cs="Arial"/>
        </w:rPr>
        <w:t xml:space="preserve">A Trust-wide Winter Plan 2014/15 was developed and implemented from November </w:t>
      </w:r>
      <w:proofErr w:type="gramStart"/>
      <w:r w:rsidRPr="00B025E3">
        <w:rPr>
          <w:rFonts w:cs="Arial"/>
        </w:rPr>
        <w:t>2014,</w:t>
      </w:r>
      <w:proofErr w:type="gramEnd"/>
      <w:r w:rsidRPr="00B025E3">
        <w:rPr>
          <w:rFonts w:cs="Arial"/>
        </w:rPr>
        <w:t xml:space="preserve"> this included additional bed and staff capacity to respond to surges in activity.</w:t>
      </w:r>
    </w:p>
    <w:p w:rsidR="00AB14E1" w:rsidRPr="00B025E3" w:rsidRDefault="00AB14E1" w:rsidP="00CA6887">
      <w:pPr>
        <w:pStyle w:val="ListParagraph"/>
        <w:numPr>
          <w:ilvl w:val="0"/>
          <w:numId w:val="24"/>
        </w:numPr>
        <w:rPr>
          <w:rFonts w:cs="Arial"/>
        </w:rPr>
      </w:pPr>
      <w:r w:rsidRPr="00B025E3">
        <w:rPr>
          <w:rFonts w:cs="Arial"/>
        </w:rPr>
        <w:t xml:space="preserve">The Radiology department activated their Business Continuity plan for the planned loss of the CT </w:t>
      </w:r>
      <w:proofErr w:type="gramStart"/>
      <w:r w:rsidRPr="00B025E3">
        <w:rPr>
          <w:rFonts w:cs="Arial"/>
        </w:rPr>
        <w:t>Scanner</w:t>
      </w:r>
      <w:proofErr w:type="gramEnd"/>
      <w:r w:rsidRPr="00B025E3">
        <w:rPr>
          <w:rFonts w:cs="Arial"/>
        </w:rPr>
        <w:t xml:space="preserve"> which had its regular maintenance. The disruptive event went as planned with individual teams taking appropriate actions. There were learning points which have been acted upon as highlighted in the Business Continuity Standard IS023301.</w:t>
      </w:r>
    </w:p>
    <w:p w:rsidR="00AB14E1" w:rsidRPr="00B025E3" w:rsidRDefault="00AB14E1" w:rsidP="00AB14E1">
      <w:pPr>
        <w:rPr>
          <w:rFonts w:cs="Arial"/>
        </w:rPr>
      </w:pPr>
    </w:p>
    <w:p w:rsidR="00AB14E1" w:rsidRPr="00B025E3" w:rsidRDefault="00AB14E1" w:rsidP="00AB14E1">
      <w:pPr>
        <w:rPr>
          <w:rFonts w:cs="Arial"/>
          <w:b/>
        </w:rPr>
      </w:pPr>
      <w:r w:rsidRPr="00B025E3">
        <w:rPr>
          <w:rFonts w:cs="Arial"/>
          <w:b/>
        </w:rPr>
        <w:t>Training</w:t>
      </w:r>
    </w:p>
    <w:p w:rsidR="00AB14E1" w:rsidRPr="00B025E3" w:rsidRDefault="00AB14E1" w:rsidP="00AB14E1">
      <w:pPr>
        <w:rPr>
          <w:rFonts w:cs="Arial"/>
        </w:rPr>
      </w:pPr>
      <w:r w:rsidRPr="00B025E3">
        <w:rPr>
          <w:rFonts w:cs="Arial"/>
        </w:rPr>
        <w:t>A range of training activities have been undertaken in 2014/15 and these have included the following:</w:t>
      </w:r>
    </w:p>
    <w:p w:rsidR="00AB14E1" w:rsidRPr="00B025E3" w:rsidRDefault="00AB14E1" w:rsidP="00AB14E1">
      <w:pPr>
        <w:rPr>
          <w:rFonts w:cs="Arial"/>
        </w:rPr>
      </w:pPr>
    </w:p>
    <w:p w:rsidR="00AB14E1" w:rsidRPr="00B025E3" w:rsidRDefault="00AB14E1" w:rsidP="00CA6887">
      <w:pPr>
        <w:pStyle w:val="ListParagraph"/>
        <w:numPr>
          <w:ilvl w:val="0"/>
          <w:numId w:val="25"/>
        </w:numPr>
        <w:jc w:val="left"/>
        <w:rPr>
          <w:rFonts w:cs="Arial"/>
        </w:rPr>
      </w:pPr>
      <w:r w:rsidRPr="00B025E3">
        <w:rPr>
          <w:rFonts w:cs="Arial"/>
        </w:rPr>
        <w:t>Strategic Leadership in a Crisis</w:t>
      </w:r>
    </w:p>
    <w:p w:rsidR="00AB14E1" w:rsidRPr="00B025E3" w:rsidRDefault="00AB14E1" w:rsidP="00CA6887">
      <w:pPr>
        <w:pStyle w:val="ListParagraph"/>
        <w:numPr>
          <w:ilvl w:val="0"/>
          <w:numId w:val="25"/>
        </w:numPr>
        <w:jc w:val="left"/>
        <w:rPr>
          <w:rFonts w:cs="Arial"/>
        </w:rPr>
      </w:pPr>
      <w:r w:rsidRPr="00B025E3">
        <w:rPr>
          <w:rFonts w:cs="Arial"/>
        </w:rPr>
        <w:t>Surviving Public Enquiries</w:t>
      </w:r>
    </w:p>
    <w:p w:rsidR="00AB14E1" w:rsidRPr="00B025E3" w:rsidRDefault="00AB14E1" w:rsidP="00CA6887">
      <w:pPr>
        <w:pStyle w:val="ListParagraph"/>
        <w:numPr>
          <w:ilvl w:val="0"/>
          <w:numId w:val="25"/>
        </w:numPr>
        <w:jc w:val="left"/>
        <w:rPr>
          <w:rFonts w:cs="Arial"/>
        </w:rPr>
      </w:pPr>
      <w:proofErr w:type="spellStart"/>
      <w:r w:rsidRPr="00B025E3">
        <w:rPr>
          <w:rFonts w:cs="Arial"/>
        </w:rPr>
        <w:t>Loggist</w:t>
      </w:r>
      <w:proofErr w:type="spellEnd"/>
      <w:r w:rsidRPr="00B025E3">
        <w:rPr>
          <w:rFonts w:cs="Arial"/>
        </w:rPr>
        <w:t xml:space="preserve"> Training</w:t>
      </w:r>
    </w:p>
    <w:p w:rsidR="00AB14E1" w:rsidRPr="00B025E3" w:rsidRDefault="00AB14E1" w:rsidP="00CA6887">
      <w:pPr>
        <w:pStyle w:val="ListParagraph"/>
        <w:numPr>
          <w:ilvl w:val="0"/>
          <w:numId w:val="25"/>
        </w:numPr>
        <w:jc w:val="left"/>
        <w:rPr>
          <w:rFonts w:cs="Arial"/>
        </w:rPr>
      </w:pPr>
      <w:r w:rsidRPr="00B025E3">
        <w:rPr>
          <w:rFonts w:cs="Arial"/>
        </w:rPr>
        <w:t xml:space="preserve">Business Continuity Planning  Workshops </w:t>
      </w:r>
    </w:p>
    <w:p w:rsidR="00AB14E1" w:rsidRPr="00B025E3" w:rsidRDefault="00AB14E1" w:rsidP="00CA6887">
      <w:pPr>
        <w:pStyle w:val="ListParagraph"/>
        <w:numPr>
          <w:ilvl w:val="0"/>
          <w:numId w:val="25"/>
        </w:numPr>
        <w:jc w:val="left"/>
        <w:rPr>
          <w:rFonts w:cs="Arial"/>
        </w:rPr>
      </w:pPr>
      <w:r w:rsidRPr="00B025E3">
        <w:rPr>
          <w:rFonts w:cs="Arial"/>
        </w:rPr>
        <w:t>Major Incident awareness now features in all Trust induction for new staff</w:t>
      </w:r>
    </w:p>
    <w:p w:rsidR="00AB14E1" w:rsidRPr="00B025E3" w:rsidRDefault="00AB14E1" w:rsidP="00CA6887">
      <w:pPr>
        <w:pStyle w:val="ListParagraph"/>
        <w:numPr>
          <w:ilvl w:val="0"/>
          <w:numId w:val="25"/>
        </w:numPr>
        <w:jc w:val="left"/>
        <w:rPr>
          <w:rFonts w:cs="Arial"/>
        </w:rPr>
      </w:pPr>
      <w:r w:rsidRPr="00B025E3">
        <w:rPr>
          <w:rFonts w:cs="Arial"/>
        </w:rPr>
        <w:t>Setting up the Incident Control Room training for On Call Managers</w:t>
      </w:r>
    </w:p>
    <w:p w:rsidR="00AB14E1" w:rsidRPr="00B025E3" w:rsidRDefault="00AB14E1" w:rsidP="00CA6887">
      <w:pPr>
        <w:pStyle w:val="ListParagraph"/>
        <w:numPr>
          <w:ilvl w:val="0"/>
          <w:numId w:val="25"/>
        </w:numPr>
        <w:jc w:val="left"/>
        <w:rPr>
          <w:rFonts w:cs="Arial"/>
        </w:rPr>
      </w:pPr>
      <w:r w:rsidRPr="00B025E3">
        <w:rPr>
          <w:rFonts w:cs="Arial"/>
        </w:rPr>
        <w:t>EVD (</w:t>
      </w:r>
      <w:r w:rsidR="00254B62" w:rsidRPr="00B025E3">
        <w:rPr>
          <w:rFonts w:cs="Arial"/>
        </w:rPr>
        <w:t>Ebola</w:t>
      </w:r>
      <w:r w:rsidRPr="00B025E3">
        <w:rPr>
          <w:rFonts w:cs="Arial"/>
        </w:rPr>
        <w:t>) response training and exercise</w:t>
      </w:r>
    </w:p>
    <w:p w:rsidR="00AB14E1" w:rsidRPr="00B025E3" w:rsidRDefault="00AB14E1" w:rsidP="00CA6887">
      <w:pPr>
        <w:pStyle w:val="ListParagraph"/>
        <w:numPr>
          <w:ilvl w:val="0"/>
          <w:numId w:val="25"/>
        </w:numPr>
        <w:jc w:val="left"/>
        <w:rPr>
          <w:rFonts w:cs="Arial"/>
        </w:rPr>
      </w:pPr>
      <w:r w:rsidRPr="00B025E3">
        <w:rPr>
          <w:rFonts w:cs="Arial"/>
        </w:rPr>
        <w:t>CBRN Train the Trainer</w:t>
      </w:r>
    </w:p>
    <w:p w:rsidR="00AB14E1" w:rsidRDefault="00AB14E1" w:rsidP="00AB14E1">
      <w:pPr>
        <w:pBdr>
          <w:bottom w:val="single" w:sz="4" w:space="1" w:color="auto"/>
        </w:pBdr>
        <w:jc w:val="left"/>
      </w:pPr>
      <w:r>
        <w:br w:type="page"/>
      </w:r>
    </w:p>
    <w:p w:rsidR="00262D0F" w:rsidRDefault="00262D0F" w:rsidP="00CA0579">
      <w:pPr>
        <w:pBdr>
          <w:bottom w:val="single" w:sz="4" w:space="1" w:color="auto"/>
        </w:pBdr>
        <w:jc w:val="left"/>
        <w:rPr>
          <w:b/>
          <w:color w:val="1F497D"/>
          <w:sz w:val="24"/>
          <w:szCs w:val="24"/>
        </w:rPr>
      </w:pPr>
      <w:bookmarkStart w:id="49" w:name="_Toc293583994"/>
      <w:bookmarkStart w:id="50" w:name="_Toc325024780"/>
      <w:bookmarkStart w:id="51" w:name="_Toc326061983"/>
      <w:bookmarkEnd w:id="47"/>
      <w:bookmarkEnd w:id="48"/>
    </w:p>
    <w:p w:rsidR="00262D0F" w:rsidRPr="00BB5A9C" w:rsidRDefault="00262D0F" w:rsidP="00262D0F">
      <w:pPr>
        <w:pBdr>
          <w:bottom w:val="single" w:sz="4" w:space="1" w:color="auto"/>
        </w:pBdr>
        <w:jc w:val="left"/>
        <w:rPr>
          <w:b/>
          <w:color w:val="1F497D"/>
          <w:sz w:val="24"/>
          <w:szCs w:val="24"/>
        </w:rPr>
      </w:pPr>
      <w:r w:rsidRPr="00CA0579">
        <w:rPr>
          <w:b/>
          <w:color w:val="1F497D"/>
          <w:sz w:val="24"/>
          <w:szCs w:val="24"/>
        </w:rPr>
        <w:t>2.</w:t>
      </w:r>
      <w:r>
        <w:rPr>
          <w:b/>
          <w:color w:val="1F497D"/>
          <w:sz w:val="24"/>
          <w:szCs w:val="24"/>
        </w:rPr>
        <w:t>6</w:t>
      </w:r>
      <w:r w:rsidRPr="00CA0579">
        <w:rPr>
          <w:b/>
          <w:color w:val="1F497D"/>
          <w:sz w:val="24"/>
          <w:szCs w:val="24"/>
        </w:rPr>
        <w:t xml:space="preserve"> The Trust and the Environmen</w:t>
      </w:r>
      <w:r>
        <w:rPr>
          <w:b/>
          <w:color w:val="1F497D"/>
          <w:sz w:val="24"/>
          <w:szCs w:val="24"/>
        </w:rPr>
        <w:t>t</w:t>
      </w:r>
    </w:p>
    <w:p w:rsidR="00262D0F" w:rsidRDefault="00262D0F" w:rsidP="00262D0F">
      <w:pPr>
        <w:rPr>
          <w:b/>
          <w:color w:val="FF0000"/>
        </w:rPr>
      </w:pPr>
    </w:p>
    <w:p w:rsidR="00262D0F" w:rsidRPr="001573AE" w:rsidRDefault="00262D0F" w:rsidP="00262D0F">
      <w:pPr>
        <w:pStyle w:val="Heading2"/>
      </w:pPr>
      <w:r>
        <w:t>2.6.1 Environmental P</w:t>
      </w:r>
      <w:r w:rsidRPr="001573AE">
        <w:t>olicy</w:t>
      </w:r>
    </w:p>
    <w:p w:rsidR="00262D0F" w:rsidRPr="009C7AF7" w:rsidRDefault="00262D0F" w:rsidP="00262D0F">
      <w:pPr>
        <w:rPr>
          <w:rFonts w:cs="Arial"/>
        </w:rPr>
      </w:pPr>
      <w:r w:rsidRPr="009C7AF7">
        <w:rPr>
          <w:rFonts w:cs="Arial"/>
        </w:rPr>
        <w:t>The Trust recognises its environmental and social responsibilities. It also acknowledges the impact its activities may have on the environment. The Board-approved Sustainable Development Management Plan sets out Trust strategy for improving its performance in key areas, including:</w:t>
      </w:r>
    </w:p>
    <w:p w:rsidR="00262D0F" w:rsidRPr="009C7AF7" w:rsidRDefault="00262D0F" w:rsidP="00262D0F">
      <w:pPr>
        <w:ind w:left="-540"/>
        <w:rPr>
          <w:rFonts w:cs="Arial"/>
        </w:rPr>
      </w:pPr>
    </w:p>
    <w:p w:rsidR="00262D0F" w:rsidRPr="009C7AF7" w:rsidRDefault="00262D0F" w:rsidP="00262D0F">
      <w:pPr>
        <w:numPr>
          <w:ilvl w:val="0"/>
          <w:numId w:val="2"/>
        </w:numPr>
        <w:tabs>
          <w:tab w:val="clear" w:pos="180"/>
          <w:tab w:val="num" w:pos="720"/>
        </w:tabs>
        <w:ind w:left="720"/>
        <w:rPr>
          <w:rFonts w:cs="Arial"/>
        </w:rPr>
      </w:pPr>
      <w:r w:rsidRPr="009C7AF7">
        <w:rPr>
          <w:rFonts w:cs="Arial"/>
        </w:rPr>
        <w:t>Energy procurement and use.</w:t>
      </w:r>
    </w:p>
    <w:p w:rsidR="00262D0F" w:rsidRPr="009C7AF7" w:rsidRDefault="00262D0F" w:rsidP="00262D0F">
      <w:pPr>
        <w:numPr>
          <w:ilvl w:val="0"/>
          <w:numId w:val="2"/>
        </w:numPr>
        <w:tabs>
          <w:tab w:val="clear" w:pos="180"/>
          <w:tab w:val="num" w:pos="720"/>
        </w:tabs>
        <w:spacing w:before="120"/>
        <w:ind w:left="714" w:hanging="357"/>
        <w:rPr>
          <w:rFonts w:cs="Arial"/>
        </w:rPr>
      </w:pPr>
      <w:r w:rsidRPr="009C7AF7">
        <w:rPr>
          <w:rFonts w:cs="Arial"/>
        </w:rPr>
        <w:t>Waste production and disposal.</w:t>
      </w:r>
    </w:p>
    <w:p w:rsidR="00262D0F" w:rsidRPr="009C7AF7" w:rsidRDefault="00262D0F" w:rsidP="00262D0F">
      <w:pPr>
        <w:numPr>
          <w:ilvl w:val="0"/>
          <w:numId w:val="2"/>
        </w:numPr>
        <w:tabs>
          <w:tab w:val="clear" w:pos="180"/>
          <w:tab w:val="num" w:pos="720"/>
        </w:tabs>
        <w:spacing w:before="120"/>
        <w:ind w:left="714" w:hanging="357"/>
        <w:rPr>
          <w:rFonts w:cs="Arial"/>
        </w:rPr>
      </w:pPr>
      <w:r w:rsidRPr="009C7AF7">
        <w:rPr>
          <w:rFonts w:cs="Arial"/>
        </w:rPr>
        <w:t>Transport and car parking.</w:t>
      </w:r>
    </w:p>
    <w:p w:rsidR="00262D0F" w:rsidRPr="009C7AF7" w:rsidRDefault="00262D0F" w:rsidP="00262D0F">
      <w:pPr>
        <w:numPr>
          <w:ilvl w:val="0"/>
          <w:numId w:val="2"/>
        </w:numPr>
        <w:tabs>
          <w:tab w:val="clear" w:pos="180"/>
          <w:tab w:val="num" w:pos="720"/>
        </w:tabs>
        <w:spacing w:before="120"/>
        <w:ind w:left="714" w:hanging="357"/>
        <w:rPr>
          <w:rFonts w:cs="Arial"/>
        </w:rPr>
      </w:pPr>
      <w:r w:rsidRPr="009C7AF7">
        <w:rPr>
          <w:rFonts w:cs="Arial"/>
        </w:rPr>
        <w:t>Purchasing and contract arrangements.</w:t>
      </w:r>
    </w:p>
    <w:p w:rsidR="00262D0F" w:rsidRPr="009C7AF7" w:rsidRDefault="00262D0F" w:rsidP="00262D0F">
      <w:pPr>
        <w:tabs>
          <w:tab w:val="left" w:pos="2533"/>
        </w:tabs>
        <w:rPr>
          <w:rFonts w:cs="Arial"/>
        </w:rPr>
      </w:pPr>
      <w:r w:rsidRPr="009C7AF7">
        <w:rPr>
          <w:rFonts w:cs="Arial"/>
        </w:rPr>
        <w:tab/>
      </w:r>
    </w:p>
    <w:p w:rsidR="00262D0F" w:rsidRPr="009C7AF7" w:rsidRDefault="00262D0F" w:rsidP="00262D0F">
      <w:pPr>
        <w:rPr>
          <w:rFonts w:cs="Arial"/>
        </w:rPr>
      </w:pPr>
      <w:r w:rsidRPr="009C7AF7">
        <w:rPr>
          <w:rFonts w:cs="Arial"/>
        </w:rPr>
        <w:t>The Director of Finance is the Executive Lead for sustainability and the operational lead is the Head of Estates and Facilities. The Executive and Operational Lead work with key leads in the Trust and have implemented key elements of the Good Corporate Citizen assessment model.  The Operational Lead also monitors progress against the NHS Carbon Reduction Strategy.</w:t>
      </w:r>
    </w:p>
    <w:p w:rsidR="00262D0F" w:rsidRPr="00BC3DE9" w:rsidRDefault="00262D0F" w:rsidP="00262D0F">
      <w:pPr>
        <w:pStyle w:val="Heading2"/>
        <w:rPr>
          <w:color w:val="1F497D"/>
        </w:rPr>
      </w:pPr>
      <w:r w:rsidRPr="00BC3DE9">
        <w:rPr>
          <w:color w:val="1F497D"/>
        </w:rPr>
        <w:t>2.</w:t>
      </w:r>
      <w:r>
        <w:rPr>
          <w:color w:val="1F497D"/>
        </w:rPr>
        <w:t>6</w:t>
      </w:r>
      <w:r w:rsidRPr="00BC3DE9">
        <w:rPr>
          <w:color w:val="1F497D"/>
        </w:rPr>
        <w:t>.2 Carbon Footprint</w:t>
      </w:r>
    </w:p>
    <w:p w:rsidR="00262D0F" w:rsidRPr="00617B18" w:rsidRDefault="00262D0F" w:rsidP="00262D0F">
      <w:pPr>
        <w:rPr>
          <w:b/>
        </w:rPr>
      </w:pPr>
    </w:p>
    <w:p w:rsidR="00262D0F" w:rsidRPr="00617B18" w:rsidRDefault="00262D0F" w:rsidP="00262D0F">
      <w:pPr>
        <w:rPr>
          <w:rFonts w:cs="Arial"/>
        </w:rPr>
      </w:pPr>
      <w:r w:rsidRPr="00617B18">
        <w:rPr>
          <w:rFonts w:cs="Arial"/>
        </w:rPr>
        <w:t>The Trust is committed to reducing its carbon footprint, however there is increasing clinical use of computers and electrical equipment.  The Trust is committed to meet the challenges of the NHS Carbon Reduction Strategy while continuing to develop patient services.</w:t>
      </w:r>
    </w:p>
    <w:p w:rsidR="00262D0F" w:rsidRPr="00617B18" w:rsidRDefault="00262D0F" w:rsidP="00262D0F">
      <w:pPr>
        <w:rPr>
          <w:rFonts w:cs="Arial"/>
        </w:rPr>
      </w:pPr>
    </w:p>
    <w:p w:rsidR="00262D0F" w:rsidRPr="00617B18" w:rsidRDefault="00262D0F" w:rsidP="00262D0F">
      <w:pPr>
        <w:rPr>
          <w:rFonts w:cs="Arial"/>
        </w:rPr>
      </w:pPr>
      <w:r w:rsidRPr="00617B18">
        <w:rPr>
          <w:rFonts w:cs="Arial"/>
        </w:rPr>
        <w:t xml:space="preserve">The Trust has calculated its Carbon Footprint </w:t>
      </w:r>
      <w:r w:rsidRPr="00617B18">
        <w:rPr>
          <w:rStyle w:val="sifr-alternate"/>
          <w:rFonts w:cs="Arial"/>
        </w:rPr>
        <w:t>for</w:t>
      </w:r>
      <w:r w:rsidRPr="00617B18">
        <w:rPr>
          <w:rStyle w:val="sifr-alternate"/>
          <w:rFonts w:cs="Arial"/>
          <w:b/>
        </w:rPr>
        <w:t xml:space="preserve"> </w:t>
      </w:r>
      <w:r w:rsidRPr="00617B18">
        <w:rPr>
          <w:rFonts w:cs="Arial"/>
        </w:rPr>
        <w:t>Year ending 31</w:t>
      </w:r>
      <w:r w:rsidRPr="00617B18">
        <w:rPr>
          <w:rFonts w:cs="Arial"/>
          <w:vertAlign w:val="superscript"/>
        </w:rPr>
        <w:t>st</w:t>
      </w:r>
      <w:r w:rsidRPr="00617B18">
        <w:rPr>
          <w:rFonts w:cs="Arial"/>
        </w:rPr>
        <w:t xml:space="preserve"> March 2015 below, which enables the Trust to monitor performance against a Department of Health recognised assessment tool and to compare with other similar organisations.</w:t>
      </w:r>
    </w:p>
    <w:p w:rsidR="00262D0F" w:rsidRPr="00617B18" w:rsidRDefault="00262D0F" w:rsidP="00262D0F">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9"/>
        <w:gridCol w:w="2619"/>
        <w:gridCol w:w="2619"/>
        <w:gridCol w:w="2619"/>
      </w:tblGrid>
      <w:tr w:rsidR="00262D0F" w:rsidRPr="003772A5" w:rsidTr="00262D0F">
        <w:trPr>
          <w:trHeight w:val="645"/>
          <w:tblHeader/>
        </w:trPr>
        <w:tc>
          <w:tcPr>
            <w:tcW w:w="2619" w:type="dxa"/>
            <w:shd w:val="clear" w:color="auto" w:fill="C6D9F1"/>
          </w:tcPr>
          <w:p w:rsidR="00262D0F" w:rsidRPr="009C7AF7" w:rsidRDefault="00262D0F" w:rsidP="00262D0F">
            <w:pPr>
              <w:rPr>
                <w:rFonts w:cs="Arial"/>
              </w:rPr>
            </w:pPr>
          </w:p>
        </w:tc>
        <w:tc>
          <w:tcPr>
            <w:tcW w:w="2619" w:type="dxa"/>
            <w:shd w:val="clear" w:color="auto" w:fill="C6D9F1"/>
          </w:tcPr>
          <w:p w:rsidR="00262D0F" w:rsidRPr="009C7AF7" w:rsidRDefault="00262D0F" w:rsidP="00262D0F">
            <w:pPr>
              <w:jc w:val="center"/>
              <w:rPr>
                <w:rFonts w:ascii="Calibri" w:hAnsi="Calibri"/>
                <w:b/>
                <w:bCs/>
                <w:lang w:eastAsia="en-GB"/>
              </w:rPr>
            </w:pPr>
            <w:r w:rsidRPr="009C7AF7">
              <w:rPr>
                <w:rFonts w:ascii="Calibri" w:hAnsi="Calibri"/>
                <w:b/>
                <w:bCs/>
                <w:lang w:eastAsia="en-GB"/>
              </w:rPr>
              <w:t>201</w:t>
            </w:r>
            <w:r>
              <w:rPr>
                <w:rFonts w:ascii="Calibri" w:hAnsi="Calibri"/>
                <w:b/>
                <w:bCs/>
                <w:lang w:eastAsia="en-GB"/>
              </w:rPr>
              <w:t>4</w:t>
            </w:r>
            <w:r w:rsidRPr="009C7AF7">
              <w:rPr>
                <w:rFonts w:ascii="Calibri" w:hAnsi="Calibri"/>
                <w:b/>
                <w:bCs/>
                <w:lang w:eastAsia="en-GB"/>
              </w:rPr>
              <w:t>-1</w:t>
            </w:r>
            <w:r>
              <w:rPr>
                <w:rFonts w:ascii="Calibri" w:hAnsi="Calibri"/>
                <w:b/>
                <w:bCs/>
                <w:lang w:eastAsia="en-GB"/>
              </w:rPr>
              <w:t>5</w:t>
            </w:r>
          </w:p>
          <w:p w:rsidR="00262D0F" w:rsidRPr="009C7AF7" w:rsidRDefault="00262D0F" w:rsidP="00262D0F">
            <w:pPr>
              <w:jc w:val="center"/>
              <w:rPr>
                <w:rFonts w:cs="Arial"/>
              </w:rPr>
            </w:pPr>
            <w:proofErr w:type="spellStart"/>
            <w:r w:rsidRPr="009C7AF7">
              <w:rPr>
                <w:rFonts w:ascii="Calibri" w:hAnsi="Calibri"/>
                <w:b/>
                <w:bCs/>
                <w:lang w:eastAsia="en-GB"/>
              </w:rPr>
              <w:t>Tonnes</w:t>
            </w:r>
            <w:proofErr w:type="spellEnd"/>
            <w:r w:rsidRPr="009C7AF7">
              <w:rPr>
                <w:rFonts w:ascii="Calibri" w:hAnsi="Calibri"/>
                <w:b/>
                <w:bCs/>
                <w:lang w:eastAsia="en-GB"/>
              </w:rPr>
              <w:t xml:space="preserve"> CO2e</w:t>
            </w:r>
          </w:p>
        </w:tc>
        <w:tc>
          <w:tcPr>
            <w:tcW w:w="2619" w:type="dxa"/>
            <w:shd w:val="clear" w:color="auto" w:fill="C6D9F1"/>
          </w:tcPr>
          <w:p w:rsidR="00262D0F" w:rsidRPr="009C7AF7" w:rsidRDefault="00262D0F" w:rsidP="00262D0F">
            <w:pPr>
              <w:jc w:val="center"/>
              <w:rPr>
                <w:rFonts w:ascii="Calibri" w:hAnsi="Calibri"/>
                <w:b/>
                <w:bCs/>
                <w:lang w:eastAsia="en-GB"/>
              </w:rPr>
            </w:pPr>
            <w:r w:rsidRPr="009C7AF7">
              <w:rPr>
                <w:rFonts w:ascii="Calibri" w:hAnsi="Calibri"/>
                <w:b/>
                <w:bCs/>
                <w:lang w:eastAsia="en-GB"/>
              </w:rPr>
              <w:t>201</w:t>
            </w:r>
            <w:r>
              <w:rPr>
                <w:rFonts w:ascii="Calibri" w:hAnsi="Calibri"/>
                <w:b/>
                <w:bCs/>
                <w:lang w:eastAsia="en-GB"/>
              </w:rPr>
              <w:t>3</w:t>
            </w:r>
            <w:r w:rsidRPr="009C7AF7">
              <w:rPr>
                <w:rFonts w:ascii="Calibri" w:hAnsi="Calibri"/>
                <w:b/>
                <w:bCs/>
                <w:lang w:eastAsia="en-GB"/>
              </w:rPr>
              <w:t>-1</w:t>
            </w:r>
            <w:r>
              <w:rPr>
                <w:rFonts w:ascii="Calibri" w:hAnsi="Calibri"/>
                <w:b/>
                <w:bCs/>
                <w:lang w:eastAsia="en-GB"/>
              </w:rPr>
              <w:t>4</w:t>
            </w:r>
          </w:p>
          <w:p w:rsidR="00262D0F" w:rsidRPr="009C7AF7" w:rsidRDefault="00262D0F" w:rsidP="00262D0F">
            <w:pPr>
              <w:jc w:val="center"/>
              <w:rPr>
                <w:rFonts w:ascii="Calibri" w:hAnsi="Calibri"/>
                <w:b/>
                <w:bCs/>
                <w:lang w:eastAsia="en-GB"/>
              </w:rPr>
            </w:pPr>
            <w:proofErr w:type="spellStart"/>
            <w:r w:rsidRPr="009C7AF7">
              <w:rPr>
                <w:rFonts w:ascii="Calibri" w:hAnsi="Calibri"/>
                <w:b/>
                <w:bCs/>
                <w:lang w:eastAsia="en-GB"/>
              </w:rPr>
              <w:t>Tonnes</w:t>
            </w:r>
            <w:proofErr w:type="spellEnd"/>
            <w:r w:rsidRPr="009C7AF7">
              <w:rPr>
                <w:rFonts w:ascii="Calibri" w:hAnsi="Calibri"/>
                <w:b/>
                <w:bCs/>
                <w:lang w:eastAsia="en-GB"/>
              </w:rPr>
              <w:t xml:space="preserve"> CO2e</w:t>
            </w:r>
          </w:p>
        </w:tc>
        <w:tc>
          <w:tcPr>
            <w:tcW w:w="2619" w:type="dxa"/>
            <w:shd w:val="clear" w:color="auto" w:fill="C6D9F1"/>
          </w:tcPr>
          <w:p w:rsidR="00262D0F" w:rsidRPr="009C7AF7" w:rsidRDefault="00262D0F" w:rsidP="00262D0F">
            <w:pPr>
              <w:jc w:val="center"/>
              <w:rPr>
                <w:rFonts w:ascii="Calibri" w:hAnsi="Calibri"/>
                <w:b/>
                <w:bCs/>
                <w:lang w:eastAsia="en-GB"/>
              </w:rPr>
            </w:pPr>
            <w:r w:rsidRPr="009C7AF7">
              <w:rPr>
                <w:rFonts w:ascii="Calibri" w:hAnsi="Calibri"/>
                <w:b/>
                <w:bCs/>
                <w:lang w:eastAsia="en-GB"/>
              </w:rPr>
              <w:t>Change   +/-</w:t>
            </w:r>
          </w:p>
          <w:p w:rsidR="00262D0F" w:rsidRPr="009C7AF7" w:rsidRDefault="00262D0F" w:rsidP="00262D0F">
            <w:pPr>
              <w:jc w:val="center"/>
              <w:rPr>
                <w:rFonts w:ascii="Calibri" w:hAnsi="Calibri"/>
                <w:b/>
                <w:bCs/>
                <w:lang w:eastAsia="en-GB"/>
              </w:rPr>
            </w:pPr>
            <w:proofErr w:type="spellStart"/>
            <w:r w:rsidRPr="009C7AF7">
              <w:rPr>
                <w:rFonts w:ascii="Calibri" w:hAnsi="Calibri"/>
                <w:b/>
                <w:bCs/>
                <w:lang w:eastAsia="en-GB"/>
              </w:rPr>
              <w:t>Tonnes</w:t>
            </w:r>
            <w:proofErr w:type="spellEnd"/>
            <w:r w:rsidRPr="009C7AF7">
              <w:rPr>
                <w:rFonts w:ascii="Calibri" w:hAnsi="Calibri"/>
                <w:b/>
                <w:bCs/>
                <w:lang w:eastAsia="en-GB"/>
              </w:rPr>
              <w:t xml:space="preserve"> CO2e</w:t>
            </w:r>
          </w:p>
        </w:tc>
      </w:tr>
      <w:tr w:rsidR="00262D0F" w:rsidRPr="003772A5" w:rsidTr="00262D0F">
        <w:trPr>
          <w:trHeight w:val="826"/>
        </w:trPr>
        <w:tc>
          <w:tcPr>
            <w:tcW w:w="2619" w:type="dxa"/>
          </w:tcPr>
          <w:p w:rsidR="00262D0F" w:rsidRPr="009C7AF7" w:rsidRDefault="00262D0F" w:rsidP="00262D0F">
            <w:pPr>
              <w:rPr>
                <w:rFonts w:ascii="Calibri" w:hAnsi="Calibri"/>
                <w:b/>
                <w:bCs/>
                <w:lang w:eastAsia="en-GB"/>
              </w:rPr>
            </w:pPr>
            <w:r w:rsidRPr="009C7AF7">
              <w:rPr>
                <w:rFonts w:ascii="Calibri" w:hAnsi="Calibri"/>
                <w:b/>
                <w:bCs/>
                <w:lang w:eastAsia="en-GB"/>
              </w:rPr>
              <w:t>SCOPE ONE EMISSIONS</w:t>
            </w:r>
          </w:p>
          <w:p w:rsidR="00262D0F" w:rsidRPr="009C7AF7" w:rsidRDefault="00262D0F" w:rsidP="00262D0F">
            <w:pPr>
              <w:rPr>
                <w:rFonts w:ascii="Calibri" w:hAnsi="Calibri"/>
                <w:b/>
                <w:bCs/>
                <w:lang w:eastAsia="en-GB"/>
              </w:rPr>
            </w:pPr>
            <w:r w:rsidRPr="009C7AF7">
              <w:rPr>
                <w:rFonts w:ascii="Calibri" w:hAnsi="Calibri"/>
                <w:b/>
                <w:bCs/>
                <w:lang w:eastAsia="en-GB"/>
              </w:rPr>
              <w:t>Fuel Combustion</w:t>
            </w:r>
          </w:p>
          <w:p w:rsidR="00262D0F" w:rsidRPr="009C7AF7" w:rsidRDefault="00262D0F" w:rsidP="00262D0F">
            <w:pPr>
              <w:rPr>
                <w:rFonts w:ascii="Calibri" w:hAnsi="Calibri"/>
                <w:b/>
                <w:bCs/>
                <w:lang w:eastAsia="en-GB"/>
              </w:rPr>
            </w:pPr>
            <w:r w:rsidRPr="009C7AF7">
              <w:rPr>
                <w:rFonts w:ascii="Calibri" w:hAnsi="Calibri"/>
                <w:lang w:eastAsia="en-GB"/>
              </w:rPr>
              <w:t>Gas Boilers</w:t>
            </w:r>
          </w:p>
        </w:tc>
        <w:tc>
          <w:tcPr>
            <w:tcW w:w="2619" w:type="dxa"/>
          </w:tcPr>
          <w:p w:rsidR="00262D0F" w:rsidRPr="009C7AF7" w:rsidRDefault="00262D0F" w:rsidP="00262D0F">
            <w:pPr>
              <w:jc w:val="center"/>
              <w:rPr>
                <w:rFonts w:ascii="Calibri" w:hAnsi="Calibri"/>
                <w:b/>
                <w:bCs/>
                <w:lang w:eastAsia="en-GB"/>
              </w:rPr>
            </w:pPr>
            <w:r>
              <w:rPr>
                <w:rFonts w:ascii="Calibri" w:hAnsi="Calibri"/>
                <w:b/>
                <w:bCs/>
                <w:lang w:eastAsia="en-GB"/>
              </w:rPr>
              <w:t>1209.9</w:t>
            </w:r>
          </w:p>
        </w:tc>
        <w:tc>
          <w:tcPr>
            <w:tcW w:w="2619" w:type="dxa"/>
          </w:tcPr>
          <w:p w:rsidR="00262D0F" w:rsidRPr="009C7AF7" w:rsidRDefault="00262D0F" w:rsidP="00262D0F">
            <w:pPr>
              <w:jc w:val="center"/>
              <w:rPr>
                <w:rFonts w:ascii="Calibri" w:hAnsi="Calibri"/>
                <w:b/>
                <w:bCs/>
                <w:lang w:eastAsia="en-GB"/>
              </w:rPr>
            </w:pPr>
            <w:r w:rsidRPr="009C7AF7">
              <w:rPr>
                <w:rFonts w:ascii="Calibri" w:hAnsi="Calibri"/>
                <w:b/>
                <w:bCs/>
                <w:lang w:eastAsia="en-GB"/>
              </w:rPr>
              <w:t>1278.10</w:t>
            </w:r>
          </w:p>
        </w:tc>
        <w:tc>
          <w:tcPr>
            <w:tcW w:w="2619" w:type="dxa"/>
          </w:tcPr>
          <w:p w:rsidR="00262D0F" w:rsidRPr="009C7AF7" w:rsidRDefault="00262D0F" w:rsidP="00262D0F">
            <w:pPr>
              <w:jc w:val="center"/>
              <w:rPr>
                <w:rFonts w:ascii="Calibri" w:hAnsi="Calibri"/>
                <w:b/>
                <w:bCs/>
                <w:lang w:eastAsia="en-GB"/>
              </w:rPr>
            </w:pPr>
            <w:r>
              <w:rPr>
                <w:rFonts w:ascii="Calibri" w:hAnsi="Calibri"/>
                <w:b/>
                <w:bCs/>
                <w:lang w:eastAsia="en-GB"/>
              </w:rPr>
              <w:t>-68.2</w:t>
            </w:r>
          </w:p>
          <w:p w:rsidR="00262D0F" w:rsidRPr="009C7AF7" w:rsidRDefault="00262D0F" w:rsidP="00262D0F">
            <w:pPr>
              <w:jc w:val="center"/>
              <w:rPr>
                <w:rFonts w:ascii="Calibri" w:hAnsi="Calibri"/>
                <w:b/>
                <w:bCs/>
                <w:lang w:eastAsia="en-GB"/>
              </w:rPr>
            </w:pPr>
          </w:p>
          <w:p w:rsidR="00262D0F" w:rsidRPr="009C7AF7" w:rsidRDefault="00262D0F" w:rsidP="00262D0F">
            <w:pPr>
              <w:jc w:val="center"/>
              <w:rPr>
                <w:rFonts w:ascii="Calibri" w:hAnsi="Calibri"/>
                <w:b/>
                <w:bCs/>
                <w:lang w:eastAsia="en-GB"/>
              </w:rPr>
            </w:pPr>
          </w:p>
        </w:tc>
      </w:tr>
      <w:tr w:rsidR="00262D0F" w:rsidRPr="003772A5" w:rsidTr="00262D0F">
        <w:trPr>
          <w:trHeight w:val="1186"/>
        </w:trPr>
        <w:tc>
          <w:tcPr>
            <w:tcW w:w="2619" w:type="dxa"/>
          </w:tcPr>
          <w:p w:rsidR="00262D0F" w:rsidRPr="009C7AF7" w:rsidRDefault="00262D0F" w:rsidP="00262D0F">
            <w:pPr>
              <w:rPr>
                <w:rFonts w:ascii="Calibri" w:hAnsi="Calibri"/>
                <w:b/>
                <w:bCs/>
                <w:lang w:eastAsia="en-GB"/>
              </w:rPr>
            </w:pPr>
            <w:r w:rsidRPr="009C7AF7">
              <w:rPr>
                <w:rFonts w:ascii="Calibri" w:hAnsi="Calibri"/>
                <w:b/>
                <w:bCs/>
                <w:lang w:eastAsia="en-GB"/>
              </w:rPr>
              <w:t>SCOPE TWO EMISSIONS</w:t>
            </w:r>
          </w:p>
          <w:p w:rsidR="00262D0F" w:rsidRPr="009C7AF7" w:rsidRDefault="00262D0F" w:rsidP="00262D0F">
            <w:pPr>
              <w:rPr>
                <w:rFonts w:ascii="Calibri" w:hAnsi="Calibri"/>
                <w:b/>
                <w:bCs/>
                <w:lang w:eastAsia="en-GB"/>
              </w:rPr>
            </w:pPr>
            <w:r w:rsidRPr="009C7AF7">
              <w:rPr>
                <w:rFonts w:ascii="Calibri" w:hAnsi="Calibri"/>
                <w:b/>
                <w:bCs/>
                <w:lang w:eastAsia="en-GB"/>
              </w:rPr>
              <w:t>Purchased Energy Consumption</w:t>
            </w:r>
          </w:p>
          <w:p w:rsidR="00262D0F" w:rsidRPr="009C7AF7" w:rsidRDefault="00262D0F" w:rsidP="00262D0F">
            <w:pPr>
              <w:rPr>
                <w:rFonts w:ascii="Calibri" w:hAnsi="Calibri"/>
                <w:b/>
                <w:bCs/>
                <w:lang w:eastAsia="en-GB"/>
              </w:rPr>
            </w:pPr>
            <w:r w:rsidRPr="009C7AF7">
              <w:rPr>
                <w:rFonts w:ascii="Calibri" w:hAnsi="Calibri"/>
                <w:lang w:eastAsia="en-GB"/>
              </w:rPr>
              <w:t>Electricity</w:t>
            </w:r>
          </w:p>
        </w:tc>
        <w:tc>
          <w:tcPr>
            <w:tcW w:w="2619" w:type="dxa"/>
          </w:tcPr>
          <w:p w:rsidR="00262D0F" w:rsidRPr="009C7AF7" w:rsidRDefault="00262D0F" w:rsidP="00262D0F">
            <w:pPr>
              <w:jc w:val="center"/>
              <w:rPr>
                <w:rFonts w:ascii="Calibri" w:hAnsi="Calibri"/>
                <w:b/>
                <w:bCs/>
                <w:lang w:eastAsia="en-GB"/>
              </w:rPr>
            </w:pPr>
            <w:r>
              <w:rPr>
                <w:rFonts w:ascii="Calibri" w:hAnsi="Calibri"/>
                <w:b/>
                <w:bCs/>
                <w:lang w:eastAsia="en-GB"/>
              </w:rPr>
              <w:t>3220.76</w:t>
            </w:r>
          </w:p>
        </w:tc>
        <w:tc>
          <w:tcPr>
            <w:tcW w:w="2619" w:type="dxa"/>
          </w:tcPr>
          <w:p w:rsidR="00262D0F" w:rsidRPr="009C7AF7" w:rsidRDefault="00262D0F" w:rsidP="00262D0F">
            <w:pPr>
              <w:jc w:val="center"/>
              <w:rPr>
                <w:rFonts w:ascii="Calibri" w:hAnsi="Calibri"/>
                <w:b/>
                <w:bCs/>
                <w:lang w:eastAsia="en-GB"/>
              </w:rPr>
            </w:pPr>
            <w:r w:rsidRPr="009C7AF7">
              <w:rPr>
                <w:rFonts w:ascii="Calibri" w:hAnsi="Calibri"/>
                <w:b/>
                <w:bCs/>
                <w:lang w:eastAsia="en-GB"/>
              </w:rPr>
              <w:t>2682.43</w:t>
            </w:r>
          </w:p>
        </w:tc>
        <w:tc>
          <w:tcPr>
            <w:tcW w:w="2619" w:type="dxa"/>
          </w:tcPr>
          <w:p w:rsidR="00262D0F" w:rsidRPr="009C7AF7" w:rsidRDefault="00262D0F" w:rsidP="00262D0F">
            <w:pPr>
              <w:jc w:val="center"/>
              <w:rPr>
                <w:rFonts w:ascii="Calibri" w:hAnsi="Calibri"/>
                <w:b/>
                <w:bCs/>
                <w:lang w:eastAsia="en-GB"/>
              </w:rPr>
            </w:pPr>
            <w:r>
              <w:rPr>
                <w:rFonts w:ascii="Calibri" w:hAnsi="Calibri"/>
                <w:b/>
                <w:bCs/>
                <w:lang w:eastAsia="en-GB"/>
              </w:rPr>
              <w:t>+538.33</w:t>
            </w:r>
          </w:p>
          <w:p w:rsidR="00262D0F" w:rsidRPr="009C7AF7" w:rsidRDefault="00262D0F" w:rsidP="00262D0F">
            <w:pPr>
              <w:jc w:val="center"/>
              <w:rPr>
                <w:rFonts w:ascii="Calibri" w:hAnsi="Calibri"/>
                <w:b/>
                <w:bCs/>
                <w:lang w:eastAsia="en-GB"/>
              </w:rPr>
            </w:pPr>
          </w:p>
          <w:p w:rsidR="00262D0F" w:rsidRPr="009C7AF7" w:rsidRDefault="00262D0F" w:rsidP="00262D0F">
            <w:pPr>
              <w:jc w:val="center"/>
              <w:rPr>
                <w:rFonts w:ascii="Calibri" w:hAnsi="Calibri"/>
                <w:b/>
                <w:bCs/>
                <w:lang w:eastAsia="en-GB"/>
              </w:rPr>
            </w:pPr>
          </w:p>
          <w:p w:rsidR="00262D0F" w:rsidRPr="009C7AF7" w:rsidRDefault="00262D0F" w:rsidP="00262D0F">
            <w:pPr>
              <w:jc w:val="center"/>
              <w:rPr>
                <w:rFonts w:ascii="Calibri" w:hAnsi="Calibri"/>
                <w:b/>
                <w:bCs/>
                <w:lang w:eastAsia="en-GB"/>
              </w:rPr>
            </w:pPr>
          </w:p>
        </w:tc>
      </w:tr>
      <w:tr w:rsidR="00262D0F" w:rsidRPr="003772A5" w:rsidTr="00262D0F">
        <w:trPr>
          <w:trHeight w:val="1543"/>
        </w:trPr>
        <w:tc>
          <w:tcPr>
            <w:tcW w:w="2619" w:type="dxa"/>
          </w:tcPr>
          <w:p w:rsidR="00262D0F" w:rsidRPr="009C7AF7" w:rsidRDefault="00262D0F" w:rsidP="00262D0F">
            <w:pPr>
              <w:rPr>
                <w:rFonts w:ascii="Calibri" w:hAnsi="Calibri"/>
                <w:b/>
                <w:bCs/>
                <w:lang w:eastAsia="en-GB"/>
              </w:rPr>
            </w:pPr>
            <w:r w:rsidRPr="009C7AF7">
              <w:rPr>
                <w:rFonts w:ascii="Calibri" w:hAnsi="Calibri"/>
                <w:b/>
                <w:bCs/>
                <w:lang w:eastAsia="en-GB"/>
              </w:rPr>
              <w:t>SCOPE TWO EMISSIONS</w:t>
            </w:r>
          </w:p>
          <w:p w:rsidR="00262D0F" w:rsidRPr="009C7AF7" w:rsidRDefault="00262D0F" w:rsidP="00262D0F">
            <w:pPr>
              <w:rPr>
                <w:rFonts w:ascii="Calibri" w:hAnsi="Calibri"/>
                <w:b/>
                <w:bCs/>
                <w:lang w:eastAsia="en-GB"/>
              </w:rPr>
            </w:pPr>
            <w:r w:rsidRPr="009C7AF7">
              <w:rPr>
                <w:rFonts w:ascii="Calibri" w:hAnsi="Calibri"/>
                <w:b/>
                <w:bCs/>
                <w:lang w:eastAsia="en-GB"/>
              </w:rPr>
              <w:t>Admin Travel</w:t>
            </w:r>
          </w:p>
          <w:p w:rsidR="00262D0F" w:rsidRPr="009C7AF7" w:rsidRDefault="00262D0F" w:rsidP="00262D0F">
            <w:pPr>
              <w:rPr>
                <w:rFonts w:ascii="Calibri" w:hAnsi="Calibri"/>
                <w:lang w:eastAsia="en-GB"/>
              </w:rPr>
            </w:pPr>
            <w:r w:rsidRPr="009C7AF7">
              <w:rPr>
                <w:rFonts w:ascii="Calibri" w:hAnsi="Calibri"/>
                <w:lang w:eastAsia="en-GB"/>
              </w:rPr>
              <w:t>Private vehicles used for duty purposes</w:t>
            </w:r>
          </w:p>
          <w:p w:rsidR="00262D0F" w:rsidRPr="009C7AF7" w:rsidRDefault="00262D0F" w:rsidP="00262D0F">
            <w:pPr>
              <w:rPr>
                <w:rFonts w:ascii="Calibri" w:hAnsi="Calibri"/>
                <w:b/>
                <w:bCs/>
                <w:lang w:eastAsia="en-GB"/>
              </w:rPr>
            </w:pPr>
          </w:p>
        </w:tc>
        <w:tc>
          <w:tcPr>
            <w:tcW w:w="2619" w:type="dxa"/>
          </w:tcPr>
          <w:p w:rsidR="00262D0F" w:rsidRDefault="00262D0F" w:rsidP="00262D0F">
            <w:pPr>
              <w:jc w:val="center"/>
              <w:rPr>
                <w:rFonts w:ascii="Calibri" w:hAnsi="Calibri"/>
                <w:bCs/>
                <w:lang w:eastAsia="en-GB"/>
              </w:rPr>
            </w:pPr>
          </w:p>
          <w:p w:rsidR="00262D0F" w:rsidRDefault="00262D0F" w:rsidP="00262D0F">
            <w:pPr>
              <w:jc w:val="center"/>
              <w:rPr>
                <w:rFonts w:ascii="Calibri" w:hAnsi="Calibri"/>
                <w:bCs/>
                <w:lang w:eastAsia="en-GB"/>
              </w:rPr>
            </w:pPr>
          </w:p>
          <w:p w:rsidR="00262D0F" w:rsidRPr="00193D1E" w:rsidRDefault="00262D0F" w:rsidP="00262D0F">
            <w:pPr>
              <w:jc w:val="center"/>
              <w:rPr>
                <w:rFonts w:ascii="Calibri" w:hAnsi="Calibri"/>
                <w:b/>
                <w:bCs/>
                <w:lang w:eastAsia="en-GB"/>
              </w:rPr>
            </w:pPr>
            <w:r w:rsidRPr="00193D1E">
              <w:rPr>
                <w:rFonts w:ascii="Calibri" w:hAnsi="Calibri"/>
                <w:b/>
                <w:bCs/>
                <w:lang w:eastAsia="en-GB"/>
              </w:rPr>
              <w:t>96.69</w:t>
            </w:r>
          </w:p>
        </w:tc>
        <w:tc>
          <w:tcPr>
            <w:tcW w:w="2619" w:type="dxa"/>
          </w:tcPr>
          <w:p w:rsidR="00262D0F" w:rsidRPr="009C7AF7" w:rsidRDefault="00262D0F" w:rsidP="00262D0F">
            <w:pPr>
              <w:jc w:val="center"/>
              <w:rPr>
                <w:rFonts w:ascii="Calibri" w:hAnsi="Calibri"/>
                <w:b/>
                <w:bCs/>
                <w:lang w:eastAsia="en-GB"/>
              </w:rPr>
            </w:pPr>
          </w:p>
          <w:p w:rsidR="00262D0F" w:rsidRPr="009C7AF7" w:rsidRDefault="00262D0F" w:rsidP="00262D0F">
            <w:pPr>
              <w:jc w:val="center"/>
              <w:rPr>
                <w:rFonts w:ascii="Calibri" w:hAnsi="Calibri"/>
                <w:b/>
                <w:bCs/>
                <w:lang w:eastAsia="en-GB"/>
              </w:rPr>
            </w:pPr>
          </w:p>
          <w:p w:rsidR="00262D0F" w:rsidRPr="009C7AF7" w:rsidRDefault="00262D0F" w:rsidP="00262D0F">
            <w:pPr>
              <w:jc w:val="center"/>
              <w:rPr>
                <w:rFonts w:ascii="Calibri" w:hAnsi="Calibri"/>
                <w:b/>
                <w:bCs/>
                <w:lang w:eastAsia="en-GB"/>
              </w:rPr>
            </w:pPr>
            <w:r w:rsidRPr="009C7AF7">
              <w:rPr>
                <w:rFonts w:ascii="Calibri" w:hAnsi="Calibri"/>
                <w:b/>
                <w:bCs/>
                <w:lang w:eastAsia="en-GB"/>
              </w:rPr>
              <w:t>81.98</w:t>
            </w:r>
          </w:p>
          <w:p w:rsidR="00262D0F" w:rsidRPr="009C7AF7" w:rsidRDefault="00262D0F" w:rsidP="00262D0F">
            <w:pPr>
              <w:jc w:val="center"/>
              <w:rPr>
                <w:rFonts w:ascii="Calibri" w:hAnsi="Calibri"/>
                <w:bCs/>
                <w:lang w:eastAsia="en-GB"/>
              </w:rPr>
            </w:pPr>
          </w:p>
        </w:tc>
        <w:tc>
          <w:tcPr>
            <w:tcW w:w="2619" w:type="dxa"/>
          </w:tcPr>
          <w:p w:rsidR="00262D0F" w:rsidRPr="009C7AF7" w:rsidRDefault="00262D0F" w:rsidP="00262D0F">
            <w:pPr>
              <w:jc w:val="center"/>
              <w:rPr>
                <w:rFonts w:ascii="Calibri" w:hAnsi="Calibri"/>
                <w:b/>
                <w:bCs/>
                <w:lang w:eastAsia="en-GB"/>
              </w:rPr>
            </w:pPr>
          </w:p>
          <w:p w:rsidR="00262D0F" w:rsidRPr="009C7AF7" w:rsidRDefault="00262D0F" w:rsidP="00262D0F">
            <w:pPr>
              <w:jc w:val="center"/>
              <w:rPr>
                <w:rFonts w:ascii="Calibri" w:hAnsi="Calibri"/>
                <w:b/>
                <w:bCs/>
                <w:lang w:eastAsia="en-GB"/>
              </w:rPr>
            </w:pPr>
          </w:p>
          <w:p w:rsidR="00262D0F" w:rsidRPr="009C7AF7" w:rsidRDefault="00262D0F" w:rsidP="00262D0F">
            <w:pPr>
              <w:jc w:val="center"/>
              <w:rPr>
                <w:rFonts w:ascii="Calibri" w:hAnsi="Calibri"/>
                <w:b/>
                <w:bCs/>
                <w:lang w:eastAsia="en-GB"/>
              </w:rPr>
            </w:pPr>
            <w:r>
              <w:rPr>
                <w:rFonts w:ascii="Calibri" w:hAnsi="Calibri"/>
                <w:b/>
                <w:bCs/>
                <w:lang w:eastAsia="en-GB"/>
              </w:rPr>
              <w:t>+14.71</w:t>
            </w:r>
          </w:p>
          <w:p w:rsidR="00262D0F" w:rsidRPr="009C7AF7" w:rsidRDefault="00262D0F" w:rsidP="00262D0F">
            <w:pPr>
              <w:jc w:val="center"/>
              <w:rPr>
                <w:rFonts w:ascii="Calibri" w:hAnsi="Calibri"/>
                <w:b/>
                <w:bCs/>
                <w:lang w:eastAsia="en-GB"/>
              </w:rPr>
            </w:pPr>
          </w:p>
        </w:tc>
      </w:tr>
      <w:tr w:rsidR="00262D0F" w:rsidRPr="003772A5" w:rsidTr="00262D0F">
        <w:trPr>
          <w:trHeight w:val="701"/>
        </w:trPr>
        <w:tc>
          <w:tcPr>
            <w:tcW w:w="2619" w:type="dxa"/>
          </w:tcPr>
          <w:p w:rsidR="00262D0F" w:rsidRPr="009C7AF7" w:rsidRDefault="00262D0F" w:rsidP="00262D0F">
            <w:pPr>
              <w:rPr>
                <w:rFonts w:ascii="Calibri" w:hAnsi="Calibri"/>
                <w:b/>
                <w:bCs/>
                <w:lang w:eastAsia="en-GB"/>
              </w:rPr>
            </w:pPr>
            <w:r w:rsidRPr="009C7AF7">
              <w:rPr>
                <w:rFonts w:ascii="Calibri" w:hAnsi="Calibri"/>
                <w:b/>
                <w:bCs/>
                <w:lang w:eastAsia="en-GB"/>
              </w:rPr>
              <w:t xml:space="preserve">Water usage: </w:t>
            </w:r>
            <w:r w:rsidRPr="009C7AF7">
              <w:rPr>
                <w:rFonts w:ascii="Calibri" w:hAnsi="Calibri"/>
                <w:lang w:eastAsia="en-GB"/>
              </w:rPr>
              <w:t>0.34kg per M3</w:t>
            </w:r>
          </w:p>
        </w:tc>
        <w:tc>
          <w:tcPr>
            <w:tcW w:w="2619" w:type="dxa"/>
          </w:tcPr>
          <w:p w:rsidR="00262D0F" w:rsidRPr="009C7AF7" w:rsidRDefault="00262D0F" w:rsidP="00262D0F">
            <w:pPr>
              <w:jc w:val="center"/>
              <w:rPr>
                <w:rFonts w:ascii="Calibri" w:hAnsi="Calibri"/>
                <w:b/>
                <w:bCs/>
                <w:lang w:eastAsia="en-GB"/>
              </w:rPr>
            </w:pPr>
            <w:r>
              <w:rPr>
                <w:rFonts w:ascii="Calibri" w:hAnsi="Calibri"/>
                <w:b/>
                <w:bCs/>
                <w:lang w:eastAsia="en-GB"/>
              </w:rPr>
              <w:t>19.36</w:t>
            </w:r>
          </w:p>
        </w:tc>
        <w:tc>
          <w:tcPr>
            <w:tcW w:w="2619" w:type="dxa"/>
          </w:tcPr>
          <w:p w:rsidR="00262D0F" w:rsidRPr="009C7AF7" w:rsidRDefault="00262D0F" w:rsidP="00262D0F">
            <w:pPr>
              <w:jc w:val="center"/>
              <w:rPr>
                <w:rFonts w:ascii="Calibri" w:hAnsi="Calibri"/>
                <w:b/>
                <w:bCs/>
                <w:lang w:eastAsia="en-GB"/>
              </w:rPr>
            </w:pPr>
            <w:r w:rsidRPr="009C7AF7">
              <w:rPr>
                <w:rFonts w:ascii="Calibri" w:hAnsi="Calibri"/>
                <w:b/>
                <w:bCs/>
                <w:lang w:eastAsia="en-GB"/>
              </w:rPr>
              <w:t>15.41</w:t>
            </w:r>
          </w:p>
        </w:tc>
        <w:tc>
          <w:tcPr>
            <w:tcW w:w="2619" w:type="dxa"/>
          </w:tcPr>
          <w:p w:rsidR="00262D0F" w:rsidRPr="009C7AF7" w:rsidRDefault="00262D0F" w:rsidP="00262D0F">
            <w:pPr>
              <w:jc w:val="center"/>
              <w:rPr>
                <w:rFonts w:ascii="Calibri" w:hAnsi="Calibri"/>
                <w:b/>
                <w:bCs/>
                <w:lang w:eastAsia="en-GB"/>
              </w:rPr>
            </w:pPr>
            <w:r>
              <w:rPr>
                <w:rFonts w:ascii="Calibri" w:hAnsi="Calibri"/>
                <w:b/>
                <w:bCs/>
                <w:lang w:eastAsia="en-GB"/>
              </w:rPr>
              <w:t>+3.95</w:t>
            </w:r>
          </w:p>
        </w:tc>
      </w:tr>
      <w:tr w:rsidR="00262D0F" w:rsidRPr="003772A5" w:rsidTr="00262D0F">
        <w:trPr>
          <w:trHeight w:val="2303"/>
        </w:trPr>
        <w:tc>
          <w:tcPr>
            <w:tcW w:w="2619" w:type="dxa"/>
          </w:tcPr>
          <w:p w:rsidR="00262D0F" w:rsidRPr="009C7AF7" w:rsidRDefault="00262D0F" w:rsidP="00262D0F">
            <w:pPr>
              <w:rPr>
                <w:rFonts w:ascii="Calibri" w:hAnsi="Calibri"/>
                <w:b/>
                <w:bCs/>
                <w:lang w:eastAsia="en-GB"/>
              </w:rPr>
            </w:pPr>
            <w:r w:rsidRPr="009C7AF7">
              <w:rPr>
                <w:rFonts w:ascii="Calibri" w:hAnsi="Calibri"/>
                <w:b/>
                <w:bCs/>
                <w:lang w:eastAsia="en-GB"/>
              </w:rPr>
              <w:lastRenderedPageBreak/>
              <w:t>Non recycled waste</w:t>
            </w:r>
          </w:p>
          <w:p w:rsidR="00262D0F" w:rsidRPr="009C7AF7" w:rsidRDefault="00262D0F" w:rsidP="00262D0F">
            <w:pPr>
              <w:jc w:val="left"/>
              <w:rPr>
                <w:rFonts w:ascii="Calibri" w:hAnsi="Calibri"/>
                <w:lang w:eastAsia="en-GB"/>
              </w:rPr>
            </w:pPr>
            <w:r w:rsidRPr="009C7AF7">
              <w:rPr>
                <w:rFonts w:ascii="Calibri" w:hAnsi="Calibri"/>
                <w:lang w:eastAsia="en-GB"/>
              </w:rPr>
              <w:t>Clinical Incinerated all types</w:t>
            </w:r>
          </w:p>
          <w:p w:rsidR="00262D0F" w:rsidRPr="009C7AF7" w:rsidRDefault="00262D0F" w:rsidP="00262D0F">
            <w:pPr>
              <w:jc w:val="left"/>
              <w:rPr>
                <w:rFonts w:ascii="Calibri" w:hAnsi="Calibri"/>
                <w:lang w:eastAsia="en-GB"/>
              </w:rPr>
            </w:pPr>
          </w:p>
          <w:p w:rsidR="00262D0F" w:rsidRPr="009C7AF7" w:rsidRDefault="00262D0F" w:rsidP="00262D0F">
            <w:pPr>
              <w:jc w:val="left"/>
              <w:rPr>
                <w:rFonts w:ascii="Calibri" w:hAnsi="Calibri"/>
                <w:lang w:eastAsia="en-GB"/>
              </w:rPr>
            </w:pPr>
            <w:r w:rsidRPr="009C7AF7">
              <w:rPr>
                <w:rFonts w:ascii="Calibri" w:hAnsi="Calibri"/>
                <w:lang w:eastAsia="en-GB"/>
              </w:rPr>
              <w:t xml:space="preserve">Clinical Alternative treatment </w:t>
            </w:r>
          </w:p>
          <w:p w:rsidR="00262D0F" w:rsidRPr="009C7AF7" w:rsidRDefault="00262D0F" w:rsidP="00262D0F">
            <w:pPr>
              <w:jc w:val="left"/>
              <w:rPr>
                <w:rFonts w:ascii="Calibri" w:hAnsi="Calibri"/>
                <w:lang w:eastAsia="en-GB"/>
              </w:rPr>
            </w:pPr>
          </w:p>
          <w:p w:rsidR="00262D0F" w:rsidRPr="009C7AF7" w:rsidRDefault="00262D0F" w:rsidP="00262D0F">
            <w:pPr>
              <w:jc w:val="left"/>
              <w:rPr>
                <w:rFonts w:ascii="Calibri" w:hAnsi="Calibri"/>
                <w:lang w:eastAsia="en-GB"/>
              </w:rPr>
            </w:pPr>
            <w:r w:rsidRPr="009C7AF7">
              <w:rPr>
                <w:rFonts w:ascii="Calibri" w:hAnsi="Calibri"/>
                <w:lang w:eastAsia="en-GB"/>
              </w:rPr>
              <w:t>General waste</w:t>
            </w:r>
          </w:p>
          <w:p w:rsidR="00262D0F" w:rsidRPr="009C7AF7" w:rsidRDefault="00262D0F" w:rsidP="00262D0F">
            <w:pPr>
              <w:jc w:val="left"/>
              <w:rPr>
                <w:rFonts w:ascii="Calibri" w:hAnsi="Calibri"/>
                <w:b/>
                <w:bCs/>
                <w:lang w:eastAsia="en-GB"/>
              </w:rPr>
            </w:pPr>
          </w:p>
        </w:tc>
        <w:tc>
          <w:tcPr>
            <w:tcW w:w="2619" w:type="dxa"/>
          </w:tcPr>
          <w:p w:rsidR="00262D0F" w:rsidRDefault="00262D0F" w:rsidP="00262D0F">
            <w:pPr>
              <w:jc w:val="center"/>
              <w:rPr>
                <w:rFonts w:ascii="Calibri" w:hAnsi="Calibri"/>
                <w:b/>
                <w:bCs/>
                <w:lang w:eastAsia="en-GB"/>
              </w:rPr>
            </w:pPr>
          </w:p>
          <w:p w:rsidR="00262D0F" w:rsidRDefault="00262D0F" w:rsidP="00262D0F">
            <w:pPr>
              <w:jc w:val="center"/>
              <w:rPr>
                <w:rFonts w:ascii="Calibri" w:hAnsi="Calibri"/>
                <w:b/>
                <w:bCs/>
                <w:lang w:eastAsia="en-GB"/>
              </w:rPr>
            </w:pPr>
            <w:r>
              <w:rPr>
                <w:rFonts w:ascii="Calibri" w:hAnsi="Calibri"/>
                <w:b/>
                <w:bCs/>
                <w:lang w:eastAsia="en-GB"/>
              </w:rPr>
              <w:t>14.39</w:t>
            </w:r>
          </w:p>
          <w:p w:rsidR="00262D0F" w:rsidRDefault="00262D0F" w:rsidP="00262D0F">
            <w:pPr>
              <w:jc w:val="center"/>
              <w:rPr>
                <w:rFonts w:ascii="Calibri" w:hAnsi="Calibri"/>
                <w:b/>
                <w:bCs/>
                <w:lang w:eastAsia="en-GB"/>
              </w:rPr>
            </w:pPr>
          </w:p>
          <w:p w:rsidR="00262D0F" w:rsidRDefault="00262D0F" w:rsidP="00262D0F">
            <w:pPr>
              <w:jc w:val="center"/>
              <w:rPr>
                <w:rFonts w:ascii="Calibri" w:hAnsi="Calibri"/>
                <w:b/>
                <w:bCs/>
                <w:lang w:eastAsia="en-GB"/>
              </w:rPr>
            </w:pPr>
          </w:p>
          <w:p w:rsidR="00262D0F" w:rsidRDefault="00262D0F" w:rsidP="00262D0F">
            <w:pPr>
              <w:jc w:val="center"/>
              <w:rPr>
                <w:rFonts w:ascii="Calibri" w:hAnsi="Calibri"/>
                <w:b/>
                <w:bCs/>
                <w:lang w:eastAsia="en-GB"/>
              </w:rPr>
            </w:pPr>
            <w:r>
              <w:rPr>
                <w:rFonts w:ascii="Calibri" w:hAnsi="Calibri"/>
                <w:b/>
                <w:bCs/>
                <w:lang w:eastAsia="en-GB"/>
              </w:rPr>
              <w:t>18.45</w:t>
            </w:r>
          </w:p>
          <w:p w:rsidR="00262D0F" w:rsidRDefault="00262D0F" w:rsidP="00262D0F">
            <w:pPr>
              <w:jc w:val="center"/>
              <w:rPr>
                <w:rFonts w:ascii="Calibri" w:hAnsi="Calibri"/>
                <w:b/>
                <w:bCs/>
                <w:lang w:eastAsia="en-GB"/>
              </w:rPr>
            </w:pPr>
          </w:p>
          <w:p w:rsidR="00262D0F" w:rsidRDefault="00262D0F" w:rsidP="00262D0F">
            <w:pPr>
              <w:jc w:val="center"/>
              <w:rPr>
                <w:rFonts w:ascii="Calibri" w:hAnsi="Calibri"/>
                <w:b/>
                <w:bCs/>
                <w:lang w:eastAsia="en-GB"/>
              </w:rPr>
            </w:pPr>
          </w:p>
          <w:p w:rsidR="00262D0F" w:rsidRPr="009C7AF7" w:rsidRDefault="00262D0F" w:rsidP="00262D0F">
            <w:pPr>
              <w:jc w:val="center"/>
              <w:rPr>
                <w:rFonts w:ascii="Calibri" w:hAnsi="Calibri"/>
                <w:b/>
                <w:bCs/>
                <w:lang w:eastAsia="en-GB"/>
              </w:rPr>
            </w:pPr>
            <w:r>
              <w:rPr>
                <w:rFonts w:ascii="Calibri" w:hAnsi="Calibri"/>
                <w:b/>
                <w:bCs/>
                <w:lang w:eastAsia="en-GB"/>
              </w:rPr>
              <w:t>69.793</w:t>
            </w:r>
          </w:p>
        </w:tc>
        <w:tc>
          <w:tcPr>
            <w:tcW w:w="2619" w:type="dxa"/>
          </w:tcPr>
          <w:p w:rsidR="00262D0F" w:rsidRPr="009C7AF7" w:rsidRDefault="00262D0F" w:rsidP="00262D0F">
            <w:pPr>
              <w:jc w:val="center"/>
              <w:rPr>
                <w:rFonts w:ascii="Calibri" w:hAnsi="Calibri"/>
                <w:b/>
                <w:bCs/>
                <w:lang w:eastAsia="en-GB"/>
              </w:rPr>
            </w:pPr>
          </w:p>
          <w:p w:rsidR="00262D0F" w:rsidRPr="009C7AF7" w:rsidRDefault="00262D0F" w:rsidP="00262D0F">
            <w:pPr>
              <w:jc w:val="center"/>
              <w:rPr>
                <w:rFonts w:ascii="Calibri" w:hAnsi="Calibri"/>
                <w:b/>
                <w:bCs/>
                <w:lang w:eastAsia="en-GB"/>
              </w:rPr>
            </w:pPr>
            <w:r w:rsidRPr="009C7AF7">
              <w:rPr>
                <w:rFonts w:ascii="Calibri" w:hAnsi="Calibri"/>
                <w:b/>
                <w:bCs/>
                <w:lang w:eastAsia="en-GB"/>
              </w:rPr>
              <w:t>10.60</w:t>
            </w:r>
          </w:p>
          <w:p w:rsidR="00262D0F" w:rsidRPr="009C7AF7" w:rsidRDefault="00262D0F" w:rsidP="00262D0F">
            <w:pPr>
              <w:jc w:val="center"/>
              <w:rPr>
                <w:rFonts w:ascii="Calibri" w:hAnsi="Calibri"/>
                <w:b/>
                <w:bCs/>
                <w:lang w:eastAsia="en-GB"/>
              </w:rPr>
            </w:pPr>
          </w:p>
          <w:p w:rsidR="00262D0F" w:rsidRPr="009C7AF7" w:rsidRDefault="00262D0F" w:rsidP="00262D0F">
            <w:pPr>
              <w:jc w:val="center"/>
              <w:rPr>
                <w:rFonts w:ascii="Calibri" w:hAnsi="Calibri"/>
                <w:b/>
                <w:bCs/>
                <w:lang w:eastAsia="en-GB"/>
              </w:rPr>
            </w:pPr>
          </w:p>
          <w:p w:rsidR="00262D0F" w:rsidRPr="009C7AF7" w:rsidRDefault="00262D0F" w:rsidP="00262D0F">
            <w:pPr>
              <w:jc w:val="center"/>
              <w:rPr>
                <w:rFonts w:ascii="Calibri" w:hAnsi="Calibri"/>
                <w:bCs/>
                <w:lang w:eastAsia="en-GB"/>
              </w:rPr>
            </w:pPr>
            <w:r w:rsidRPr="009C7AF7">
              <w:rPr>
                <w:rFonts w:ascii="Calibri" w:hAnsi="Calibri"/>
                <w:b/>
                <w:bCs/>
                <w:lang w:eastAsia="en-GB"/>
              </w:rPr>
              <w:t>12.40</w:t>
            </w:r>
          </w:p>
          <w:p w:rsidR="00262D0F" w:rsidRPr="009C7AF7" w:rsidRDefault="00262D0F" w:rsidP="00262D0F">
            <w:pPr>
              <w:jc w:val="center"/>
              <w:rPr>
                <w:rFonts w:ascii="Calibri" w:hAnsi="Calibri"/>
                <w:b/>
                <w:bCs/>
                <w:lang w:eastAsia="en-GB"/>
              </w:rPr>
            </w:pPr>
          </w:p>
          <w:p w:rsidR="00262D0F" w:rsidRPr="009C7AF7" w:rsidRDefault="00262D0F" w:rsidP="00262D0F">
            <w:pPr>
              <w:jc w:val="center"/>
              <w:rPr>
                <w:rFonts w:ascii="Calibri" w:hAnsi="Calibri"/>
                <w:b/>
                <w:bCs/>
                <w:lang w:eastAsia="en-GB"/>
              </w:rPr>
            </w:pPr>
          </w:p>
          <w:p w:rsidR="00262D0F" w:rsidRPr="009C7AF7" w:rsidRDefault="00262D0F" w:rsidP="00262D0F">
            <w:pPr>
              <w:jc w:val="center"/>
              <w:rPr>
                <w:rFonts w:ascii="Calibri" w:hAnsi="Calibri"/>
                <w:b/>
                <w:bCs/>
                <w:lang w:eastAsia="en-GB"/>
              </w:rPr>
            </w:pPr>
            <w:r w:rsidRPr="009C7AF7">
              <w:rPr>
                <w:rFonts w:ascii="Calibri" w:hAnsi="Calibri"/>
                <w:b/>
                <w:bCs/>
                <w:lang w:eastAsia="en-GB"/>
              </w:rPr>
              <w:t>65.518</w:t>
            </w:r>
          </w:p>
        </w:tc>
        <w:tc>
          <w:tcPr>
            <w:tcW w:w="2619" w:type="dxa"/>
          </w:tcPr>
          <w:p w:rsidR="00262D0F" w:rsidRDefault="00262D0F" w:rsidP="00262D0F">
            <w:pPr>
              <w:jc w:val="center"/>
              <w:rPr>
                <w:rFonts w:ascii="Calibri" w:hAnsi="Calibri"/>
                <w:bCs/>
                <w:lang w:eastAsia="en-GB"/>
              </w:rPr>
            </w:pPr>
          </w:p>
          <w:p w:rsidR="00262D0F" w:rsidRPr="00F22F9B" w:rsidRDefault="00262D0F" w:rsidP="00262D0F">
            <w:pPr>
              <w:jc w:val="center"/>
              <w:rPr>
                <w:rFonts w:ascii="Calibri" w:hAnsi="Calibri"/>
                <w:b/>
                <w:bCs/>
                <w:lang w:eastAsia="en-GB"/>
              </w:rPr>
            </w:pPr>
            <w:r w:rsidRPr="00F22F9B">
              <w:rPr>
                <w:rFonts w:ascii="Calibri" w:hAnsi="Calibri"/>
                <w:b/>
                <w:bCs/>
                <w:lang w:eastAsia="en-GB"/>
              </w:rPr>
              <w:t>+3.79</w:t>
            </w:r>
          </w:p>
          <w:p w:rsidR="00262D0F" w:rsidRDefault="00262D0F" w:rsidP="00262D0F">
            <w:pPr>
              <w:jc w:val="center"/>
              <w:rPr>
                <w:rFonts w:ascii="Calibri" w:hAnsi="Calibri"/>
                <w:bCs/>
                <w:lang w:eastAsia="en-GB"/>
              </w:rPr>
            </w:pPr>
          </w:p>
          <w:p w:rsidR="00262D0F" w:rsidRDefault="00262D0F" w:rsidP="00262D0F">
            <w:pPr>
              <w:jc w:val="center"/>
              <w:rPr>
                <w:rFonts w:ascii="Calibri" w:hAnsi="Calibri"/>
                <w:bCs/>
                <w:lang w:eastAsia="en-GB"/>
              </w:rPr>
            </w:pPr>
          </w:p>
          <w:p w:rsidR="00262D0F" w:rsidRPr="00412436" w:rsidRDefault="00262D0F" w:rsidP="00262D0F">
            <w:pPr>
              <w:jc w:val="center"/>
              <w:rPr>
                <w:rFonts w:ascii="Calibri" w:hAnsi="Calibri"/>
                <w:b/>
                <w:bCs/>
                <w:lang w:eastAsia="en-GB"/>
              </w:rPr>
            </w:pPr>
            <w:r w:rsidRPr="00412436">
              <w:rPr>
                <w:rFonts w:ascii="Calibri" w:hAnsi="Calibri"/>
                <w:b/>
                <w:bCs/>
                <w:lang w:eastAsia="en-GB"/>
              </w:rPr>
              <w:t>+6.05</w:t>
            </w:r>
          </w:p>
          <w:p w:rsidR="00262D0F" w:rsidRDefault="00262D0F" w:rsidP="00262D0F">
            <w:pPr>
              <w:jc w:val="center"/>
              <w:rPr>
                <w:rFonts w:ascii="Calibri" w:hAnsi="Calibri"/>
                <w:bCs/>
                <w:lang w:eastAsia="en-GB"/>
              </w:rPr>
            </w:pPr>
          </w:p>
          <w:p w:rsidR="00262D0F" w:rsidRDefault="00262D0F" w:rsidP="00262D0F">
            <w:pPr>
              <w:jc w:val="center"/>
              <w:rPr>
                <w:rFonts w:ascii="Calibri" w:hAnsi="Calibri"/>
                <w:bCs/>
                <w:lang w:eastAsia="en-GB"/>
              </w:rPr>
            </w:pPr>
          </w:p>
          <w:p w:rsidR="00262D0F" w:rsidRPr="00FB13E6" w:rsidRDefault="00262D0F" w:rsidP="00262D0F">
            <w:pPr>
              <w:jc w:val="center"/>
              <w:rPr>
                <w:rFonts w:ascii="Calibri" w:hAnsi="Calibri"/>
                <w:b/>
                <w:bCs/>
                <w:lang w:eastAsia="en-GB"/>
              </w:rPr>
            </w:pPr>
            <w:r w:rsidRPr="00FB13E6">
              <w:rPr>
                <w:rFonts w:ascii="Calibri" w:hAnsi="Calibri"/>
                <w:b/>
                <w:bCs/>
                <w:lang w:eastAsia="en-GB"/>
              </w:rPr>
              <w:t>+4.27</w:t>
            </w:r>
          </w:p>
        </w:tc>
      </w:tr>
      <w:tr w:rsidR="00262D0F" w:rsidRPr="003772A5" w:rsidTr="00262D0F">
        <w:trPr>
          <w:trHeight w:val="1450"/>
        </w:trPr>
        <w:tc>
          <w:tcPr>
            <w:tcW w:w="2619" w:type="dxa"/>
          </w:tcPr>
          <w:p w:rsidR="00262D0F" w:rsidRPr="009C7AF7" w:rsidRDefault="00262D0F" w:rsidP="00262D0F">
            <w:pPr>
              <w:rPr>
                <w:rFonts w:ascii="Calibri" w:hAnsi="Calibri"/>
                <w:b/>
                <w:bCs/>
                <w:lang w:eastAsia="en-GB"/>
              </w:rPr>
            </w:pPr>
            <w:r w:rsidRPr="009C7AF7">
              <w:rPr>
                <w:rFonts w:ascii="Calibri" w:hAnsi="Calibri"/>
                <w:b/>
                <w:bCs/>
                <w:lang w:eastAsia="en-GB"/>
              </w:rPr>
              <w:t>Recycled Waste</w:t>
            </w:r>
          </w:p>
          <w:p w:rsidR="00262D0F" w:rsidRPr="009C7AF7" w:rsidRDefault="00262D0F" w:rsidP="00262D0F">
            <w:pPr>
              <w:jc w:val="left"/>
              <w:rPr>
                <w:rFonts w:ascii="Calibri" w:hAnsi="Calibri"/>
                <w:lang w:eastAsia="en-GB"/>
              </w:rPr>
            </w:pPr>
          </w:p>
          <w:p w:rsidR="00262D0F" w:rsidRPr="009C7AF7" w:rsidRDefault="00262D0F" w:rsidP="00262D0F">
            <w:pPr>
              <w:jc w:val="left"/>
              <w:rPr>
                <w:rFonts w:ascii="Calibri" w:hAnsi="Calibri"/>
                <w:lang w:eastAsia="en-GB"/>
              </w:rPr>
            </w:pPr>
            <w:r w:rsidRPr="009C7AF7">
              <w:rPr>
                <w:rFonts w:ascii="Calibri" w:hAnsi="Calibri"/>
                <w:lang w:eastAsia="en-GB"/>
              </w:rPr>
              <w:t xml:space="preserve">Mixed municipal recycled : </w:t>
            </w:r>
          </w:p>
          <w:p w:rsidR="00262D0F" w:rsidRPr="009C7AF7" w:rsidRDefault="00262D0F" w:rsidP="00262D0F">
            <w:pPr>
              <w:jc w:val="left"/>
              <w:rPr>
                <w:rFonts w:ascii="Calibri" w:hAnsi="Calibri"/>
                <w:lang w:eastAsia="en-GB"/>
              </w:rPr>
            </w:pPr>
          </w:p>
          <w:p w:rsidR="00262D0F" w:rsidRPr="009C7AF7" w:rsidRDefault="00262D0F" w:rsidP="00262D0F">
            <w:pPr>
              <w:jc w:val="left"/>
              <w:rPr>
                <w:rFonts w:ascii="Calibri" w:hAnsi="Calibri"/>
                <w:bCs/>
                <w:lang w:eastAsia="en-GB"/>
              </w:rPr>
            </w:pPr>
            <w:r w:rsidRPr="009C7AF7">
              <w:rPr>
                <w:rFonts w:ascii="Calibri" w:hAnsi="Calibri"/>
                <w:bCs/>
                <w:lang w:eastAsia="en-GB"/>
              </w:rPr>
              <w:t>Glass</w:t>
            </w:r>
          </w:p>
        </w:tc>
        <w:tc>
          <w:tcPr>
            <w:tcW w:w="2619" w:type="dxa"/>
          </w:tcPr>
          <w:p w:rsidR="00262D0F" w:rsidRDefault="00262D0F" w:rsidP="00262D0F">
            <w:pPr>
              <w:jc w:val="center"/>
              <w:rPr>
                <w:rFonts w:ascii="Calibri" w:hAnsi="Calibri"/>
                <w:bCs/>
                <w:lang w:eastAsia="en-GB"/>
              </w:rPr>
            </w:pPr>
          </w:p>
          <w:p w:rsidR="00262D0F" w:rsidRDefault="00262D0F" w:rsidP="00262D0F">
            <w:pPr>
              <w:jc w:val="center"/>
              <w:rPr>
                <w:rFonts w:ascii="Calibri" w:hAnsi="Calibri"/>
                <w:bCs/>
                <w:lang w:eastAsia="en-GB"/>
              </w:rPr>
            </w:pPr>
          </w:p>
          <w:p w:rsidR="00262D0F" w:rsidRDefault="00262D0F" w:rsidP="00262D0F">
            <w:pPr>
              <w:jc w:val="center"/>
              <w:rPr>
                <w:rFonts w:ascii="Calibri" w:hAnsi="Calibri"/>
                <w:b/>
                <w:bCs/>
                <w:lang w:eastAsia="en-GB"/>
              </w:rPr>
            </w:pPr>
            <w:r w:rsidRPr="00FB13E6">
              <w:rPr>
                <w:rFonts w:ascii="Calibri" w:hAnsi="Calibri"/>
                <w:b/>
                <w:bCs/>
                <w:lang w:eastAsia="en-GB"/>
              </w:rPr>
              <w:t>1.961</w:t>
            </w:r>
          </w:p>
          <w:p w:rsidR="00262D0F" w:rsidRDefault="00262D0F" w:rsidP="00262D0F">
            <w:pPr>
              <w:jc w:val="center"/>
              <w:rPr>
                <w:rFonts w:ascii="Calibri" w:hAnsi="Calibri"/>
                <w:b/>
                <w:bCs/>
                <w:lang w:eastAsia="en-GB"/>
              </w:rPr>
            </w:pPr>
          </w:p>
          <w:p w:rsidR="00262D0F" w:rsidRPr="00FB13E6" w:rsidRDefault="00262D0F" w:rsidP="00262D0F">
            <w:pPr>
              <w:jc w:val="center"/>
              <w:rPr>
                <w:rFonts w:ascii="Calibri" w:hAnsi="Calibri"/>
                <w:b/>
                <w:bCs/>
                <w:lang w:eastAsia="en-GB"/>
              </w:rPr>
            </w:pPr>
            <w:r>
              <w:rPr>
                <w:rFonts w:ascii="Calibri" w:hAnsi="Calibri"/>
                <w:b/>
                <w:bCs/>
                <w:lang w:eastAsia="en-GB"/>
              </w:rPr>
              <w:t>0.057</w:t>
            </w:r>
          </w:p>
        </w:tc>
        <w:tc>
          <w:tcPr>
            <w:tcW w:w="2619" w:type="dxa"/>
          </w:tcPr>
          <w:p w:rsidR="00262D0F" w:rsidRPr="009C7AF7" w:rsidRDefault="00262D0F" w:rsidP="00262D0F">
            <w:pPr>
              <w:jc w:val="center"/>
              <w:rPr>
                <w:rFonts w:ascii="Calibri" w:hAnsi="Calibri"/>
                <w:b/>
                <w:bCs/>
                <w:lang w:eastAsia="en-GB"/>
              </w:rPr>
            </w:pPr>
          </w:p>
          <w:p w:rsidR="00262D0F" w:rsidRPr="009C7AF7" w:rsidRDefault="00262D0F" w:rsidP="00262D0F">
            <w:pPr>
              <w:jc w:val="center"/>
              <w:rPr>
                <w:rFonts w:ascii="Calibri" w:hAnsi="Calibri"/>
                <w:b/>
                <w:bCs/>
                <w:lang w:eastAsia="en-GB"/>
              </w:rPr>
            </w:pPr>
          </w:p>
          <w:p w:rsidR="00262D0F" w:rsidRPr="009C7AF7" w:rsidRDefault="00262D0F" w:rsidP="00262D0F">
            <w:pPr>
              <w:jc w:val="center"/>
              <w:rPr>
                <w:rFonts w:ascii="Calibri" w:hAnsi="Calibri"/>
                <w:b/>
                <w:bCs/>
                <w:lang w:eastAsia="en-GB"/>
              </w:rPr>
            </w:pPr>
            <w:r w:rsidRPr="009C7AF7">
              <w:rPr>
                <w:rFonts w:ascii="Calibri" w:hAnsi="Calibri"/>
                <w:b/>
                <w:bCs/>
                <w:lang w:eastAsia="en-GB"/>
              </w:rPr>
              <w:t>1.755</w:t>
            </w:r>
          </w:p>
          <w:p w:rsidR="00262D0F" w:rsidRPr="009C7AF7" w:rsidRDefault="00262D0F" w:rsidP="00262D0F">
            <w:pPr>
              <w:jc w:val="center"/>
              <w:rPr>
                <w:rFonts w:ascii="Calibri" w:hAnsi="Calibri"/>
                <w:b/>
                <w:bCs/>
                <w:lang w:eastAsia="en-GB"/>
              </w:rPr>
            </w:pPr>
          </w:p>
          <w:p w:rsidR="00262D0F" w:rsidRPr="00FB13E6" w:rsidRDefault="00262D0F" w:rsidP="00262D0F">
            <w:pPr>
              <w:jc w:val="center"/>
              <w:rPr>
                <w:rFonts w:ascii="Calibri" w:hAnsi="Calibri"/>
                <w:b/>
                <w:bCs/>
                <w:lang w:eastAsia="en-GB"/>
              </w:rPr>
            </w:pPr>
            <w:r w:rsidRPr="00FB13E6">
              <w:rPr>
                <w:rFonts w:ascii="Calibri" w:hAnsi="Calibri"/>
                <w:b/>
                <w:bCs/>
                <w:lang w:eastAsia="en-GB"/>
              </w:rPr>
              <w:t>0.062</w:t>
            </w:r>
          </w:p>
        </w:tc>
        <w:tc>
          <w:tcPr>
            <w:tcW w:w="2619" w:type="dxa"/>
          </w:tcPr>
          <w:p w:rsidR="00262D0F" w:rsidRDefault="00262D0F" w:rsidP="00262D0F">
            <w:pPr>
              <w:jc w:val="center"/>
              <w:rPr>
                <w:rFonts w:ascii="Calibri" w:hAnsi="Calibri"/>
                <w:bCs/>
                <w:lang w:eastAsia="en-GB"/>
              </w:rPr>
            </w:pPr>
          </w:p>
          <w:p w:rsidR="00262D0F" w:rsidRDefault="00262D0F" w:rsidP="00262D0F">
            <w:pPr>
              <w:jc w:val="center"/>
              <w:rPr>
                <w:rFonts w:ascii="Calibri" w:hAnsi="Calibri"/>
                <w:bCs/>
                <w:lang w:eastAsia="en-GB"/>
              </w:rPr>
            </w:pPr>
          </w:p>
          <w:p w:rsidR="00262D0F" w:rsidRPr="00FB13E6" w:rsidRDefault="00262D0F" w:rsidP="00262D0F">
            <w:pPr>
              <w:jc w:val="center"/>
              <w:rPr>
                <w:rFonts w:ascii="Calibri" w:hAnsi="Calibri"/>
                <w:b/>
                <w:bCs/>
                <w:lang w:eastAsia="en-GB"/>
              </w:rPr>
            </w:pPr>
            <w:r w:rsidRPr="00FB13E6">
              <w:rPr>
                <w:rFonts w:ascii="Calibri" w:hAnsi="Calibri"/>
                <w:b/>
                <w:bCs/>
                <w:lang w:eastAsia="en-GB"/>
              </w:rPr>
              <w:t>+0.206</w:t>
            </w:r>
          </w:p>
        </w:tc>
      </w:tr>
      <w:tr w:rsidR="00262D0F" w:rsidRPr="003772A5" w:rsidTr="00262D0F">
        <w:trPr>
          <w:trHeight w:val="888"/>
        </w:trPr>
        <w:tc>
          <w:tcPr>
            <w:tcW w:w="2619" w:type="dxa"/>
          </w:tcPr>
          <w:p w:rsidR="00262D0F" w:rsidRPr="009C7AF7" w:rsidRDefault="00262D0F" w:rsidP="00262D0F">
            <w:pPr>
              <w:rPr>
                <w:rFonts w:ascii="Calibri" w:hAnsi="Calibri"/>
                <w:lang w:eastAsia="en-GB"/>
              </w:rPr>
            </w:pPr>
            <w:r w:rsidRPr="009C7AF7">
              <w:rPr>
                <w:rFonts w:ascii="Calibri" w:hAnsi="Calibri"/>
                <w:lang w:eastAsia="en-GB"/>
              </w:rPr>
              <w:t>OPERATIONAL EMISSIONS</w:t>
            </w:r>
          </w:p>
          <w:p w:rsidR="00262D0F" w:rsidRPr="009C7AF7" w:rsidRDefault="00262D0F" w:rsidP="00262D0F">
            <w:pPr>
              <w:rPr>
                <w:rFonts w:ascii="Calibri" w:hAnsi="Calibri"/>
                <w:lang w:eastAsia="en-GB"/>
              </w:rPr>
            </w:pPr>
            <w:r w:rsidRPr="009C7AF7">
              <w:rPr>
                <w:rFonts w:ascii="Calibri" w:hAnsi="Calibri"/>
                <w:lang w:eastAsia="en-GB"/>
              </w:rPr>
              <w:t>Not measured</w:t>
            </w:r>
          </w:p>
          <w:p w:rsidR="00262D0F" w:rsidRPr="009C7AF7" w:rsidRDefault="00262D0F" w:rsidP="00262D0F">
            <w:pPr>
              <w:rPr>
                <w:rFonts w:ascii="Calibri" w:hAnsi="Calibri"/>
                <w:lang w:eastAsia="en-GB"/>
              </w:rPr>
            </w:pPr>
            <w:r w:rsidRPr="009C7AF7">
              <w:rPr>
                <w:rFonts w:ascii="Calibri" w:hAnsi="Calibri"/>
                <w:lang w:eastAsia="en-GB"/>
              </w:rPr>
              <w:t>REDUCTIONS</w:t>
            </w:r>
          </w:p>
        </w:tc>
        <w:tc>
          <w:tcPr>
            <w:tcW w:w="2619" w:type="dxa"/>
          </w:tcPr>
          <w:p w:rsidR="00262D0F" w:rsidRDefault="00262D0F" w:rsidP="00262D0F">
            <w:pPr>
              <w:jc w:val="center"/>
              <w:rPr>
                <w:rFonts w:ascii="Calibri" w:hAnsi="Calibri"/>
                <w:b/>
                <w:bCs/>
                <w:lang w:eastAsia="en-GB"/>
              </w:rPr>
            </w:pPr>
          </w:p>
          <w:p w:rsidR="00262D0F" w:rsidRDefault="00262D0F" w:rsidP="00262D0F">
            <w:pPr>
              <w:jc w:val="center"/>
              <w:rPr>
                <w:rFonts w:ascii="Calibri" w:hAnsi="Calibri"/>
                <w:b/>
                <w:bCs/>
                <w:lang w:eastAsia="en-GB"/>
              </w:rPr>
            </w:pPr>
          </w:p>
          <w:p w:rsidR="00262D0F" w:rsidRPr="009C7AF7" w:rsidRDefault="00262D0F" w:rsidP="00262D0F">
            <w:pPr>
              <w:jc w:val="center"/>
              <w:rPr>
                <w:rFonts w:ascii="Calibri" w:hAnsi="Calibri"/>
                <w:b/>
                <w:bCs/>
                <w:lang w:eastAsia="en-GB"/>
              </w:rPr>
            </w:pPr>
            <w:r>
              <w:rPr>
                <w:rFonts w:ascii="Calibri" w:hAnsi="Calibri"/>
                <w:b/>
                <w:bCs/>
                <w:lang w:eastAsia="en-GB"/>
              </w:rPr>
              <w:t>Nil</w:t>
            </w:r>
          </w:p>
        </w:tc>
        <w:tc>
          <w:tcPr>
            <w:tcW w:w="2619" w:type="dxa"/>
          </w:tcPr>
          <w:p w:rsidR="00262D0F" w:rsidRPr="009C7AF7" w:rsidRDefault="00262D0F" w:rsidP="00262D0F">
            <w:pPr>
              <w:jc w:val="center"/>
              <w:rPr>
                <w:rFonts w:ascii="Calibri" w:hAnsi="Calibri"/>
                <w:b/>
                <w:bCs/>
                <w:lang w:eastAsia="en-GB"/>
              </w:rPr>
            </w:pPr>
          </w:p>
          <w:p w:rsidR="00262D0F" w:rsidRPr="009C7AF7" w:rsidRDefault="00262D0F" w:rsidP="00262D0F">
            <w:pPr>
              <w:jc w:val="center"/>
              <w:rPr>
                <w:rFonts w:ascii="Calibri" w:hAnsi="Calibri"/>
                <w:b/>
                <w:bCs/>
                <w:lang w:eastAsia="en-GB"/>
              </w:rPr>
            </w:pPr>
          </w:p>
          <w:p w:rsidR="00262D0F" w:rsidRPr="009C7AF7" w:rsidRDefault="00262D0F" w:rsidP="00262D0F">
            <w:pPr>
              <w:jc w:val="center"/>
              <w:rPr>
                <w:rFonts w:ascii="Calibri" w:hAnsi="Calibri"/>
                <w:b/>
                <w:bCs/>
                <w:lang w:eastAsia="en-GB"/>
              </w:rPr>
            </w:pPr>
            <w:r w:rsidRPr="009C7AF7">
              <w:rPr>
                <w:rFonts w:ascii="Calibri" w:hAnsi="Calibri"/>
                <w:b/>
                <w:bCs/>
                <w:lang w:eastAsia="en-GB"/>
              </w:rPr>
              <w:t>Nil</w:t>
            </w:r>
          </w:p>
        </w:tc>
        <w:tc>
          <w:tcPr>
            <w:tcW w:w="2619" w:type="dxa"/>
          </w:tcPr>
          <w:p w:rsidR="00262D0F" w:rsidRDefault="00262D0F" w:rsidP="00262D0F">
            <w:pPr>
              <w:jc w:val="center"/>
              <w:rPr>
                <w:rFonts w:ascii="Calibri" w:hAnsi="Calibri"/>
                <w:b/>
                <w:bCs/>
                <w:lang w:eastAsia="en-GB"/>
              </w:rPr>
            </w:pPr>
          </w:p>
          <w:p w:rsidR="00262D0F" w:rsidRDefault="00262D0F" w:rsidP="00262D0F">
            <w:pPr>
              <w:jc w:val="center"/>
              <w:rPr>
                <w:rFonts w:ascii="Calibri" w:hAnsi="Calibri"/>
                <w:b/>
                <w:bCs/>
                <w:lang w:eastAsia="en-GB"/>
              </w:rPr>
            </w:pPr>
          </w:p>
          <w:p w:rsidR="00262D0F" w:rsidRPr="009C7AF7" w:rsidRDefault="00262D0F" w:rsidP="00262D0F">
            <w:pPr>
              <w:jc w:val="center"/>
              <w:rPr>
                <w:rFonts w:ascii="Calibri" w:hAnsi="Calibri"/>
                <w:b/>
                <w:bCs/>
                <w:lang w:eastAsia="en-GB"/>
              </w:rPr>
            </w:pPr>
            <w:r>
              <w:rPr>
                <w:rFonts w:ascii="Calibri" w:hAnsi="Calibri"/>
                <w:b/>
                <w:bCs/>
                <w:lang w:eastAsia="en-GB"/>
              </w:rPr>
              <w:t>Nil</w:t>
            </w:r>
          </w:p>
        </w:tc>
      </w:tr>
      <w:tr w:rsidR="00262D0F" w:rsidRPr="003772A5" w:rsidTr="00262D0F">
        <w:trPr>
          <w:trHeight w:val="618"/>
        </w:trPr>
        <w:tc>
          <w:tcPr>
            <w:tcW w:w="2619" w:type="dxa"/>
          </w:tcPr>
          <w:p w:rsidR="00262D0F" w:rsidRPr="009C7AF7" w:rsidRDefault="00262D0F" w:rsidP="00262D0F">
            <w:pPr>
              <w:rPr>
                <w:rFonts w:ascii="Calibri" w:hAnsi="Calibri"/>
                <w:b/>
                <w:bCs/>
                <w:lang w:eastAsia="en-GB"/>
              </w:rPr>
            </w:pPr>
          </w:p>
          <w:p w:rsidR="00262D0F" w:rsidRPr="009C7AF7" w:rsidRDefault="00262D0F" w:rsidP="00262D0F">
            <w:pPr>
              <w:rPr>
                <w:rFonts w:ascii="Calibri" w:hAnsi="Calibri"/>
                <w:b/>
                <w:bCs/>
                <w:lang w:eastAsia="en-GB"/>
              </w:rPr>
            </w:pPr>
            <w:r w:rsidRPr="009C7AF7">
              <w:rPr>
                <w:rFonts w:ascii="Calibri" w:hAnsi="Calibri"/>
                <w:b/>
                <w:bCs/>
                <w:lang w:eastAsia="en-GB"/>
              </w:rPr>
              <w:t>TOTAL EMISSIONS</w:t>
            </w:r>
          </w:p>
        </w:tc>
        <w:tc>
          <w:tcPr>
            <w:tcW w:w="2619" w:type="dxa"/>
          </w:tcPr>
          <w:p w:rsidR="00262D0F" w:rsidRDefault="00262D0F" w:rsidP="00262D0F">
            <w:pPr>
              <w:jc w:val="center"/>
              <w:rPr>
                <w:rFonts w:ascii="Calibri" w:hAnsi="Calibri"/>
                <w:b/>
                <w:bCs/>
                <w:lang w:eastAsia="en-GB"/>
              </w:rPr>
            </w:pPr>
          </w:p>
          <w:p w:rsidR="00262D0F" w:rsidRPr="009C7AF7" w:rsidRDefault="00262D0F" w:rsidP="00262D0F">
            <w:pPr>
              <w:jc w:val="center"/>
              <w:rPr>
                <w:rFonts w:ascii="Calibri" w:hAnsi="Calibri"/>
                <w:b/>
                <w:bCs/>
                <w:lang w:eastAsia="en-GB"/>
              </w:rPr>
            </w:pPr>
            <w:r>
              <w:rPr>
                <w:rFonts w:ascii="Calibri" w:hAnsi="Calibri"/>
                <w:b/>
                <w:bCs/>
                <w:lang w:eastAsia="en-GB"/>
              </w:rPr>
              <w:t>4651.60</w:t>
            </w:r>
          </w:p>
        </w:tc>
        <w:tc>
          <w:tcPr>
            <w:tcW w:w="2619" w:type="dxa"/>
          </w:tcPr>
          <w:p w:rsidR="00262D0F" w:rsidRPr="009C7AF7" w:rsidRDefault="00262D0F" w:rsidP="00262D0F">
            <w:pPr>
              <w:jc w:val="center"/>
              <w:rPr>
                <w:rFonts w:ascii="Calibri" w:hAnsi="Calibri"/>
                <w:b/>
                <w:bCs/>
                <w:lang w:eastAsia="en-GB"/>
              </w:rPr>
            </w:pPr>
          </w:p>
          <w:p w:rsidR="00262D0F" w:rsidRPr="009C7AF7" w:rsidRDefault="00262D0F" w:rsidP="00262D0F">
            <w:pPr>
              <w:jc w:val="center"/>
              <w:rPr>
                <w:rFonts w:ascii="Calibri" w:hAnsi="Calibri"/>
                <w:b/>
                <w:bCs/>
                <w:lang w:eastAsia="en-GB"/>
              </w:rPr>
            </w:pPr>
            <w:r>
              <w:rPr>
                <w:rFonts w:ascii="Calibri" w:hAnsi="Calibri"/>
                <w:b/>
                <w:bCs/>
                <w:lang w:eastAsia="en-GB"/>
              </w:rPr>
              <w:t>4148.23</w:t>
            </w:r>
          </w:p>
        </w:tc>
        <w:tc>
          <w:tcPr>
            <w:tcW w:w="2619" w:type="dxa"/>
          </w:tcPr>
          <w:p w:rsidR="00262D0F" w:rsidRPr="009C7AF7" w:rsidRDefault="00262D0F" w:rsidP="00262D0F">
            <w:pPr>
              <w:jc w:val="center"/>
              <w:rPr>
                <w:rFonts w:ascii="Calibri" w:hAnsi="Calibri"/>
                <w:b/>
                <w:bCs/>
                <w:lang w:eastAsia="en-GB"/>
              </w:rPr>
            </w:pPr>
          </w:p>
          <w:p w:rsidR="00262D0F" w:rsidRPr="009C7AF7" w:rsidRDefault="00262D0F" w:rsidP="00262D0F">
            <w:pPr>
              <w:jc w:val="center"/>
              <w:rPr>
                <w:rFonts w:ascii="Calibri" w:hAnsi="Calibri"/>
                <w:b/>
                <w:bCs/>
                <w:lang w:eastAsia="en-GB"/>
              </w:rPr>
            </w:pPr>
            <w:r>
              <w:rPr>
                <w:rFonts w:ascii="Calibri" w:hAnsi="Calibri"/>
                <w:b/>
                <w:bCs/>
                <w:lang w:eastAsia="en-GB"/>
              </w:rPr>
              <w:t>+503.09</w:t>
            </w:r>
          </w:p>
        </w:tc>
      </w:tr>
    </w:tbl>
    <w:p w:rsidR="00262D0F" w:rsidRPr="001F0C9D" w:rsidRDefault="00262D0F" w:rsidP="00262D0F">
      <w:pPr>
        <w:rPr>
          <w:b/>
          <w:color w:val="FF0000"/>
        </w:rPr>
      </w:pPr>
    </w:p>
    <w:p w:rsidR="00262D0F" w:rsidRPr="00BC3DE9" w:rsidRDefault="00262D0F" w:rsidP="00262D0F">
      <w:pPr>
        <w:pStyle w:val="Heading2"/>
        <w:rPr>
          <w:color w:val="1F497D"/>
        </w:rPr>
      </w:pPr>
      <w:r w:rsidRPr="00BC3DE9">
        <w:rPr>
          <w:color w:val="1F497D"/>
        </w:rPr>
        <w:t>2.</w:t>
      </w:r>
      <w:r>
        <w:rPr>
          <w:color w:val="1F497D"/>
        </w:rPr>
        <w:t>6</w:t>
      </w:r>
      <w:r w:rsidRPr="00BC3DE9">
        <w:rPr>
          <w:color w:val="1F497D"/>
        </w:rPr>
        <w:t>.3 Building Use</w:t>
      </w:r>
    </w:p>
    <w:p w:rsidR="00262D0F" w:rsidRPr="00617B18" w:rsidRDefault="00262D0F" w:rsidP="00262D0F">
      <w:pPr>
        <w:rPr>
          <w:b/>
        </w:rPr>
      </w:pPr>
    </w:p>
    <w:p w:rsidR="00262D0F" w:rsidRPr="00617B18" w:rsidRDefault="00262D0F" w:rsidP="00262D0F">
      <w:pPr>
        <w:rPr>
          <w:rFonts w:cs="Arial"/>
        </w:rPr>
      </w:pPr>
      <w:r w:rsidRPr="00617B18">
        <w:rPr>
          <w:rFonts w:cs="Arial"/>
        </w:rPr>
        <w:t>The Trust completed two significant projects during 2014/15 to improve the patient care environment.</w:t>
      </w:r>
    </w:p>
    <w:p w:rsidR="00262D0F" w:rsidRPr="00617B18" w:rsidRDefault="00262D0F" w:rsidP="00262D0F">
      <w:pPr>
        <w:pStyle w:val="Heading2"/>
        <w:pBdr>
          <w:bottom w:val="none" w:sz="0" w:space="0" w:color="auto"/>
        </w:pBdr>
        <w:shd w:val="clear" w:color="auto" w:fill="FFFFFF"/>
        <w:rPr>
          <w:rFonts w:cs="Arial"/>
          <w:b w:val="0"/>
          <w:color w:val="auto"/>
          <w:sz w:val="22"/>
          <w:szCs w:val="22"/>
        </w:rPr>
      </w:pPr>
      <w:r w:rsidRPr="00617B18">
        <w:rPr>
          <w:rFonts w:cs="Arial"/>
          <w:b w:val="0"/>
          <w:color w:val="auto"/>
          <w:sz w:val="22"/>
          <w:szCs w:val="22"/>
        </w:rPr>
        <w:t xml:space="preserve">Dr Daniel Poulter MP, Parliamentary </w:t>
      </w:r>
      <w:proofErr w:type="gramStart"/>
      <w:r w:rsidRPr="00617B18">
        <w:rPr>
          <w:rFonts w:cs="Arial"/>
          <w:b w:val="0"/>
          <w:color w:val="auto"/>
          <w:sz w:val="22"/>
          <w:szCs w:val="22"/>
        </w:rPr>
        <w:t>Under</w:t>
      </w:r>
      <w:proofErr w:type="gramEnd"/>
      <w:r w:rsidRPr="00617B18">
        <w:rPr>
          <w:rFonts w:cs="Arial"/>
          <w:b w:val="0"/>
          <w:color w:val="auto"/>
          <w:sz w:val="22"/>
          <w:szCs w:val="22"/>
        </w:rPr>
        <w:t xml:space="preserve"> Secretary of State for Health, officially opened the Outpatients Department and Front Entrance at Weston General Hospital on 11 April 2014</w:t>
      </w:r>
    </w:p>
    <w:p w:rsidR="00262D0F" w:rsidRPr="00617B18" w:rsidRDefault="00262D0F" w:rsidP="00262D0F">
      <w:pPr>
        <w:shd w:val="clear" w:color="auto" w:fill="FFFFFF"/>
        <w:spacing w:line="300" w:lineRule="atLeast"/>
        <w:rPr>
          <w:rFonts w:cs="Arial"/>
          <w:lang w:eastAsia="en-GB"/>
        </w:rPr>
      </w:pPr>
      <w:r w:rsidRPr="00617B18">
        <w:rPr>
          <w:rFonts w:cs="Arial"/>
          <w:lang w:eastAsia="en-GB"/>
        </w:rPr>
        <w:t>Taking seven months to complete, Outpatients has undergone a £1.8 million refurbishment in order to create:</w:t>
      </w:r>
    </w:p>
    <w:p w:rsidR="00262D0F" w:rsidRPr="00617B18" w:rsidRDefault="00262D0F" w:rsidP="00262D0F">
      <w:pPr>
        <w:shd w:val="clear" w:color="auto" w:fill="FFFFFF"/>
        <w:spacing w:line="300" w:lineRule="atLeast"/>
        <w:rPr>
          <w:rFonts w:cs="Arial"/>
          <w:lang w:eastAsia="en-GB"/>
        </w:rPr>
      </w:pPr>
      <w:r w:rsidRPr="00617B18">
        <w:rPr>
          <w:rFonts w:cs="Arial"/>
          <w:lang w:eastAsia="en-GB"/>
        </w:rPr>
        <w:t> </w:t>
      </w:r>
    </w:p>
    <w:p w:rsidR="00262D0F" w:rsidRPr="00617B18" w:rsidRDefault="00262D0F" w:rsidP="00262D0F">
      <w:pPr>
        <w:pStyle w:val="ListParagraph"/>
        <w:numPr>
          <w:ilvl w:val="0"/>
          <w:numId w:val="40"/>
        </w:numPr>
        <w:shd w:val="clear" w:color="auto" w:fill="FFFFFF"/>
        <w:spacing w:before="100" w:beforeAutospacing="1" w:after="100" w:afterAutospacing="1"/>
        <w:jc w:val="left"/>
        <w:rPr>
          <w:rFonts w:cs="Arial"/>
          <w:lang w:eastAsia="en-GB"/>
        </w:rPr>
      </w:pPr>
      <w:r w:rsidRPr="00617B18">
        <w:rPr>
          <w:rFonts w:cs="Arial"/>
          <w:lang w:eastAsia="en-GB"/>
        </w:rPr>
        <w:t xml:space="preserve">50 new consulting and treatment rooms, replacing an old suite of 25 rooms. </w:t>
      </w:r>
    </w:p>
    <w:p w:rsidR="00262D0F" w:rsidRPr="00617B18" w:rsidRDefault="00262D0F" w:rsidP="00262D0F">
      <w:pPr>
        <w:pStyle w:val="ListParagraph"/>
        <w:numPr>
          <w:ilvl w:val="0"/>
          <w:numId w:val="40"/>
        </w:numPr>
        <w:shd w:val="clear" w:color="auto" w:fill="FFFFFF"/>
        <w:spacing w:before="100" w:beforeAutospacing="1" w:after="100" w:afterAutospacing="1"/>
        <w:jc w:val="left"/>
        <w:rPr>
          <w:rFonts w:cs="Arial"/>
          <w:lang w:eastAsia="en-GB"/>
        </w:rPr>
      </w:pPr>
      <w:r w:rsidRPr="00617B18">
        <w:rPr>
          <w:rFonts w:cs="Arial"/>
          <w:lang w:eastAsia="en-GB"/>
        </w:rPr>
        <w:t xml:space="preserve">Specialist clinic rooms for Audiology, Respiratory and an Ophthalmology laser room. </w:t>
      </w:r>
    </w:p>
    <w:p w:rsidR="00262D0F" w:rsidRPr="00617B18" w:rsidRDefault="00262D0F" w:rsidP="00262D0F">
      <w:pPr>
        <w:pStyle w:val="ListParagraph"/>
        <w:numPr>
          <w:ilvl w:val="0"/>
          <w:numId w:val="40"/>
        </w:numPr>
        <w:shd w:val="clear" w:color="auto" w:fill="FFFFFF"/>
        <w:spacing w:before="100" w:beforeAutospacing="1" w:after="100" w:afterAutospacing="1"/>
        <w:jc w:val="left"/>
        <w:rPr>
          <w:rFonts w:cs="Arial"/>
          <w:lang w:eastAsia="en-GB"/>
        </w:rPr>
      </w:pPr>
      <w:r w:rsidRPr="00617B18">
        <w:rPr>
          <w:rFonts w:cs="Arial"/>
          <w:lang w:eastAsia="en-GB"/>
        </w:rPr>
        <w:t xml:space="preserve">Two new procedure rooms including Dermatology and </w:t>
      </w:r>
      <w:proofErr w:type="spellStart"/>
      <w:r w:rsidRPr="00617B18">
        <w:rPr>
          <w:rFonts w:cs="Arial"/>
          <w:lang w:eastAsia="en-GB"/>
        </w:rPr>
        <w:t>Gynaecology</w:t>
      </w:r>
      <w:proofErr w:type="spellEnd"/>
      <w:r w:rsidRPr="00617B18">
        <w:rPr>
          <w:rFonts w:cs="Arial"/>
          <w:lang w:eastAsia="en-GB"/>
        </w:rPr>
        <w:t xml:space="preserve">. </w:t>
      </w:r>
    </w:p>
    <w:p w:rsidR="00262D0F" w:rsidRPr="00617B18" w:rsidRDefault="00262D0F" w:rsidP="00262D0F">
      <w:pPr>
        <w:pStyle w:val="ListParagraph"/>
        <w:numPr>
          <w:ilvl w:val="0"/>
          <w:numId w:val="40"/>
        </w:numPr>
        <w:shd w:val="clear" w:color="auto" w:fill="FFFFFF"/>
        <w:spacing w:before="100" w:beforeAutospacing="1" w:after="100" w:afterAutospacing="1"/>
        <w:jc w:val="left"/>
        <w:rPr>
          <w:rFonts w:cs="Arial"/>
          <w:lang w:eastAsia="en-GB"/>
        </w:rPr>
      </w:pPr>
      <w:r w:rsidRPr="00617B18">
        <w:rPr>
          <w:rFonts w:cs="Arial"/>
          <w:lang w:eastAsia="en-GB"/>
        </w:rPr>
        <w:t xml:space="preserve">Bariatric (treatment and care of obesity) room. </w:t>
      </w:r>
    </w:p>
    <w:p w:rsidR="00262D0F" w:rsidRPr="00617B18" w:rsidRDefault="00262D0F" w:rsidP="00262D0F">
      <w:pPr>
        <w:pStyle w:val="ListParagraph"/>
        <w:numPr>
          <w:ilvl w:val="0"/>
          <w:numId w:val="40"/>
        </w:numPr>
        <w:shd w:val="clear" w:color="auto" w:fill="FFFFFF"/>
        <w:spacing w:before="100" w:beforeAutospacing="1" w:after="100" w:afterAutospacing="1"/>
        <w:jc w:val="left"/>
        <w:rPr>
          <w:rFonts w:cs="Arial"/>
          <w:lang w:eastAsia="en-GB"/>
        </w:rPr>
      </w:pPr>
      <w:r w:rsidRPr="00617B18">
        <w:rPr>
          <w:rFonts w:cs="Arial"/>
          <w:lang w:eastAsia="en-GB"/>
        </w:rPr>
        <w:t xml:space="preserve">Planned procedure room. </w:t>
      </w:r>
    </w:p>
    <w:p w:rsidR="00262D0F" w:rsidRPr="00617B18" w:rsidRDefault="00262D0F" w:rsidP="00262D0F">
      <w:pPr>
        <w:pStyle w:val="ListParagraph"/>
        <w:numPr>
          <w:ilvl w:val="0"/>
          <w:numId w:val="40"/>
        </w:numPr>
        <w:shd w:val="clear" w:color="auto" w:fill="FFFFFF"/>
        <w:spacing w:before="100" w:beforeAutospacing="1" w:after="100" w:afterAutospacing="1"/>
        <w:jc w:val="left"/>
        <w:rPr>
          <w:rFonts w:cs="Arial"/>
          <w:lang w:eastAsia="en-GB"/>
        </w:rPr>
      </w:pPr>
      <w:r w:rsidRPr="00617B18">
        <w:rPr>
          <w:rFonts w:cs="Arial"/>
          <w:lang w:eastAsia="en-GB"/>
        </w:rPr>
        <w:t xml:space="preserve">A new, improved diabetic centre. Two clinic rooms and a drop-in centre have been created and newly positioned next to the Endocrine (diabetic) clinic replacing one room. </w:t>
      </w:r>
    </w:p>
    <w:p w:rsidR="00262D0F" w:rsidRPr="00617B18" w:rsidRDefault="00262D0F" w:rsidP="00262D0F">
      <w:pPr>
        <w:pStyle w:val="ListParagraph"/>
        <w:numPr>
          <w:ilvl w:val="0"/>
          <w:numId w:val="40"/>
        </w:numPr>
        <w:shd w:val="clear" w:color="auto" w:fill="FFFFFF"/>
        <w:spacing w:before="100" w:beforeAutospacing="1" w:after="100" w:afterAutospacing="1"/>
        <w:jc w:val="left"/>
        <w:rPr>
          <w:rFonts w:cs="Arial"/>
          <w:lang w:eastAsia="en-GB"/>
        </w:rPr>
      </w:pPr>
      <w:r w:rsidRPr="00617B18">
        <w:rPr>
          <w:rFonts w:cs="Arial"/>
          <w:lang w:eastAsia="en-GB"/>
        </w:rPr>
        <w:t xml:space="preserve">Five new Clinical Measurement Rooms (CMS) measuring height, weight and blood pressure. </w:t>
      </w:r>
    </w:p>
    <w:p w:rsidR="00262D0F" w:rsidRPr="00617B18" w:rsidRDefault="00262D0F" w:rsidP="00262D0F">
      <w:pPr>
        <w:pStyle w:val="ListParagraph"/>
        <w:numPr>
          <w:ilvl w:val="0"/>
          <w:numId w:val="40"/>
        </w:numPr>
        <w:shd w:val="clear" w:color="auto" w:fill="FFFFFF"/>
        <w:spacing w:before="100" w:beforeAutospacing="1" w:after="100" w:afterAutospacing="1"/>
        <w:jc w:val="left"/>
        <w:rPr>
          <w:rFonts w:cs="Arial"/>
          <w:lang w:eastAsia="en-GB"/>
        </w:rPr>
      </w:pPr>
      <w:r w:rsidRPr="00617B18">
        <w:rPr>
          <w:rFonts w:cs="Arial"/>
          <w:lang w:eastAsia="en-GB"/>
        </w:rPr>
        <w:t xml:space="preserve">Designated treatment room with a pod for the transfer of bloods to the Pathology Dept. </w:t>
      </w:r>
    </w:p>
    <w:p w:rsidR="00262D0F" w:rsidRPr="00617B18" w:rsidRDefault="00262D0F" w:rsidP="00262D0F">
      <w:pPr>
        <w:pStyle w:val="ListParagraph"/>
        <w:numPr>
          <w:ilvl w:val="0"/>
          <w:numId w:val="40"/>
        </w:numPr>
        <w:shd w:val="clear" w:color="auto" w:fill="FFFFFF"/>
        <w:spacing w:before="100" w:beforeAutospacing="1" w:after="100" w:afterAutospacing="1"/>
        <w:jc w:val="left"/>
        <w:rPr>
          <w:rFonts w:cs="Arial"/>
          <w:lang w:eastAsia="en-GB"/>
        </w:rPr>
      </w:pPr>
      <w:r w:rsidRPr="00617B18">
        <w:rPr>
          <w:rFonts w:cs="Arial"/>
          <w:lang w:eastAsia="en-GB"/>
        </w:rPr>
        <w:t xml:space="preserve">Phlebotomy (blood tests) has moved from the first floor to Quantock Outpatients so patients have all services positioned in one place. </w:t>
      </w:r>
    </w:p>
    <w:p w:rsidR="00262D0F" w:rsidRPr="00617B18" w:rsidRDefault="00262D0F" w:rsidP="00262D0F">
      <w:pPr>
        <w:pStyle w:val="ListParagraph"/>
        <w:numPr>
          <w:ilvl w:val="0"/>
          <w:numId w:val="40"/>
        </w:numPr>
        <w:shd w:val="clear" w:color="auto" w:fill="FFFFFF"/>
        <w:spacing w:before="100" w:beforeAutospacing="1" w:after="100" w:afterAutospacing="1"/>
        <w:jc w:val="left"/>
        <w:rPr>
          <w:rFonts w:cs="Arial"/>
          <w:lang w:eastAsia="en-GB"/>
        </w:rPr>
      </w:pPr>
      <w:r w:rsidRPr="00617B18">
        <w:rPr>
          <w:rFonts w:cs="Arial"/>
          <w:lang w:eastAsia="en-GB"/>
        </w:rPr>
        <w:t xml:space="preserve">A new waiting area for patients and a fully equipped Reception desk. </w:t>
      </w:r>
    </w:p>
    <w:p w:rsidR="00262D0F" w:rsidRPr="00617B18" w:rsidRDefault="00262D0F" w:rsidP="00262D0F">
      <w:pPr>
        <w:pStyle w:val="ListParagraph"/>
        <w:numPr>
          <w:ilvl w:val="0"/>
          <w:numId w:val="40"/>
        </w:numPr>
        <w:shd w:val="clear" w:color="auto" w:fill="FFFFFF"/>
        <w:spacing w:before="100" w:beforeAutospacing="1" w:after="100" w:afterAutospacing="1"/>
        <w:jc w:val="left"/>
        <w:rPr>
          <w:rFonts w:cs="Arial"/>
          <w:lang w:eastAsia="en-GB"/>
        </w:rPr>
      </w:pPr>
      <w:r w:rsidRPr="00617B18">
        <w:rPr>
          <w:rFonts w:cs="Arial"/>
          <w:lang w:eastAsia="en-GB"/>
        </w:rPr>
        <w:t xml:space="preserve">New self check- in digital units. </w:t>
      </w:r>
    </w:p>
    <w:p w:rsidR="00262D0F" w:rsidRPr="00617B18" w:rsidRDefault="00262D0F" w:rsidP="00262D0F">
      <w:pPr>
        <w:pStyle w:val="ListParagraph"/>
        <w:numPr>
          <w:ilvl w:val="0"/>
          <w:numId w:val="40"/>
        </w:numPr>
        <w:shd w:val="clear" w:color="auto" w:fill="FFFFFF"/>
        <w:spacing w:before="100" w:beforeAutospacing="1" w:after="100" w:afterAutospacing="1"/>
        <w:jc w:val="left"/>
        <w:rPr>
          <w:rFonts w:cs="Arial"/>
          <w:lang w:eastAsia="en-GB"/>
        </w:rPr>
      </w:pPr>
      <w:r w:rsidRPr="00617B18">
        <w:rPr>
          <w:rFonts w:cs="Arial"/>
          <w:lang w:eastAsia="en-GB"/>
        </w:rPr>
        <w:t xml:space="preserve">Staff facilities, including new coffee room and changing area. </w:t>
      </w:r>
    </w:p>
    <w:p w:rsidR="00262D0F" w:rsidRPr="00617B18" w:rsidRDefault="00262D0F" w:rsidP="00262D0F">
      <w:pPr>
        <w:shd w:val="clear" w:color="auto" w:fill="FFFFFF"/>
        <w:spacing w:line="300" w:lineRule="atLeast"/>
        <w:rPr>
          <w:rFonts w:cs="Arial"/>
          <w:sz w:val="19"/>
          <w:szCs w:val="19"/>
          <w:lang w:eastAsia="en-GB"/>
        </w:rPr>
      </w:pPr>
      <w:r w:rsidRPr="00617B18">
        <w:rPr>
          <w:rFonts w:cs="Arial"/>
          <w:sz w:val="19"/>
          <w:szCs w:val="19"/>
          <w:lang w:eastAsia="en-GB"/>
        </w:rPr>
        <w:lastRenderedPageBreak/>
        <w:t> </w:t>
      </w:r>
    </w:p>
    <w:p w:rsidR="00262D0F" w:rsidRPr="00617B18" w:rsidRDefault="00262D0F" w:rsidP="00262D0F">
      <w:pPr>
        <w:shd w:val="clear" w:color="auto" w:fill="FFFFFF"/>
        <w:spacing w:line="300" w:lineRule="atLeast"/>
        <w:rPr>
          <w:rFonts w:cs="Arial"/>
          <w:lang w:eastAsia="en-GB"/>
        </w:rPr>
      </w:pPr>
      <w:r w:rsidRPr="00617B18">
        <w:rPr>
          <w:rFonts w:cs="Arial"/>
          <w:lang w:eastAsia="en-GB"/>
        </w:rPr>
        <w:t xml:space="preserve">The front entrance has also been completely </w:t>
      </w:r>
      <w:proofErr w:type="spellStart"/>
      <w:r w:rsidRPr="00617B18">
        <w:rPr>
          <w:rFonts w:cs="Arial"/>
          <w:lang w:eastAsia="en-GB"/>
        </w:rPr>
        <w:t>remodelled</w:t>
      </w:r>
      <w:proofErr w:type="spellEnd"/>
      <w:r w:rsidRPr="00617B18">
        <w:rPr>
          <w:rFonts w:cs="Arial"/>
          <w:lang w:eastAsia="en-GB"/>
        </w:rPr>
        <w:t xml:space="preserve"> to create a welcoming reception area and improved help and information services for patients and visitors. A revolving door has been installed to prevent heat loss through this busy entrance.</w:t>
      </w:r>
    </w:p>
    <w:p w:rsidR="00262D0F" w:rsidRPr="00617B18" w:rsidRDefault="00262D0F" w:rsidP="00262D0F">
      <w:pPr>
        <w:shd w:val="clear" w:color="auto" w:fill="FFFFFF"/>
        <w:spacing w:line="300" w:lineRule="atLeast"/>
        <w:rPr>
          <w:rFonts w:cs="Arial"/>
          <w:lang w:eastAsia="en-GB"/>
        </w:rPr>
      </w:pPr>
      <w:r w:rsidRPr="00617B18">
        <w:rPr>
          <w:rFonts w:cs="Arial"/>
          <w:lang w:eastAsia="en-GB"/>
        </w:rPr>
        <w:t> </w:t>
      </w:r>
    </w:p>
    <w:p w:rsidR="00262D0F" w:rsidRPr="00617B18" w:rsidRDefault="00262D0F" w:rsidP="00262D0F">
      <w:pPr>
        <w:shd w:val="clear" w:color="auto" w:fill="FFFFFF"/>
        <w:spacing w:line="300" w:lineRule="atLeast"/>
        <w:rPr>
          <w:rFonts w:cs="Arial"/>
          <w:lang w:eastAsia="en-GB"/>
        </w:rPr>
      </w:pPr>
      <w:r w:rsidRPr="00617B18">
        <w:rPr>
          <w:rFonts w:cs="Arial"/>
          <w:lang w:eastAsia="en-GB"/>
        </w:rPr>
        <w:t xml:space="preserve">The Information desk has been moved from the side to more central position. The </w:t>
      </w:r>
      <w:hyperlink r:id="rId35" w:history="1">
        <w:r w:rsidRPr="00617B18">
          <w:rPr>
            <w:rFonts w:cs="Arial"/>
            <w:b/>
            <w:bCs/>
            <w:lang w:eastAsia="en-GB"/>
          </w:rPr>
          <w:t>Patient Advice and Liaison Service</w:t>
        </w:r>
      </w:hyperlink>
      <w:r w:rsidRPr="00617B18">
        <w:rPr>
          <w:rFonts w:cs="Arial"/>
          <w:lang w:eastAsia="en-GB"/>
        </w:rPr>
        <w:t xml:space="preserve"> (advocacy and support service for patients) has now moved from its previous position inside the hospital to the lobby behind the Reception desk - which is staffed by volunteers from the local community.</w:t>
      </w:r>
    </w:p>
    <w:p w:rsidR="00262D0F" w:rsidRPr="00617B18" w:rsidRDefault="00262D0F" w:rsidP="00262D0F">
      <w:pPr>
        <w:shd w:val="clear" w:color="auto" w:fill="FFFFFF"/>
        <w:spacing w:line="300" w:lineRule="atLeast"/>
        <w:rPr>
          <w:rFonts w:cs="Arial"/>
          <w:lang w:eastAsia="en-GB"/>
        </w:rPr>
      </w:pPr>
      <w:r w:rsidRPr="00617B18">
        <w:rPr>
          <w:rFonts w:cs="Arial"/>
          <w:lang w:eastAsia="en-GB"/>
        </w:rPr>
        <w:t> </w:t>
      </w:r>
    </w:p>
    <w:p w:rsidR="00262D0F" w:rsidRPr="00617B18" w:rsidRDefault="00262D0F" w:rsidP="00262D0F">
      <w:pPr>
        <w:shd w:val="clear" w:color="auto" w:fill="FFFFFF"/>
        <w:spacing w:line="300" w:lineRule="atLeast"/>
        <w:rPr>
          <w:rFonts w:cs="Arial"/>
          <w:lang w:eastAsia="en-GB"/>
        </w:rPr>
      </w:pPr>
      <w:r w:rsidRPr="00617B18">
        <w:rPr>
          <w:rFonts w:cs="Arial"/>
          <w:lang w:eastAsia="en-GB"/>
        </w:rPr>
        <w:t>The League of Friends shop, selling newspapers, snacks and hospital essentials like toiletries and flowers has a prime location in the lobby.  Costa coffee has opened a new cafe to improve the comfort services for everyone who uses the hospital.</w:t>
      </w:r>
    </w:p>
    <w:p w:rsidR="00262D0F" w:rsidRPr="00617B18" w:rsidRDefault="00262D0F" w:rsidP="00262D0F">
      <w:pPr>
        <w:rPr>
          <w:rFonts w:cs="Arial"/>
        </w:rPr>
      </w:pPr>
      <w:r w:rsidRPr="00617B18">
        <w:rPr>
          <w:rFonts w:cs="Arial"/>
        </w:rPr>
        <w:t xml:space="preserve">  </w:t>
      </w:r>
    </w:p>
    <w:p w:rsidR="00262D0F" w:rsidRPr="00617B18" w:rsidRDefault="00262D0F" w:rsidP="00262D0F">
      <w:pPr>
        <w:rPr>
          <w:rFonts w:cs="Arial"/>
        </w:rPr>
      </w:pPr>
      <w:r w:rsidRPr="00617B18">
        <w:rPr>
          <w:rFonts w:cs="Arial"/>
        </w:rPr>
        <w:t xml:space="preserve">The Trust continues to replace high energy light fittings with further LED lighting throughout the hospital during refurbishments.  </w:t>
      </w:r>
    </w:p>
    <w:p w:rsidR="00262D0F" w:rsidRPr="001573AE" w:rsidRDefault="00262D0F" w:rsidP="00262D0F">
      <w:pPr>
        <w:pStyle w:val="Heading2"/>
      </w:pPr>
      <w:r>
        <w:t>2.6.4 Staff I</w:t>
      </w:r>
      <w:r w:rsidRPr="001573AE">
        <w:t>nvolvement</w:t>
      </w:r>
    </w:p>
    <w:p w:rsidR="00262D0F" w:rsidRPr="00617B18" w:rsidRDefault="00262D0F" w:rsidP="00262D0F">
      <w:pPr>
        <w:rPr>
          <w:b/>
        </w:rPr>
      </w:pPr>
      <w:r w:rsidRPr="00617B18">
        <w:rPr>
          <w:b/>
        </w:rPr>
        <w:t xml:space="preserve"> </w:t>
      </w:r>
    </w:p>
    <w:p w:rsidR="00815922" w:rsidRDefault="00262D0F" w:rsidP="00254B62">
      <w:pPr>
        <w:rPr>
          <w:rFonts w:cs="Arial"/>
        </w:rPr>
      </w:pPr>
      <w:r w:rsidRPr="00617B18">
        <w:rPr>
          <w:rFonts w:cs="Arial"/>
        </w:rPr>
        <w:t>The housekeeping staff continue in supporting the recycling of waste During the year Trust staff have also continued to be involved in reducing the volume of waste and in particular removing waste from the expensive and emission intensive incineration stream.</w:t>
      </w:r>
    </w:p>
    <w:p w:rsidR="00254B62" w:rsidRDefault="00254B62" w:rsidP="00254B62"/>
    <w:p w:rsidR="00815922" w:rsidRDefault="00815922" w:rsidP="00815922">
      <w:pPr>
        <w:pStyle w:val="Heading2"/>
      </w:pPr>
      <w:bookmarkStart w:id="52" w:name="_Toc387747663"/>
      <w:r>
        <w:t>2.6.5 Travel</w:t>
      </w:r>
      <w:bookmarkEnd w:id="52"/>
    </w:p>
    <w:p w:rsidR="00815922" w:rsidRDefault="00815922" w:rsidP="00815922">
      <w:pPr>
        <w:rPr>
          <w:rFonts w:eastAsiaTheme="minorHAnsi"/>
          <w:lang w:val="en-GB"/>
        </w:rPr>
      </w:pPr>
      <w:r>
        <w:t xml:space="preserve">With over 2,000 staff and volunteers, the Trust has a key role to play in influencing how people travel to work.   </w:t>
      </w:r>
    </w:p>
    <w:p w:rsidR="00815922" w:rsidRDefault="00815922" w:rsidP="00815922"/>
    <w:p w:rsidR="00815922" w:rsidRDefault="00815922" w:rsidP="00815922">
      <w:pPr>
        <w:rPr>
          <w:rFonts w:ascii="Times New Roman" w:hAnsi="Times New Roman"/>
        </w:rPr>
      </w:pPr>
      <w:r>
        <w:t xml:space="preserve">In previous years the Green Travel Group secured funding from North Somerset Council for the installation of secure cycle storage and now provides lockable covered cycle storage for 40 bicycles at the main site. </w:t>
      </w:r>
    </w:p>
    <w:p w:rsidR="00815922" w:rsidRDefault="00815922" w:rsidP="00815922">
      <w:pPr>
        <w:rPr>
          <w:rFonts w:ascii="Times New Roman" w:hAnsi="Times New Roman"/>
        </w:rPr>
      </w:pPr>
      <w:r>
        <w:t> </w:t>
      </w:r>
    </w:p>
    <w:p w:rsidR="00815922" w:rsidRDefault="00815922" w:rsidP="00815922">
      <w:pPr>
        <w:rPr>
          <w:rFonts w:ascii="Times New Roman" w:hAnsi="Times New Roman"/>
        </w:rPr>
      </w:pPr>
      <w:r>
        <w:t xml:space="preserve">We have recently also secured further funding from North Somerset Council and installed cycle storage at the Trusts Community Children's Services site in Drove Road in December 2014. </w:t>
      </w:r>
    </w:p>
    <w:p w:rsidR="00815922" w:rsidRDefault="00815922" w:rsidP="00815922">
      <w:pPr>
        <w:rPr>
          <w:rFonts w:ascii="Times New Roman" w:hAnsi="Times New Roman"/>
        </w:rPr>
      </w:pPr>
      <w:r>
        <w:t> </w:t>
      </w:r>
    </w:p>
    <w:p w:rsidR="00815922" w:rsidRDefault="00815922" w:rsidP="00815922">
      <w:pPr>
        <w:rPr>
          <w:rFonts w:ascii="Times New Roman" w:hAnsi="Times New Roman"/>
        </w:rPr>
      </w:pPr>
      <w:r>
        <w:t>We have dedicated webpages for staff on the Trust intranet providing information on public transport, showering facilities in the hospital, discounts on public transport in partnership with the local bus s</w:t>
      </w:r>
      <w:r w:rsidR="00254B62">
        <w:t>ervice, cycle route planners</w:t>
      </w:r>
      <w:r>
        <w:t xml:space="preserve">. </w:t>
      </w:r>
    </w:p>
    <w:p w:rsidR="00815922" w:rsidRDefault="00815922" w:rsidP="00815922">
      <w:pPr>
        <w:rPr>
          <w:rFonts w:ascii="Times New Roman" w:hAnsi="Times New Roman"/>
        </w:rPr>
      </w:pPr>
      <w:r>
        <w:t> </w:t>
      </w:r>
    </w:p>
    <w:p w:rsidR="00815922" w:rsidRDefault="00815922" w:rsidP="00815922">
      <w:pPr>
        <w:rPr>
          <w:rFonts w:ascii="Times New Roman" w:hAnsi="Times New Roman"/>
        </w:rPr>
      </w:pPr>
      <w:r>
        <w:t xml:space="preserve">The Trust also continues to offer staff the opportunity to buy a bicycle(s) and equipment via salary sacrifice, as part of the Government’s green travel initiative, and this continues to be very popular and successful.   </w:t>
      </w:r>
    </w:p>
    <w:p w:rsidR="00815922" w:rsidRDefault="00815922" w:rsidP="00815922">
      <w:pPr>
        <w:rPr>
          <w:rFonts w:ascii="Times New Roman" w:hAnsi="Times New Roman"/>
        </w:rPr>
      </w:pPr>
      <w:r>
        <w:t> </w:t>
      </w:r>
    </w:p>
    <w:p w:rsidR="00815922" w:rsidRDefault="00815922" w:rsidP="00815922">
      <w:pPr>
        <w:rPr>
          <w:rFonts w:ascii="Times New Roman" w:hAnsi="Times New Roman"/>
        </w:rPr>
      </w:pPr>
      <w:r>
        <w:t xml:space="preserve">The Green Travel Group </w:t>
      </w:r>
      <w:proofErr w:type="gramStart"/>
      <w:r>
        <w:t>continue</w:t>
      </w:r>
      <w:proofErr w:type="gramEnd"/>
      <w:r>
        <w:t xml:space="preserve"> to meet periodically to review the action plan and discuss further green travel initiatives in partnership with North Somerset Council, who have expressed their appreciation of our efforts.  </w:t>
      </w:r>
    </w:p>
    <w:p w:rsidR="00815922" w:rsidRDefault="00815922" w:rsidP="00815922">
      <w:pPr>
        <w:rPr>
          <w:rFonts w:ascii="Times New Roman" w:hAnsi="Times New Roman"/>
        </w:rPr>
      </w:pPr>
      <w:r>
        <w:t> </w:t>
      </w:r>
    </w:p>
    <w:p w:rsidR="00815922" w:rsidRDefault="00815922" w:rsidP="00815922">
      <w:pPr>
        <w:rPr>
          <w:rFonts w:ascii="Times New Roman" w:hAnsi="Times New Roman"/>
        </w:rPr>
      </w:pPr>
      <w:r>
        <w:t>In 2014 we ran another survey aimed at finding out what further initiatives we can offer to encourage green travel, and again worked with North Somerset Council on this.</w:t>
      </w:r>
    </w:p>
    <w:p w:rsidR="00815922" w:rsidRDefault="00815922" w:rsidP="00815922">
      <w:pPr>
        <w:rPr>
          <w:rFonts w:ascii="Times New Roman" w:hAnsi="Times New Roman"/>
        </w:rPr>
      </w:pPr>
      <w:r>
        <w:t> </w:t>
      </w:r>
    </w:p>
    <w:p w:rsidR="00815922" w:rsidRDefault="00815922" w:rsidP="00815922">
      <w:pPr>
        <w:rPr>
          <w:rFonts w:cs="Arial"/>
        </w:rPr>
      </w:pPr>
      <w:r>
        <w:t xml:space="preserve">Since then we have had another Sustainable Travel Roadshow, arranged free bike checks for staff with a local cycle retailer, set up a cycle club in the hospital, distributed leaflets for local cycle and scooter </w:t>
      </w:r>
      <w:r>
        <w:lastRenderedPageBreak/>
        <w:t>schemes for new starters in induction packs and updated the Trusts green travel flyer, we are also planning further initiatives for 2015 including further eco driving lessons and more roadshows.</w:t>
      </w:r>
    </w:p>
    <w:p w:rsidR="00815922" w:rsidRDefault="00815922" w:rsidP="00815922">
      <w:pPr>
        <w:rPr>
          <w:rFonts w:ascii="Times New Roman" w:hAnsi="Times New Roman"/>
        </w:rPr>
      </w:pPr>
    </w:p>
    <w:p w:rsidR="00815922" w:rsidRDefault="00815922" w:rsidP="00815922">
      <w:pPr>
        <w:rPr>
          <w:rFonts w:cs="Arial"/>
        </w:rPr>
      </w:pPr>
      <w:r>
        <w:t xml:space="preserve">There are also plans to update the Trusts travel plan, written in 2010, with the assistance of our very helpful travel planning officer at North Somerset Council. The group is also considering an entry into the South West Travel Awards, again with the help of North Somerset Council.  </w:t>
      </w:r>
    </w:p>
    <w:p w:rsidR="00815922" w:rsidRDefault="00815922" w:rsidP="00815922">
      <w:pPr>
        <w:rPr>
          <w:rFonts w:ascii="Calibri" w:hAnsi="Calibri"/>
        </w:rPr>
      </w:pPr>
    </w:p>
    <w:p w:rsidR="00262D0F" w:rsidRPr="004B6A31" w:rsidRDefault="00262D0F" w:rsidP="00262D0F">
      <w:pPr>
        <w:pBdr>
          <w:bottom w:val="single" w:sz="8" w:space="1" w:color="4F81BD"/>
        </w:pBdr>
        <w:spacing w:before="200" w:after="80"/>
        <w:outlineLvl w:val="1"/>
        <w:rPr>
          <w:b/>
          <w:color w:val="365F91"/>
          <w:sz w:val="24"/>
          <w:szCs w:val="24"/>
        </w:rPr>
      </w:pPr>
      <w:r w:rsidRPr="004B6A31">
        <w:rPr>
          <w:b/>
          <w:color w:val="365F91"/>
          <w:sz w:val="24"/>
          <w:szCs w:val="24"/>
        </w:rPr>
        <w:t>2.</w:t>
      </w:r>
      <w:r>
        <w:rPr>
          <w:b/>
          <w:color w:val="365F91"/>
          <w:sz w:val="24"/>
          <w:szCs w:val="24"/>
        </w:rPr>
        <w:t>6</w:t>
      </w:r>
      <w:r w:rsidRPr="004B6A31">
        <w:rPr>
          <w:b/>
          <w:color w:val="365F91"/>
          <w:sz w:val="24"/>
          <w:szCs w:val="24"/>
        </w:rPr>
        <w:t>.6 Purchasing</w:t>
      </w:r>
    </w:p>
    <w:p w:rsidR="00262D0F" w:rsidRPr="00617B18" w:rsidRDefault="00262D0F" w:rsidP="00262D0F">
      <w:pPr>
        <w:pStyle w:val="style14"/>
        <w:jc w:val="both"/>
        <w:rPr>
          <w:sz w:val="22"/>
          <w:szCs w:val="22"/>
        </w:rPr>
      </w:pPr>
      <w:r w:rsidRPr="00617B18">
        <w:rPr>
          <w:rStyle w:val="style171"/>
          <w:sz w:val="22"/>
          <w:szCs w:val="22"/>
        </w:rPr>
        <w:t xml:space="preserve">The Trust is part of Bristol &amp; Weston NHS Purchasing Consortium which provides a comprehensive range of purchasing services to support the Trust.  </w:t>
      </w:r>
    </w:p>
    <w:p w:rsidR="00262D0F" w:rsidRPr="00617B18" w:rsidRDefault="00262D0F" w:rsidP="00262D0F">
      <w:pPr>
        <w:pStyle w:val="style18"/>
        <w:jc w:val="both"/>
        <w:rPr>
          <w:sz w:val="22"/>
          <w:szCs w:val="22"/>
        </w:rPr>
      </w:pPr>
      <w:r w:rsidRPr="00617B18">
        <w:rPr>
          <w:sz w:val="22"/>
          <w:szCs w:val="22"/>
        </w:rPr>
        <w:t>The purchasing department are NHS employees hosted by North Bristol NHS Trust and their services include all aspects of clinical and non-clinical purchasing, supply chain management and capital equipping and our system tools include e-tendering, reporting, spend analysis and order management.</w:t>
      </w:r>
    </w:p>
    <w:p w:rsidR="00262D0F" w:rsidRPr="00617B18" w:rsidRDefault="00262D0F" w:rsidP="00262D0F">
      <w:pPr>
        <w:pStyle w:val="style18"/>
        <w:jc w:val="both"/>
        <w:rPr>
          <w:sz w:val="22"/>
          <w:szCs w:val="22"/>
        </w:rPr>
      </w:pPr>
      <w:r w:rsidRPr="00617B18">
        <w:rPr>
          <w:sz w:val="22"/>
          <w:szCs w:val="22"/>
        </w:rPr>
        <w:t>The consortium provides a key role in supporting the delivery of high quality patient care whilst ensuring value for money is achieved by:</w:t>
      </w:r>
    </w:p>
    <w:p w:rsidR="00262D0F" w:rsidRPr="00617B18" w:rsidRDefault="00262D0F" w:rsidP="00262D0F">
      <w:pPr>
        <w:pStyle w:val="style18"/>
        <w:numPr>
          <w:ilvl w:val="0"/>
          <w:numId w:val="39"/>
        </w:numPr>
        <w:jc w:val="both"/>
        <w:rPr>
          <w:sz w:val="22"/>
          <w:szCs w:val="22"/>
        </w:rPr>
      </w:pPr>
      <w:r w:rsidRPr="00617B18">
        <w:rPr>
          <w:sz w:val="22"/>
          <w:szCs w:val="22"/>
        </w:rPr>
        <w:t>Delivering cost efficiencies and productivity gains</w:t>
      </w:r>
    </w:p>
    <w:p w:rsidR="00262D0F" w:rsidRPr="00617B18" w:rsidRDefault="00262D0F" w:rsidP="00262D0F">
      <w:pPr>
        <w:pStyle w:val="style18"/>
        <w:numPr>
          <w:ilvl w:val="0"/>
          <w:numId w:val="39"/>
        </w:numPr>
        <w:jc w:val="both"/>
        <w:rPr>
          <w:sz w:val="22"/>
          <w:szCs w:val="22"/>
        </w:rPr>
      </w:pPr>
      <w:r w:rsidRPr="00617B18">
        <w:rPr>
          <w:sz w:val="22"/>
          <w:szCs w:val="22"/>
        </w:rPr>
        <w:t>Improving outcomes at reduced cost through clinical procurement partnerships</w:t>
      </w:r>
    </w:p>
    <w:p w:rsidR="00262D0F" w:rsidRPr="00617B18" w:rsidRDefault="00262D0F" w:rsidP="00262D0F">
      <w:pPr>
        <w:pStyle w:val="style18"/>
        <w:numPr>
          <w:ilvl w:val="0"/>
          <w:numId w:val="39"/>
        </w:numPr>
        <w:jc w:val="both"/>
        <w:rPr>
          <w:sz w:val="22"/>
          <w:szCs w:val="22"/>
        </w:rPr>
      </w:pPr>
      <w:r w:rsidRPr="00617B18">
        <w:rPr>
          <w:sz w:val="22"/>
          <w:szCs w:val="22"/>
        </w:rPr>
        <w:t>Improving leadership and capability of procurement across the constituent organisations</w:t>
      </w:r>
    </w:p>
    <w:p w:rsidR="00262D0F" w:rsidRPr="00617B18" w:rsidRDefault="00262D0F" w:rsidP="00262D0F">
      <w:pPr>
        <w:pStyle w:val="style18"/>
        <w:numPr>
          <w:ilvl w:val="0"/>
          <w:numId w:val="39"/>
        </w:numPr>
        <w:jc w:val="both"/>
        <w:rPr>
          <w:sz w:val="22"/>
          <w:szCs w:val="22"/>
        </w:rPr>
      </w:pPr>
      <w:r w:rsidRPr="00617B18">
        <w:rPr>
          <w:sz w:val="22"/>
          <w:szCs w:val="22"/>
        </w:rPr>
        <w:t>Strengthening procurement governance</w:t>
      </w:r>
    </w:p>
    <w:p w:rsidR="00262D0F" w:rsidRPr="00617B18" w:rsidRDefault="00262D0F" w:rsidP="00262D0F">
      <w:pPr>
        <w:pStyle w:val="style18"/>
        <w:numPr>
          <w:ilvl w:val="0"/>
          <w:numId w:val="39"/>
        </w:numPr>
        <w:jc w:val="both"/>
        <w:rPr>
          <w:sz w:val="22"/>
          <w:szCs w:val="22"/>
        </w:rPr>
      </w:pPr>
      <w:r w:rsidRPr="00617B18">
        <w:rPr>
          <w:sz w:val="22"/>
          <w:szCs w:val="22"/>
        </w:rPr>
        <w:t>Improving data, information and transparency</w:t>
      </w:r>
    </w:p>
    <w:p w:rsidR="00262D0F" w:rsidRPr="00617B18" w:rsidRDefault="00262D0F" w:rsidP="00262D0F">
      <w:pPr>
        <w:pStyle w:val="style18"/>
        <w:numPr>
          <w:ilvl w:val="0"/>
          <w:numId w:val="39"/>
        </w:numPr>
        <w:jc w:val="both"/>
        <w:rPr>
          <w:sz w:val="22"/>
          <w:szCs w:val="22"/>
        </w:rPr>
      </w:pPr>
      <w:r w:rsidRPr="00617B18">
        <w:rPr>
          <w:sz w:val="22"/>
          <w:szCs w:val="22"/>
        </w:rPr>
        <w:t>Sustainable procurement policy and practice</w:t>
      </w:r>
    </w:p>
    <w:p w:rsidR="00262D0F" w:rsidRPr="00617B18" w:rsidRDefault="00262D0F" w:rsidP="00262D0F">
      <w:pPr>
        <w:pStyle w:val="style18"/>
        <w:numPr>
          <w:ilvl w:val="0"/>
          <w:numId w:val="39"/>
        </w:numPr>
        <w:jc w:val="both"/>
        <w:rPr>
          <w:sz w:val="22"/>
          <w:szCs w:val="22"/>
        </w:rPr>
      </w:pPr>
      <w:r w:rsidRPr="00617B18">
        <w:rPr>
          <w:sz w:val="22"/>
          <w:szCs w:val="22"/>
        </w:rPr>
        <w:t>Fair and equitable trading</w:t>
      </w:r>
    </w:p>
    <w:p w:rsidR="00262D0F" w:rsidRPr="00617B18" w:rsidRDefault="00262D0F" w:rsidP="00262D0F">
      <w:pPr>
        <w:pStyle w:val="style18"/>
        <w:numPr>
          <w:ilvl w:val="0"/>
          <w:numId w:val="39"/>
        </w:numPr>
        <w:jc w:val="both"/>
        <w:rPr>
          <w:sz w:val="22"/>
          <w:szCs w:val="22"/>
        </w:rPr>
      </w:pPr>
      <w:r w:rsidRPr="00617B18">
        <w:rPr>
          <w:sz w:val="22"/>
          <w:szCs w:val="22"/>
        </w:rPr>
        <w:t>Corporate and social responsibility</w:t>
      </w:r>
    </w:p>
    <w:p w:rsidR="00262D0F" w:rsidRPr="004B6A31" w:rsidRDefault="00262D0F" w:rsidP="00262D0F">
      <w:pPr>
        <w:pBdr>
          <w:bottom w:val="single" w:sz="8" w:space="1" w:color="4F81BD"/>
        </w:pBdr>
        <w:spacing w:before="200" w:after="80"/>
        <w:outlineLvl w:val="1"/>
        <w:rPr>
          <w:b/>
          <w:color w:val="365F91"/>
          <w:sz w:val="24"/>
          <w:szCs w:val="24"/>
        </w:rPr>
      </w:pPr>
      <w:r w:rsidRPr="004B6A31">
        <w:rPr>
          <w:b/>
          <w:color w:val="365F91"/>
          <w:sz w:val="24"/>
          <w:szCs w:val="24"/>
        </w:rPr>
        <w:t>2.</w:t>
      </w:r>
      <w:r>
        <w:rPr>
          <w:b/>
          <w:color w:val="365F91"/>
          <w:sz w:val="24"/>
          <w:szCs w:val="24"/>
        </w:rPr>
        <w:t>6</w:t>
      </w:r>
      <w:r w:rsidRPr="004B6A31">
        <w:rPr>
          <w:b/>
          <w:color w:val="365F91"/>
          <w:sz w:val="24"/>
          <w:szCs w:val="24"/>
        </w:rPr>
        <w:t>.7 Waste and Recycling</w:t>
      </w:r>
    </w:p>
    <w:p w:rsidR="00262D0F" w:rsidRDefault="00262D0F" w:rsidP="00262D0F">
      <w:pPr>
        <w:rPr>
          <w:b/>
          <w:color w:val="FF0000"/>
        </w:rPr>
      </w:pPr>
    </w:p>
    <w:p w:rsidR="00262D0F" w:rsidRPr="00617B18" w:rsidRDefault="00262D0F" w:rsidP="00262D0F">
      <w:r w:rsidRPr="00617B18">
        <w:t>The Trust is keen to ensure the safe and sustainable management of wastes produced from healthcare activities on the Weston General Hospital and drove Road sites, through:</w:t>
      </w:r>
    </w:p>
    <w:p w:rsidR="00262D0F" w:rsidRPr="00617B18" w:rsidRDefault="00262D0F" w:rsidP="00262D0F"/>
    <w:p w:rsidR="00262D0F" w:rsidRPr="00617B18" w:rsidRDefault="00262D0F" w:rsidP="00262D0F">
      <w:pPr>
        <w:pStyle w:val="ListParagraph"/>
        <w:numPr>
          <w:ilvl w:val="0"/>
          <w:numId w:val="38"/>
        </w:numPr>
      </w:pPr>
      <w:r w:rsidRPr="00617B18">
        <w:t>Enduring all waste streams are disposed of appropriately, according to legislation and good practice.</w:t>
      </w:r>
    </w:p>
    <w:p w:rsidR="00262D0F" w:rsidRPr="00617B18" w:rsidRDefault="00262D0F" w:rsidP="00262D0F">
      <w:pPr>
        <w:pStyle w:val="ListParagraph"/>
        <w:numPr>
          <w:ilvl w:val="0"/>
          <w:numId w:val="38"/>
        </w:numPr>
      </w:pPr>
      <w:r w:rsidRPr="00617B18">
        <w:t>Reducing the waste produced</w:t>
      </w:r>
    </w:p>
    <w:p w:rsidR="00262D0F" w:rsidRPr="00617B18" w:rsidRDefault="00262D0F" w:rsidP="00262D0F">
      <w:pPr>
        <w:pStyle w:val="ListParagraph"/>
        <w:numPr>
          <w:ilvl w:val="0"/>
          <w:numId w:val="38"/>
        </w:numPr>
      </w:pPr>
      <w:r w:rsidRPr="00617B18">
        <w:t>Making best use of the waste that is produced by maximizing re-use, recycling.</w:t>
      </w:r>
    </w:p>
    <w:p w:rsidR="00262D0F" w:rsidRPr="00617B18" w:rsidRDefault="00262D0F" w:rsidP="00262D0F">
      <w:pPr>
        <w:pStyle w:val="ListParagraph"/>
        <w:numPr>
          <w:ilvl w:val="0"/>
          <w:numId w:val="38"/>
        </w:numPr>
      </w:pPr>
      <w:proofErr w:type="spellStart"/>
      <w:r w:rsidRPr="00617B18">
        <w:t>Minimising</w:t>
      </w:r>
      <w:proofErr w:type="spellEnd"/>
      <w:r w:rsidRPr="00617B18">
        <w:t xml:space="preserve"> the amount of waste disposed of to landfill</w:t>
      </w:r>
    </w:p>
    <w:p w:rsidR="00262D0F" w:rsidRPr="00617B18" w:rsidRDefault="00262D0F" w:rsidP="00262D0F">
      <w:pPr>
        <w:pStyle w:val="ListParagraph"/>
        <w:numPr>
          <w:ilvl w:val="0"/>
          <w:numId w:val="38"/>
        </w:numPr>
      </w:pPr>
      <w:r w:rsidRPr="00617B18">
        <w:t>Providing relevant training and information to staff, patients and visitors</w:t>
      </w:r>
    </w:p>
    <w:p w:rsidR="00262D0F" w:rsidRPr="00617B18" w:rsidRDefault="00262D0F" w:rsidP="00262D0F">
      <w:pPr>
        <w:pStyle w:val="ListParagraph"/>
        <w:numPr>
          <w:ilvl w:val="0"/>
          <w:numId w:val="38"/>
        </w:numPr>
      </w:pPr>
      <w:r w:rsidRPr="00617B18">
        <w:t>Providing the necessary equipment and facilities to allow the safe and correct handling and storage of waste.</w:t>
      </w:r>
    </w:p>
    <w:p w:rsidR="00262D0F" w:rsidRPr="00617B18" w:rsidRDefault="00262D0F" w:rsidP="00262D0F"/>
    <w:p w:rsidR="00262D0F" w:rsidRPr="00617B18" w:rsidRDefault="00262D0F" w:rsidP="00262D0F">
      <w:r w:rsidRPr="00617B18">
        <w:t>The Trust works in partnership with a number of waste contractors to reduce the amount of domestic waste sent to landfill and increase the amount of waste recycled.</w:t>
      </w:r>
    </w:p>
    <w:p w:rsidR="00262D0F" w:rsidRPr="00617B18" w:rsidRDefault="00262D0F" w:rsidP="00262D0F"/>
    <w:p w:rsidR="00262D0F" w:rsidRPr="00617B18" w:rsidRDefault="00262D0F" w:rsidP="00262D0F">
      <w:r w:rsidRPr="00617B18">
        <w:rPr>
          <w:rFonts w:cs="Arial"/>
        </w:rPr>
        <w:t xml:space="preserve">During 2014/15 the Trust </w:t>
      </w:r>
      <w:proofErr w:type="spellStart"/>
      <w:r w:rsidRPr="00617B18">
        <w:rPr>
          <w:rFonts w:cs="Arial"/>
        </w:rPr>
        <w:t>reorganised</w:t>
      </w:r>
      <w:proofErr w:type="spellEnd"/>
      <w:r w:rsidRPr="00617B18">
        <w:rPr>
          <w:rFonts w:cs="Arial"/>
        </w:rPr>
        <w:t xml:space="preserve"> its internal waste stream storage. Both clinical and domestic waste containers have been removed from all wards sluice areas and have been re-sited from the ward sluice areas to an internal purpose built waste compound. </w:t>
      </w:r>
    </w:p>
    <w:p w:rsidR="00B025E3" w:rsidRPr="00617B18" w:rsidRDefault="00B025E3" w:rsidP="00B025E3">
      <w:pPr>
        <w:rPr>
          <w:b/>
        </w:rPr>
      </w:pPr>
      <w:bookmarkStart w:id="53" w:name="_Toc293583997"/>
      <w:bookmarkStart w:id="54" w:name="_Toc325024783"/>
      <w:bookmarkStart w:id="55" w:name="_Toc326061986"/>
      <w:bookmarkStart w:id="56" w:name="_Toc354501218"/>
      <w:bookmarkEnd w:id="49"/>
      <w:bookmarkEnd w:id="50"/>
      <w:bookmarkEnd w:id="51"/>
    </w:p>
    <w:p w:rsidR="00761BEC" w:rsidRPr="00761BEC" w:rsidRDefault="00761BEC" w:rsidP="00761BEC">
      <w:pPr>
        <w:pBdr>
          <w:bottom w:val="single" w:sz="12" w:space="1" w:color="365F91"/>
        </w:pBdr>
        <w:spacing w:before="600" w:after="80"/>
        <w:outlineLvl w:val="0"/>
        <w:rPr>
          <w:b/>
          <w:bCs/>
          <w:color w:val="365F91"/>
          <w:sz w:val="24"/>
          <w:szCs w:val="24"/>
        </w:rPr>
      </w:pPr>
      <w:bookmarkStart w:id="57" w:name="_Toc326061991"/>
      <w:bookmarkStart w:id="58" w:name="_Toc387747666"/>
      <w:bookmarkStart w:id="59" w:name="_Toc293584013"/>
      <w:bookmarkStart w:id="60" w:name="_Toc325024788"/>
      <w:bookmarkStart w:id="61" w:name="_Toc326061999"/>
      <w:bookmarkEnd w:id="53"/>
      <w:bookmarkEnd w:id="54"/>
      <w:bookmarkEnd w:id="55"/>
      <w:bookmarkEnd w:id="56"/>
      <w:r w:rsidRPr="00761BEC">
        <w:rPr>
          <w:b/>
          <w:bCs/>
          <w:color w:val="365F91"/>
          <w:sz w:val="24"/>
          <w:szCs w:val="24"/>
        </w:rPr>
        <w:lastRenderedPageBreak/>
        <w:t xml:space="preserve">2.7 Working with Staff </w:t>
      </w:r>
    </w:p>
    <w:p w:rsidR="00761BEC" w:rsidRPr="009D73DC" w:rsidRDefault="00761BEC" w:rsidP="00761BEC">
      <w:pPr>
        <w:ind w:left="-540"/>
        <w:rPr>
          <w:rFonts w:asciiTheme="minorHAnsi" w:hAnsiTheme="minorHAnsi" w:cs="Arial"/>
        </w:rPr>
      </w:pPr>
    </w:p>
    <w:p w:rsidR="00761BEC" w:rsidRPr="00B025E3" w:rsidRDefault="00761BEC" w:rsidP="00761BEC">
      <w:pPr>
        <w:autoSpaceDE w:val="0"/>
        <w:autoSpaceDN w:val="0"/>
        <w:adjustRightInd w:val="0"/>
        <w:rPr>
          <w:rFonts w:cs="Arial"/>
          <w:b/>
          <w:bCs/>
        </w:rPr>
      </w:pPr>
      <w:r w:rsidRPr="00B025E3">
        <w:rPr>
          <w:rFonts w:cs="Arial"/>
          <w:b/>
          <w:bCs/>
        </w:rPr>
        <w:t>Workforce Profile</w:t>
      </w:r>
    </w:p>
    <w:p w:rsidR="00761BEC" w:rsidRPr="00B025E3" w:rsidRDefault="00761BEC" w:rsidP="00761BEC">
      <w:pPr>
        <w:autoSpaceDE w:val="0"/>
        <w:autoSpaceDN w:val="0"/>
        <w:adjustRightInd w:val="0"/>
        <w:rPr>
          <w:rFonts w:cs="Arial"/>
          <w:b/>
          <w:bCs/>
        </w:rPr>
      </w:pPr>
    </w:p>
    <w:p w:rsidR="00761BEC" w:rsidRPr="00B025E3" w:rsidRDefault="00761BEC" w:rsidP="00761BEC">
      <w:pPr>
        <w:autoSpaceDE w:val="0"/>
        <w:autoSpaceDN w:val="0"/>
        <w:adjustRightInd w:val="0"/>
        <w:rPr>
          <w:rFonts w:cs="Arial"/>
        </w:rPr>
      </w:pPr>
      <w:r w:rsidRPr="00B025E3">
        <w:rPr>
          <w:rFonts w:cs="Arial"/>
        </w:rPr>
        <w:t xml:space="preserve">The graph presented below demonstrates the workforce headcount by occupational group for the last two years, highlighting changes in the workforce configuration. The overall headcount workforce profile has decreased from the year ending March 2013 to March 2015.  </w:t>
      </w:r>
    </w:p>
    <w:p w:rsidR="00761BEC" w:rsidRPr="00B025E3" w:rsidRDefault="00761BEC" w:rsidP="00761BEC">
      <w:pPr>
        <w:autoSpaceDE w:val="0"/>
        <w:autoSpaceDN w:val="0"/>
        <w:adjustRightInd w:val="0"/>
        <w:rPr>
          <w:rFonts w:cs="Arial"/>
        </w:rPr>
      </w:pPr>
    </w:p>
    <w:p w:rsidR="00761BEC" w:rsidRPr="00B025E3" w:rsidRDefault="00761BEC" w:rsidP="00761BEC">
      <w:pPr>
        <w:autoSpaceDE w:val="0"/>
        <w:autoSpaceDN w:val="0"/>
        <w:adjustRightInd w:val="0"/>
        <w:rPr>
          <w:rFonts w:cs="Arial"/>
          <w:color w:val="FF0000"/>
        </w:rPr>
      </w:pPr>
      <w:r w:rsidRPr="00B025E3">
        <w:rPr>
          <w:rFonts w:cs="Arial"/>
        </w:rPr>
        <w:t xml:space="preserve">This change mainly relates to a decrease in Nursing and Midwifery, Additional Clinical Services and Administration and Clerical.  The reason for this decrease is a result of the Trusts progress in our efficiency programmes which have led to a reduced bed capacity.  </w:t>
      </w:r>
      <w:r w:rsidR="0089680C">
        <w:rPr>
          <w:rFonts w:cs="Arial"/>
        </w:rPr>
        <w:t xml:space="preserve">This has allowed the Trust to reduce the overall number of nurses whilst making sure that the number of nurses to beds in use has not decreased. </w:t>
      </w:r>
      <w:r w:rsidRPr="00B025E3">
        <w:rPr>
          <w:rFonts w:cs="Arial"/>
        </w:rPr>
        <w:t>The Trust has also seen an increase in vacancies and has an ongoing programme to reduce the number of vacancies across key clinical posts.</w:t>
      </w:r>
    </w:p>
    <w:p w:rsidR="00761BEC" w:rsidRPr="00B025E3" w:rsidRDefault="00761BEC" w:rsidP="00761BEC">
      <w:pPr>
        <w:autoSpaceDE w:val="0"/>
        <w:autoSpaceDN w:val="0"/>
        <w:adjustRightInd w:val="0"/>
        <w:ind w:firstLine="360"/>
        <w:rPr>
          <w:rFonts w:cs="Arial"/>
        </w:rPr>
      </w:pPr>
    </w:p>
    <w:p w:rsidR="00761BEC" w:rsidRPr="00B025E3" w:rsidRDefault="00761BEC" w:rsidP="00761BEC">
      <w:pPr>
        <w:autoSpaceDE w:val="0"/>
        <w:autoSpaceDN w:val="0"/>
        <w:adjustRightInd w:val="0"/>
        <w:ind w:firstLine="360"/>
        <w:jc w:val="center"/>
        <w:rPr>
          <w:rFonts w:cs="Arial"/>
        </w:rPr>
      </w:pPr>
      <w:r w:rsidRPr="00B025E3">
        <w:rPr>
          <w:rFonts w:cs="Arial"/>
          <w:noProof/>
          <w:lang w:val="en-GB" w:eastAsia="en-GB"/>
        </w:rPr>
        <w:drawing>
          <wp:inline distT="0" distB="0" distL="0" distR="0">
            <wp:extent cx="5305425" cy="3305810"/>
            <wp:effectExtent l="19050" t="0" r="9525" b="8890"/>
            <wp:docPr id="1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61BEC" w:rsidRPr="00B025E3" w:rsidRDefault="00761BEC" w:rsidP="00761BEC">
      <w:pPr>
        <w:pBdr>
          <w:bottom w:val="single" w:sz="8" w:space="1" w:color="4F81BD"/>
        </w:pBdr>
        <w:spacing w:before="200" w:after="80"/>
        <w:outlineLvl w:val="1"/>
        <w:rPr>
          <w:rFonts w:cs="Arial"/>
          <w:b/>
          <w:color w:val="1F497D"/>
        </w:rPr>
      </w:pPr>
    </w:p>
    <w:p w:rsidR="00761BEC" w:rsidRPr="00DD3C49" w:rsidRDefault="00761BEC" w:rsidP="00761BEC">
      <w:pPr>
        <w:pBdr>
          <w:bottom w:val="single" w:sz="8" w:space="1" w:color="4F81BD"/>
        </w:pBdr>
        <w:spacing w:before="200" w:after="80"/>
        <w:outlineLvl w:val="1"/>
        <w:rPr>
          <w:rFonts w:cs="Arial"/>
          <w:b/>
          <w:color w:val="1F497D"/>
          <w:sz w:val="24"/>
          <w:szCs w:val="24"/>
        </w:rPr>
      </w:pPr>
      <w:bookmarkStart w:id="62" w:name="_Toc387747667"/>
      <w:r w:rsidRPr="00DD3C49">
        <w:rPr>
          <w:rFonts w:cs="Arial"/>
          <w:b/>
          <w:color w:val="1F497D"/>
          <w:sz w:val="24"/>
          <w:szCs w:val="24"/>
        </w:rPr>
        <w:t>2.7.1 Staff Engagement</w:t>
      </w:r>
      <w:bookmarkEnd w:id="62"/>
      <w:r w:rsidRPr="00DD3C49">
        <w:rPr>
          <w:rFonts w:cs="Arial"/>
          <w:b/>
          <w:color w:val="1F497D"/>
          <w:sz w:val="24"/>
          <w:szCs w:val="24"/>
        </w:rPr>
        <w:t xml:space="preserve"> </w:t>
      </w:r>
    </w:p>
    <w:p w:rsidR="00761BEC" w:rsidRPr="001B64E4" w:rsidRDefault="00761BEC" w:rsidP="00761BEC">
      <w:pPr>
        <w:spacing w:before="200" w:after="80"/>
        <w:outlineLvl w:val="1"/>
        <w:rPr>
          <w:rFonts w:cs="Arial"/>
        </w:rPr>
      </w:pPr>
      <w:r w:rsidRPr="001B64E4">
        <w:rPr>
          <w:rFonts w:cs="Arial"/>
        </w:rPr>
        <w:t xml:space="preserve">We </w:t>
      </w:r>
      <w:proofErr w:type="spellStart"/>
      <w:r w:rsidRPr="001B64E4">
        <w:rPr>
          <w:rFonts w:cs="Arial"/>
        </w:rPr>
        <w:t>recognise</w:t>
      </w:r>
      <w:proofErr w:type="spellEnd"/>
      <w:r w:rsidRPr="001B64E4">
        <w:rPr>
          <w:rFonts w:cs="Arial"/>
        </w:rPr>
        <w:t xml:space="preserve"> that a fully engaged and motivated workforce results in better patient outcomes and this has continued to be a key area of focus during 2014/15.  </w:t>
      </w:r>
    </w:p>
    <w:p w:rsidR="00761BEC" w:rsidRPr="001B64E4" w:rsidRDefault="00761BEC" w:rsidP="00761BEC">
      <w:pPr>
        <w:spacing w:before="200" w:after="80"/>
        <w:outlineLvl w:val="1"/>
        <w:rPr>
          <w:rFonts w:cs="Arial"/>
        </w:rPr>
      </w:pPr>
      <w:r w:rsidRPr="001B64E4">
        <w:rPr>
          <w:rFonts w:cs="Arial"/>
        </w:rPr>
        <w:t>Listening and learning from staff feedback is therefore essential in improving our services and that’s why the Trust uses a selection of tools and methods to encourage meaningful two-way conversation with staff.</w:t>
      </w:r>
    </w:p>
    <w:p w:rsidR="00761BEC" w:rsidRPr="001B64E4" w:rsidRDefault="00761BEC" w:rsidP="00761BEC">
      <w:pPr>
        <w:spacing w:before="200" w:after="80"/>
        <w:outlineLvl w:val="1"/>
        <w:rPr>
          <w:rFonts w:cs="Arial"/>
        </w:rPr>
      </w:pPr>
      <w:r w:rsidRPr="001B64E4">
        <w:rPr>
          <w:rFonts w:cs="Arial"/>
        </w:rPr>
        <w:t>At the end of August we re-launched the Trust newsletter. Replacing a previous large monthly publication, the new compact online edition out every fortnight, is designed to provide all Trust staff with a balance of corporate news, operational updates, staff engagement (such as the PRIDE Award) staff promotions and events. It also gives managers a useful tool for departmen</w:t>
      </w:r>
      <w:r w:rsidR="0089680C">
        <w:rPr>
          <w:rFonts w:cs="Arial"/>
        </w:rPr>
        <w:t xml:space="preserve">tal meetings. Two new sections, </w:t>
      </w:r>
      <w:r w:rsidRPr="001B64E4">
        <w:rPr>
          <w:rFonts w:cs="Arial"/>
        </w:rPr>
        <w:t xml:space="preserve">‘Introducing’ and ‘Spotlight on’ have proved popular. Highlighting the work of individuals and teams they give colleagues an insight into departments they otherwise may not know much about.  </w:t>
      </w:r>
    </w:p>
    <w:p w:rsidR="00761BEC" w:rsidRPr="001B64E4" w:rsidRDefault="00761BEC" w:rsidP="00761BEC">
      <w:pPr>
        <w:spacing w:before="200" w:after="80"/>
        <w:outlineLvl w:val="1"/>
        <w:rPr>
          <w:rFonts w:cs="Arial"/>
        </w:rPr>
      </w:pPr>
      <w:r w:rsidRPr="001B64E4">
        <w:rPr>
          <w:rFonts w:cs="Arial"/>
        </w:rPr>
        <w:lastRenderedPageBreak/>
        <w:t xml:space="preserve">Team Brief – a monthly open forum gives every member of staff instant access to the Chief Executive to ask any question about any Trust matter- departmentally or </w:t>
      </w:r>
      <w:proofErr w:type="spellStart"/>
      <w:r w:rsidRPr="001B64E4">
        <w:rPr>
          <w:rFonts w:cs="Arial"/>
        </w:rPr>
        <w:t>trustwide</w:t>
      </w:r>
      <w:proofErr w:type="spellEnd"/>
      <w:r w:rsidRPr="001B64E4">
        <w:rPr>
          <w:rFonts w:cs="Arial"/>
        </w:rPr>
        <w:t xml:space="preserve">. In the last year an estimated 700 staff have used this forum which attracts around 50 colleagues every month, over half are normally newcomers.  Colleagues actively use the forum to ask challenging and direct questions covering a variety of issues such as staffing, quality, safety, the NHS-only acquisition and finances. </w:t>
      </w:r>
    </w:p>
    <w:p w:rsidR="00761BEC" w:rsidRPr="001B64E4" w:rsidRDefault="00761BEC" w:rsidP="00761BEC">
      <w:pPr>
        <w:spacing w:before="200" w:after="80"/>
        <w:outlineLvl w:val="1"/>
        <w:rPr>
          <w:rFonts w:cs="Arial"/>
        </w:rPr>
      </w:pPr>
      <w:r w:rsidRPr="001B64E4">
        <w:rPr>
          <w:rFonts w:cs="Arial"/>
        </w:rPr>
        <w:t>Going forward both initiatives will be reviewed and developed so they continually service colleagues’ needs.</w:t>
      </w:r>
    </w:p>
    <w:p w:rsidR="00761BEC" w:rsidRPr="001B64E4" w:rsidRDefault="00761BEC" w:rsidP="00761BEC">
      <w:pPr>
        <w:spacing w:before="200" w:after="80"/>
        <w:outlineLvl w:val="1"/>
        <w:rPr>
          <w:rFonts w:cs="Arial"/>
        </w:rPr>
      </w:pPr>
      <w:r w:rsidRPr="001B64E4">
        <w:rPr>
          <w:rFonts w:cs="Arial"/>
        </w:rPr>
        <w:t>All executive directors have an on-going programme of visits to wards and departments to meet and discuss key issues with staff and action any concerns raised and in 2014 we ran a series of ‘listening events’ which were chaired by executive directors to share results from the Staff Friends and Family Test.</w:t>
      </w:r>
    </w:p>
    <w:p w:rsidR="00761BEC" w:rsidRPr="001B64E4" w:rsidRDefault="00761BEC" w:rsidP="00761BEC">
      <w:pPr>
        <w:spacing w:before="200" w:after="80"/>
        <w:outlineLvl w:val="1"/>
        <w:rPr>
          <w:rFonts w:cs="Arial"/>
        </w:rPr>
      </w:pPr>
      <w:r w:rsidRPr="001B64E4">
        <w:rPr>
          <w:rFonts w:cs="Arial"/>
        </w:rPr>
        <w:t>The NHS National Staff Survey took place between October and December 2014.  Of the 750 Weston Area Health NHS Trust (WAHT) staff surveyed, 396 took part.  This is a response rate of 53% which is higher than average for acute trusts in England (42%) and compares with a response rate of 49% in the 2013 survey.</w:t>
      </w:r>
    </w:p>
    <w:p w:rsidR="001B64E4" w:rsidRPr="001B64E4" w:rsidRDefault="001B64E4" w:rsidP="001B64E4">
      <w:pPr>
        <w:rPr>
          <w:rFonts w:cs="Arial"/>
        </w:rPr>
      </w:pPr>
      <w:r w:rsidRPr="001B64E4">
        <w:rPr>
          <w:rFonts w:cs="Arial"/>
        </w:rPr>
        <w:t>The table below shows the Trust’s response rate and compares against the national average.</w:t>
      </w:r>
    </w:p>
    <w:p w:rsidR="001B64E4" w:rsidRPr="001B64E4" w:rsidRDefault="001B64E4" w:rsidP="001B64E4">
      <w:pPr>
        <w:rPr>
          <w:rFonts w:cs="Arial"/>
        </w:rPr>
      </w:pPr>
    </w:p>
    <w:p w:rsidR="001B64E4" w:rsidRPr="001B64E4" w:rsidRDefault="001B64E4" w:rsidP="001B64E4">
      <w:pPr>
        <w:rPr>
          <w:rFonts w:cs="Arial"/>
          <w:b/>
        </w:rPr>
      </w:pPr>
      <w:r w:rsidRPr="001B64E4">
        <w:rPr>
          <w:rFonts w:cs="Arial"/>
          <w:b/>
          <w:u w:val="single"/>
        </w:rPr>
        <w:t>Percentage of staff responding to the survey</w:t>
      </w:r>
    </w:p>
    <w:p w:rsidR="001B64E4" w:rsidRPr="001B64E4" w:rsidRDefault="001B64E4" w:rsidP="001B64E4">
      <w:pPr>
        <w:rPr>
          <w:rFonts w:cs="Arial"/>
          <w:b/>
        </w:rPr>
      </w:pPr>
    </w:p>
    <w:tbl>
      <w:tblPr>
        <w:tblStyle w:val="TableGrid"/>
        <w:tblW w:w="0" w:type="auto"/>
        <w:tblInd w:w="250" w:type="dxa"/>
        <w:tblLayout w:type="fixed"/>
        <w:tblLook w:val="04A0"/>
      </w:tblPr>
      <w:tblGrid>
        <w:gridCol w:w="1313"/>
        <w:gridCol w:w="1386"/>
        <w:gridCol w:w="2262"/>
        <w:gridCol w:w="1391"/>
        <w:gridCol w:w="1303"/>
        <w:gridCol w:w="1701"/>
      </w:tblGrid>
      <w:tr w:rsidR="001B64E4" w:rsidRPr="001B64E4" w:rsidTr="001B64E4">
        <w:tc>
          <w:tcPr>
            <w:tcW w:w="1313" w:type="dxa"/>
            <w:shd w:val="clear" w:color="auto" w:fill="BFBFBF" w:themeFill="background1" w:themeFillShade="BF"/>
          </w:tcPr>
          <w:p w:rsidR="001B64E4" w:rsidRPr="001B64E4" w:rsidRDefault="001B64E4" w:rsidP="001B64E4">
            <w:pPr>
              <w:pStyle w:val="ListParagraph"/>
              <w:ind w:left="0"/>
              <w:rPr>
                <w:rFonts w:cs="Arial"/>
              </w:rPr>
            </w:pPr>
          </w:p>
        </w:tc>
        <w:tc>
          <w:tcPr>
            <w:tcW w:w="3648" w:type="dxa"/>
            <w:gridSpan w:val="2"/>
            <w:shd w:val="clear" w:color="auto" w:fill="BFBFBF" w:themeFill="background1" w:themeFillShade="BF"/>
          </w:tcPr>
          <w:p w:rsidR="001B64E4" w:rsidRPr="001B64E4" w:rsidRDefault="001B64E4" w:rsidP="001B64E4">
            <w:pPr>
              <w:pStyle w:val="ListParagraph"/>
              <w:ind w:left="0"/>
              <w:jc w:val="center"/>
              <w:rPr>
                <w:rFonts w:cs="Arial"/>
                <w:b/>
              </w:rPr>
            </w:pPr>
            <w:r w:rsidRPr="001B64E4">
              <w:rPr>
                <w:rFonts w:cs="Arial"/>
                <w:b/>
              </w:rPr>
              <w:t>2013</w:t>
            </w:r>
          </w:p>
        </w:tc>
        <w:tc>
          <w:tcPr>
            <w:tcW w:w="2694" w:type="dxa"/>
            <w:gridSpan w:val="2"/>
            <w:shd w:val="clear" w:color="auto" w:fill="BFBFBF" w:themeFill="background1" w:themeFillShade="BF"/>
          </w:tcPr>
          <w:p w:rsidR="001B64E4" w:rsidRPr="001B64E4" w:rsidRDefault="001B64E4" w:rsidP="001B64E4">
            <w:pPr>
              <w:pStyle w:val="ListParagraph"/>
              <w:ind w:left="0"/>
              <w:jc w:val="center"/>
              <w:rPr>
                <w:rFonts w:cs="Arial"/>
                <w:b/>
              </w:rPr>
            </w:pPr>
            <w:r w:rsidRPr="001B64E4">
              <w:rPr>
                <w:rFonts w:cs="Arial"/>
                <w:b/>
              </w:rPr>
              <w:t>2014</w:t>
            </w:r>
          </w:p>
        </w:tc>
        <w:tc>
          <w:tcPr>
            <w:tcW w:w="1701" w:type="dxa"/>
            <w:shd w:val="clear" w:color="auto" w:fill="BFBFBF" w:themeFill="background1" w:themeFillShade="BF"/>
          </w:tcPr>
          <w:p w:rsidR="001B64E4" w:rsidRPr="001B64E4" w:rsidRDefault="001B64E4" w:rsidP="001B64E4">
            <w:pPr>
              <w:pStyle w:val="ListParagraph"/>
              <w:ind w:left="0"/>
              <w:rPr>
                <w:rFonts w:cs="Arial"/>
                <w:b/>
              </w:rPr>
            </w:pPr>
          </w:p>
        </w:tc>
      </w:tr>
      <w:tr w:rsidR="001B64E4" w:rsidRPr="001B64E4" w:rsidTr="001B64E4">
        <w:tc>
          <w:tcPr>
            <w:tcW w:w="1313" w:type="dxa"/>
          </w:tcPr>
          <w:p w:rsidR="001B64E4" w:rsidRPr="001B64E4" w:rsidRDefault="001B64E4" w:rsidP="001B64E4">
            <w:pPr>
              <w:pStyle w:val="ListParagraph"/>
              <w:ind w:left="0"/>
              <w:rPr>
                <w:rFonts w:cs="Arial"/>
              </w:rPr>
            </w:pPr>
          </w:p>
        </w:tc>
        <w:tc>
          <w:tcPr>
            <w:tcW w:w="1386" w:type="dxa"/>
          </w:tcPr>
          <w:p w:rsidR="001B64E4" w:rsidRPr="001B64E4" w:rsidRDefault="001B64E4" w:rsidP="001B64E4">
            <w:pPr>
              <w:pStyle w:val="ListParagraph"/>
              <w:ind w:left="0"/>
              <w:jc w:val="center"/>
              <w:rPr>
                <w:rFonts w:cs="Arial"/>
                <w:b/>
              </w:rPr>
            </w:pPr>
            <w:r w:rsidRPr="001B64E4">
              <w:rPr>
                <w:rFonts w:cs="Arial"/>
                <w:b/>
              </w:rPr>
              <w:t>Trust</w:t>
            </w:r>
          </w:p>
        </w:tc>
        <w:tc>
          <w:tcPr>
            <w:tcW w:w="2262" w:type="dxa"/>
          </w:tcPr>
          <w:p w:rsidR="001B64E4" w:rsidRPr="001B64E4" w:rsidRDefault="001B64E4" w:rsidP="001B64E4">
            <w:pPr>
              <w:pStyle w:val="ListParagraph"/>
              <w:ind w:left="0"/>
              <w:jc w:val="center"/>
              <w:rPr>
                <w:rFonts w:cs="Arial"/>
                <w:b/>
              </w:rPr>
            </w:pPr>
            <w:r w:rsidRPr="001B64E4">
              <w:rPr>
                <w:rFonts w:cs="Arial"/>
                <w:b/>
              </w:rPr>
              <w:t>National Average</w:t>
            </w:r>
          </w:p>
        </w:tc>
        <w:tc>
          <w:tcPr>
            <w:tcW w:w="1391" w:type="dxa"/>
          </w:tcPr>
          <w:p w:rsidR="001B64E4" w:rsidRPr="001B64E4" w:rsidRDefault="001B64E4" w:rsidP="001B64E4">
            <w:pPr>
              <w:pStyle w:val="ListParagraph"/>
              <w:ind w:left="0"/>
              <w:jc w:val="center"/>
              <w:rPr>
                <w:rFonts w:cs="Arial"/>
                <w:b/>
              </w:rPr>
            </w:pPr>
            <w:r w:rsidRPr="001B64E4">
              <w:rPr>
                <w:rFonts w:cs="Arial"/>
                <w:b/>
              </w:rPr>
              <w:t>Trust</w:t>
            </w:r>
          </w:p>
        </w:tc>
        <w:tc>
          <w:tcPr>
            <w:tcW w:w="1303" w:type="dxa"/>
          </w:tcPr>
          <w:p w:rsidR="001B64E4" w:rsidRPr="001B64E4" w:rsidRDefault="001B64E4" w:rsidP="001B64E4">
            <w:pPr>
              <w:pStyle w:val="ListParagraph"/>
              <w:ind w:left="0"/>
              <w:jc w:val="center"/>
              <w:rPr>
                <w:rFonts w:cs="Arial"/>
                <w:b/>
              </w:rPr>
            </w:pPr>
            <w:r w:rsidRPr="001B64E4">
              <w:rPr>
                <w:rFonts w:cs="Arial"/>
                <w:b/>
              </w:rPr>
              <w:t>National Average</w:t>
            </w:r>
          </w:p>
        </w:tc>
        <w:tc>
          <w:tcPr>
            <w:tcW w:w="1701" w:type="dxa"/>
          </w:tcPr>
          <w:p w:rsidR="001B64E4" w:rsidRPr="001B64E4" w:rsidRDefault="001B64E4" w:rsidP="001B64E4">
            <w:pPr>
              <w:pStyle w:val="ListParagraph"/>
              <w:ind w:left="0"/>
              <w:jc w:val="center"/>
              <w:rPr>
                <w:rFonts w:cs="Arial"/>
                <w:b/>
              </w:rPr>
            </w:pPr>
            <w:r w:rsidRPr="001B64E4">
              <w:rPr>
                <w:rFonts w:cs="Arial"/>
                <w:b/>
              </w:rPr>
              <w:t>Improvement/</w:t>
            </w:r>
          </w:p>
          <w:p w:rsidR="001B64E4" w:rsidRPr="001B64E4" w:rsidRDefault="001B64E4" w:rsidP="001B64E4">
            <w:pPr>
              <w:pStyle w:val="ListParagraph"/>
              <w:ind w:left="0"/>
              <w:jc w:val="center"/>
              <w:rPr>
                <w:rFonts w:cs="Arial"/>
              </w:rPr>
            </w:pPr>
            <w:r w:rsidRPr="001B64E4">
              <w:rPr>
                <w:rFonts w:cs="Arial"/>
                <w:b/>
              </w:rPr>
              <w:t>Deterioration</w:t>
            </w:r>
          </w:p>
        </w:tc>
      </w:tr>
      <w:tr w:rsidR="001B64E4" w:rsidRPr="001B64E4" w:rsidTr="001B64E4">
        <w:tc>
          <w:tcPr>
            <w:tcW w:w="1313" w:type="dxa"/>
          </w:tcPr>
          <w:p w:rsidR="001B64E4" w:rsidRPr="001B64E4" w:rsidRDefault="001B64E4" w:rsidP="001B64E4">
            <w:pPr>
              <w:pStyle w:val="ListParagraph"/>
              <w:ind w:left="0"/>
              <w:rPr>
                <w:rFonts w:cs="Arial"/>
                <w:b/>
              </w:rPr>
            </w:pPr>
            <w:r w:rsidRPr="001B64E4">
              <w:rPr>
                <w:rFonts w:cs="Arial"/>
                <w:b/>
              </w:rPr>
              <w:t>Response rate</w:t>
            </w:r>
          </w:p>
        </w:tc>
        <w:tc>
          <w:tcPr>
            <w:tcW w:w="1386" w:type="dxa"/>
          </w:tcPr>
          <w:p w:rsidR="001B64E4" w:rsidRPr="001B64E4" w:rsidRDefault="001B64E4" w:rsidP="001B64E4">
            <w:pPr>
              <w:pStyle w:val="ListParagraph"/>
              <w:ind w:left="0"/>
              <w:jc w:val="center"/>
              <w:rPr>
                <w:rFonts w:cs="Arial"/>
              </w:rPr>
            </w:pPr>
            <w:r w:rsidRPr="001B64E4">
              <w:rPr>
                <w:rFonts w:cs="Arial"/>
              </w:rPr>
              <w:t>49%</w:t>
            </w:r>
          </w:p>
        </w:tc>
        <w:tc>
          <w:tcPr>
            <w:tcW w:w="2262" w:type="dxa"/>
          </w:tcPr>
          <w:p w:rsidR="001B64E4" w:rsidRPr="001B64E4" w:rsidRDefault="001B64E4" w:rsidP="001B64E4">
            <w:pPr>
              <w:pStyle w:val="ListParagraph"/>
              <w:ind w:left="0"/>
              <w:jc w:val="center"/>
              <w:rPr>
                <w:rFonts w:cs="Arial"/>
              </w:rPr>
            </w:pPr>
            <w:r w:rsidRPr="001B64E4">
              <w:rPr>
                <w:rFonts w:cs="Arial"/>
              </w:rPr>
              <w:t>49%</w:t>
            </w:r>
          </w:p>
        </w:tc>
        <w:tc>
          <w:tcPr>
            <w:tcW w:w="1391" w:type="dxa"/>
          </w:tcPr>
          <w:p w:rsidR="001B64E4" w:rsidRPr="001B64E4" w:rsidRDefault="001B64E4" w:rsidP="001B64E4">
            <w:pPr>
              <w:pStyle w:val="ListParagraph"/>
              <w:ind w:left="0"/>
              <w:jc w:val="center"/>
              <w:rPr>
                <w:rFonts w:cs="Arial"/>
              </w:rPr>
            </w:pPr>
            <w:r w:rsidRPr="001B64E4">
              <w:rPr>
                <w:rFonts w:cs="Arial"/>
              </w:rPr>
              <w:t>53%</w:t>
            </w:r>
          </w:p>
        </w:tc>
        <w:tc>
          <w:tcPr>
            <w:tcW w:w="1303" w:type="dxa"/>
          </w:tcPr>
          <w:p w:rsidR="001B64E4" w:rsidRPr="001B64E4" w:rsidRDefault="001B64E4" w:rsidP="001B64E4">
            <w:pPr>
              <w:pStyle w:val="ListParagraph"/>
              <w:ind w:left="0"/>
              <w:jc w:val="center"/>
              <w:rPr>
                <w:rFonts w:cs="Arial"/>
              </w:rPr>
            </w:pPr>
            <w:r w:rsidRPr="001B64E4">
              <w:rPr>
                <w:rFonts w:cs="Arial"/>
              </w:rPr>
              <w:t>42%</w:t>
            </w:r>
          </w:p>
        </w:tc>
        <w:tc>
          <w:tcPr>
            <w:tcW w:w="1701" w:type="dxa"/>
          </w:tcPr>
          <w:p w:rsidR="001B64E4" w:rsidRPr="001B64E4" w:rsidRDefault="001B64E4" w:rsidP="001B64E4">
            <w:pPr>
              <w:pStyle w:val="ListParagraph"/>
              <w:ind w:left="0"/>
              <w:jc w:val="center"/>
              <w:rPr>
                <w:rFonts w:cs="Arial"/>
              </w:rPr>
            </w:pPr>
            <w:r w:rsidRPr="001B64E4">
              <w:rPr>
                <w:rFonts w:cs="Arial"/>
              </w:rPr>
              <w:t>Improvement</w:t>
            </w:r>
          </w:p>
        </w:tc>
      </w:tr>
    </w:tbl>
    <w:p w:rsidR="001B64E4" w:rsidRPr="001B64E4" w:rsidRDefault="001B64E4" w:rsidP="001B64E4">
      <w:pPr>
        <w:pStyle w:val="ListParagraph"/>
        <w:ind w:left="0"/>
        <w:rPr>
          <w:rFonts w:cs="Arial"/>
        </w:rPr>
      </w:pPr>
    </w:p>
    <w:p w:rsidR="001B64E4" w:rsidRPr="001B64E4" w:rsidRDefault="001B64E4" w:rsidP="001B64E4">
      <w:pPr>
        <w:pStyle w:val="ListParagraph"/>
        <w:ind w:left="0"/>
        <w:rPr>
          <w:rFonts w:cs="Arial"/>
        </w:rPr>
      </w:pPr>
      <w:r w:rsidRPr="001B64E4">
        <w:rPr>
          <w:rFonts w:cs="Arial"/>
        </w:rPr>
        <w:t xml:space="preserve">As in previous years, the staff survey results have been reported to the Board and work is already underway to identify key areas of work and priorities for the coming year.  </w:t>
      </w:r>
    </w:p>
    <w:p w:rsidR="001B64E4" w:rsidRPr="001B64E4" w:rsidRDefault="001B64E4" w:rsidP="001B64E4">
      <w:pPr>
        <w:pStyle w:val="ListParagraph"/>
        <w:ind w:left="0"/>
        <w:rPr>
          <w:rFonts w:cs="Arial"/>
        </w:rPr>
      </w:pPr>
    </w:p>
    <w:p w:rsidR="001B64E4" w:rsidRPr="001B64E4" w:rsidRDefault="001B64E4" w:rsidP="001B64E4">
      <w:pPr>
        <w:pStyle w:val="ListParagraph"/>
        <w:ind w:left="0"/>
        <w:rPr>
          <w:rFonts w:cs="Arial"/>
        </w:rPr>
      </w:pPr>
      <w:r w:rsidRPr="001B64E4">
        <w:rPr>
          <w:rFonts w:cs="Arial"/>
          <w:b/>
          <w:u w:val="single"/>
        </w:rPr>
        <w:t xml:space="preserve">5 Top Ranking Scores </w:t>
      </w:r>
      <w:r w:rsidRPr="001B64E4">
        <w:rPr>
          <w:rFonts w:cs="Arial"/>
        </w:rPr>
        <w:t>– compared to other acute Trusts in England</w:t>
      </w:r>
    </w:p>
    <w:p w:rsidR="001B64E4" w:rsidRPr="001B64E4" w:rsidRDefault="001B64E4" w:rsidP="001B64E4">
      <w:pPr>
        <w:pStyle w:val="ListParagraph"/>
        <w:ind w:left="0"/>
        <w:rPr>
          <w:rFonts w:cs="Arial"/>
        </w:rPr>
      </w:pPr>
    </w:p>
    <w:tbl>
      <w:tblPr>
        <w:tblStyle w:val="TableGrid"/>
        <w:tblW w:w="0" w:type="auto"/>
        <w:tblInd w:w="250" w:type="dxa"/>
        <w:tblLook w:val="04A0"/>
      </w:tblPr>
      <w:tblGrid>
        <w:gridCol w:w="851"/>
        <w:gridCol w:w="4110"/>
        <w:gridCol w:w="1134"/>
        <w:gridCol w:w="1560"/>
        <w:gridCol w:w="1701"/>
      </w:tblGrid>
      <w:tr w:rsidR="001B64E4" w:rsidRPr="001B64E4" w:rsidTr="001B64E4">
        <w:tc>
          <w:tcPr>
            <w:tcW w:w="4961" w:type="dxa"/>
            <w:gridSpan w:val="2"/>
            <w:shd w:val="clear" w:color="auto" w:fill="BFBFBF" w:themeFill="background1" w:themeFillShade="BF"/>
          </w:tcPr>
          <w:p w:rsidR="001B64E4" w:rsidRPr="001B64E4" w:rsidRDefault="001B64E4" w:rsidP="001B64E4">
            <w:pPr>
              <w:pStyle w:val="ListParagraph"/>
              <w:ind w:left="0"/>
              <w:rPr>
                <w:rFonts w:cs="Arial"/>
                <w:b/>
              </w:rPr>
            </w:pPr>
            <w:r w:rsidRPr="001B64E4">
              <w:rPr>
                <w:rFonts w:cs="Arial"/>
                <w:b/>
              </w:rPr>
              <w:t>Key Finding</w:t>
            </w:r>
          </w:p>
        </w:tc>
        <w:tc>
          <w:tcPr>
            <w:tcW w:w="1134" w:type="dxa"/>
            <w:shd w:val="clear" w:color="auto" w:fill="BFBFBF" w:themeFill="background1" w:themeFillShade="BF"/>
          </w:tcPr>
          <w:p w:rsidR="001B64E4" w:rsidRPr="001B64E4" w:rsidRDefault="001B64E4" w:rsidP="001B64E4">
            <w:pPr>
              <w:pStyle w:val="ListParagraph"/>
              <w:ind w:left="0"/>
              <w:jc w:val="center"/>
              <w:rPr>
                <w:rFonts w:cs="Arial"/>
                <w:b/>
              </w:rPr>
            </w:pPr>
            <w:r w:rsidRPr="001B64E4">
              <w:rPr>
                <w:rFonts w:cs="Arial"/>
                <w:b/>
              </w:rPr>
              <w:t>Trust Score 2014</w:t>
            </w:r>
          </w:p>
        </w:tc>
        <w:tc>
          <w:tcPr>
            <w:tcW w:w="1560" w:type="dxa"/>
            <w:shd w:val="clear" w:color="auto" w:fill="BFBFBF" w:themeFill="background1" w:themeFillShade="BF"/>
          </w:tcPr>
          <w:p w:rsidR="001B64E4" w:rsidRPr="001B64E4" w:rsidRDefault="001B64E4" w:rsidP="001B64E4">
            <w:pPr>
              <w:pStyle w:val="ListParagraph"/>
              <w:ind w:left="0"/>
              <w:jc w:val="center"/>
              <w:rPr>
                <w:rFonts w:cs="Arial"/>
                <w:b/>
              </w:rPr>
            </w:pPr>
            <w:r w:rsidRPr="001B64E4">
              <w:rPr>
                <w:rFonts w:cs="Arial"/>
                <w:b/>
              </w:rPr>
              <w:t>National Average</w:t>
            </w:r>
          </w:p>
        </w:tc>
        <w:tc>
          <w:tcPr>
            <w:tcW w:w="1701" w:type="dxa"/>
            <w:shd w:val="clear" w:color="auto" w:fill="BFBFBF" w:themeFill="background1" w:themeFillShade="BF"/>
          </w:tcPr>
          <w:p w:rsidR="001B64E4" w:rsidRPr="001B64E4" w:rsidRDefault="001B64E4" w:rsidP="001B64E4">
            <w:pPr>
              <w:pStyle w:val="ListParagraph"/>
              <w:ind w:left="0"/>
              <w:jc w:val="center"/>
              <w:rPr>
                <w:rFonts w:cs="Arial"/>
                <w:b/>
              </w:rPr>
            </w:pPr>
            <w:r w:rsidRPr="001B64E4">
              <w:rPr>
                <w:rFonts w:cs="Arial"/>
                <w:b/>
              </w:rPr>
              <w:t>Ranking</w:t>
            </w:r>
          </w:p>
        </w:tc>
      </w:tr>
      <w:tr w:rsidR="001B64E4" w:rsidRPr="001B64E4" w:rsidTr="001B64E4">
        <w:tc>
          <w:tcPr>
            <w:tcW w:w="851" w:type="dxa"/>
            <w:vAlign w:val="center"/>
          </w:tcPr>
          <w:p w:rsidR="001B64E4" w:rsidRPr="001B64E4" w:rsidRDefault="001B64E4" w:rsidP="001B64E4">
            <w:pPr>
              <w:pStyle w:val="ListParagraph"/>
              <w:ind w:left="0" w:right="-81"/>
              <w:rPr>
                <w:rFonts w:cs="Arial"/>
              </w:rPr>
            </w:pPr>
            <w:r w:rsidRPr="001B64E4">
              <w:rPr>
                <w:rFonts w:cs="Arial"/>
              </w:rPr>
              <w:t>KF4</w:t>
            </w:r>
          </w:p>
        </w:tc>
        <w:tc>
          <w:tcPr>
            <w:tcW w:w="4110" w:type="dxa"/>
            <w:vAlign w:val="center"/>
          </w:tcPr>
          <w:p w:rsidR="001B64E4" w:rsidRPr="001B64E4" w:rsidRDefault="001B64E4" w:rsidP="001B64E4">
            <w:pPr>
              <w:pStyle w:val="ListParagraph"/>
              <w:ind w:left="0" w:right="-81"/>
              <w:rPr>
                <w:rFonts w:cs="Arial"/>
              </w:rPr>
            </w:pPr>
            <w:r w:rsidRPr="001B64E4">
              <w:rPr>
                <w:rFonts w:cs="Arial"/>
              </w:rPr>
              <w:t>Effective team working</w:t>
            </w:r>
          </w:p>
        </w:tc>
        <w:tc>
          <w:tcPr>
            <w:tcW w:w="1134" w:type="dxa"/>
            <w:vAlign w:val="center"/>
          </w:tcPr>
          <w:p w:rsidR="001B64E4" w:rsidRPr="001B64E4" w:rsidRDefault="001B64E4" w:rsidP="001B64E4">
            <w:pPr>
              <w:pStyle w:val="ListParagraph"/>
              <w:ind w:left="0"/>
              <w:jc w:val="center"/>
              <w:rPr>
                <w:rFonts w:cs="Arial"/>
              </w:rPr>
            </w:pPr>
            <w:r w:rsidRPr="001B64E4">
              <w:rPr>
                <w:rFonts w:cs="Arial"/>
              </w:rPr>
              <w:t>3.85</w:t>
            </w:r>
          </w:p>
        </w:tc>
        <w:tc>
          <w:tcPr>
            <w:tcW w:w="1560" w:type="dxa"/>
            <w:vAlign w:val="center"/>
          </w:tcPr>
          <w:p w:rsidR="001B64E4" w:rsidRPr="001B64E4" w:rsidRDefault="001B64E4" w:rsidP="001B64E4">
            <w:pPr>
              <w:pStyle w:val="ListParagraph"/>
              <w:ind w:left="0"/>
              <w:jc w:val="center"/>
              <w:rPr>
                <w:rFonts w:cs="Arial"/>
              </w:rPr>
            </w:pPr>
            <w:r w:rsidRPr="001B64E4">
              <w:rPr>
                <w:rFonts w:cs="Arial"/>
              </w:rPr>
              <w:t>3.74</w:t>
            </w:r>
          </w:p>
        </w:tc>
        <w:tc>
          <w:tcPr>
            <w:tcW w:w="1701" w:type="dxa"/>
            <w:vAlign w:val="center"/>
          </w:tcPr>
          <w:p w:rsidR="001B64E4" w:rsidRPr="001B64E4" w:rsidRDefault="001B64E4" w:rsidP="001B64E4">
            <w:pPr>
              <w:pStyle w:val="ListParagraph"/>
              <w:ind w:left="0"/>
              <w:jc w:val="center"/>
              <w:rPr>
                <w:rFonts w:cs="Arial"/>
              </w:rPr>
            </w:pPr>
            <w:r w:rsidRPr="001B64E4">
              <w:rPr>
                <w:rFonts w:cs="Arial"/>
              </w:rPr>
              <w:t>Highest (best) 20%</w:t>
            </w:r>
          </w:p>
        </w:tc>
      </w:tr>
      <w:tr w:rsidR="001B64E4" w:rsidRPr="001B64E4" w:rsidTr="001B64E4">
        <w:tc>
          <w:tcPr>
            <w:tcW w:w="851" w:type="dxa"/>
            <w:vAlign w:val="center"/>
          </w:tcPr>
          <w:p w:rsidR="001B64E4" w:rsidRPr="001B64E4" w:rsidRDefault="001B64E4" w:rsidP="001B64E4">
            <w:pPr>
              <w:pStyle w:val="ListParagraph"/>
              <w:ind w:left="0"/>
              <w:rPr>
                <w:rFonts w:cs="Arial"/>
              </w:rPr>
            </w:pPr>
            <w:r w:rsidRPr="001B64E4">
              <w:rPr>
                <w:rFonts w:cs="Arial"/>
              </w:rPr>
              <w:t>KF6</w:t>
            </w:r>
          </w:p>
        </w:tc>
        <w:tc>
          <w:tcPr>
            <w:tcW w:w="4110" w:type="dxa"/>
            <w:vAlign w:val="center"/>
          </w:tcPr>
          <w:p w:rsidR="001B64E4" w:rsidRPr="001B64E4" w:rsidRDefault="001B64E4" w:rsidP="001B64E4">
            <w:pPr>
              <w:pStyle w:val="ListParagraph"/>
              <w:ind w:left="0"/>
              <w:rPr>
                <w:rFonts w:cs="Arial"/>
              </w:rPr>
            </w:pPr>
            <w:r w:rsidRPr="001B64E4">
              <w:rPr>
                <w:rFonts w:cs="Arial"/>
              </w:rPr>
              <w:t>Percentage of staff receiving job-relevant training, learning or development in the last 12 months</w:t>
            </w:r>
          </w:p>
        </w:tc>
        <w:tc>
          <w:tcPr>
            <w:tcW w:w="1134" w:type="dxa"/>
            <w:vAlign w:val="center"/>
          </w:tcPr>
          <w:p w:rsidR="001B64E4" w:rsidRPr="001B64E4" w:rsidRDefault="001B64E4" w:rsidP="001B64E4">
            <w:pPr>
              <w:pStyle w:val="ListParagraph"/>
              <w:ind w:left="0"/>
              <w:jc w:val="center"/>
              <w:rPr>
                <w:rFonts w:cs="Arial"/>
              </w:rPr>
            </w:pPr>
            <w:r w:rsidRPr="001B64E4">
              <w:rPr>
                <w:rFonts w:cs="Arial"/>
              </w:rPr>
              <w:t>85%</w:t>
            </w:r>
          </w:p>
        </w:tc>
        <w:tc>
          <w:tcPr>
            <w:tcW w:w="1560" w:type="dxa"/>
            <w:vAlign w:val="center"/>
          </w:tcPr>
          <w:p w:rsidR="001B64E4" w:rsidRPr="001B64E4" w:rsidRDefault="001B64E4" w:rsidP="001B64E4">
            <w:pPr>
              <w:pStyle w:val="ListParagraph"/>
              <w:ind w:left="0"/>
              <w:jc w:val="center"/>
              <w:rPr>
                <w:rFonts w:cs="Arial"/>
              </w:rPr>
            </w:pPr>
            <w:r w:rsidRPr="001B64E4">
              <w:rPr>
                <w:rFonts w:cs="Arial"/>
              </w:rPr>
              <w:t>81%</w:t>
            </w:r>
          </w:p>
        </w:tc>
        <w:tc>
          <w:tcPr>
            <w:tcW w:w="1701" w:type="dxa"/>
            <w:vAlign w:val="center"/>
          </w:tcPr>
          <w:p w:rsidR="001B64E4" w:rsidRPr="001B64E4" w:rsidRDefault="001B64E4" w:rsidP="001B64E4">
            <w:pPr>
              <w:pStyle w:val="ListParagraph"/>
              <w:ind w:left="0"/>
              <w:jc w:val="center"/>
              <w:rPr>
                <w:rFonts w:cs="Arial"/>
              </w:rPr>
            </w:pPr>
            <w:r w:rsidRPr="001B64E4">
              <w:rPr>
                <w:rFonts w:cs="Arial"/>
              </w:rPr>
              <w:t>Highest (best) 20%</w:t>
            </w:r>
          </w:p>
        </w:tc>
      </w:tr>
      <w:tr w:rsidR="001B64E4" w:rsidRPr="001B64E4" w:rsidTr="001B64E4">
        <w:tc>
          <w:tcPr>
            <w:tcW w:w="851" w:type="dxa"/>
            <w:vAlign w:val="center"/>
          </w:tcPr>
          <w:p w:rsidR="001B64E4" w:rsidRPr="001B64E4" w:rsidRDefault="001B64E4" w:rsidP="001B64E4">
            <w:pPr>
              <w:pStyle w:val="ListParagraph"/>
              <w:ind w:left="0"/>
              <w:rPr>
                <w:rFonts w:cs="Arial"/>
              </w:rPr>
            </w:pPr>
            <w:r w:rsidRPr="001B64E4">
              <w:rPr>
                <w:rFonts w:cs="Arial"/>
              </w:rPr>
              <w:t>KF27</w:t>
            </w:r>
          </w:p>
        </w:tc>
        <w:tc>
          <w:tcPr>
            <w:tcW w:w="4110" w:type="dxa"/>
            <w:vAlign w:val="center"/>
          </w:tcPr>
          <w:p w:rsidR="001B64E4" w:rsidRPr="001B64E4" w:rsidRDefault="001B64E4" w:rsidP="001B64E4">
            <w:pPr>
              <w:pStyle w:val="ListParagraph"/>
              <w:ind w:left="0"/>
              <w:rPr>
                <w:rFonts w:cs="Arial"/>
              </w:rPr>
            </w:pPr>
            <w:r w:rsidRPr="001B64E4">
              <w:rPr>
                <w:rFonts w:cs="Arial"/>
              </w:rPr>
              <w:t>Percentage of staff believing the trust provides equal opportunities for career progression or promotion</w:t>
            </w:r>
          </w:p>
        </w:tc>
        <w:tc>
          <w:tcPr>
            <w:tcW w:w="1134" w:type="dxa"/>
            <w:vAlign w:val="center"/>
          </w:tcPr>
          <w:p w:rsidR="001B64E4" w:rsidRPr="001B64E4" w:rsidRDefault="001B64E4" w:rsidP="001B64E4">
            <w:pPr>
              <w:pStyle w:val="ListParagraph"/>
              <w:ind w:left="0"/>
              <w:jc w:val="center"/>
              <w:rPr>
                <w:rFonts w:cs="Arial"/>
              </w:rPr>
            </w:pPr>
            <w:r w:rsidRPr="001B64E4">
              <w:rPr>
                <w:rFonts w:cs="Arial"/>
              </w:rPr>
              <w:t>91%</w:t>
            </w:r>
          </w:p>
        </w:tc>
        <w:tc>
          <w:tcPr>
            <w:tcW w:w="1560" w:type="dxa"/>
            <w:vAlign w:val="center"/>
          </w:tcPr>
          <w:p w:rsidR="001B64E4" w:rsidRPr="001B64E4" w:rsidRDefault="001B64E4" w:rsidP="001B64E4">
            <w:pPr>
              <w:pStyle w:val="ListParagraph"/>
              <w:ind w:left="0"/>
              <w:jc w:val="center"/>
              <w:rPr>
                <w:rFonts w:cs="Arial"/>
              </w:rPr>
            </w:pPr>
            <w:r w:rsidRPr="001B64E4">
              <w:rPr>
                <w:rFonts w:cs="Arial"/>
              </w:rPr>
              <w:t>87%</w:t>
            </w:r>
          </w:p>
        </w:tc>
        <w:tc>
          <w:tcPr>
            <w:tcW w:w="1701" w:type="dxa"/>
            <w:vAlign w:val="center"/>
          </w:tcPr>
          <w:p w:rsidR="001B64E4" w:rsidRPr="001B64E4" w:rsidRDefault="001B64E4" w:rsidP="001B64E4">
            <w:pPr>
              <w:pStyle w:val="ListParagraph"/>
              <w:ind w:left="0"/>
              <w:jc w:val="center"/>
              <w:rPr>
                <w:rFonts w:cs="Arial"/>
              </w:rPr>
            </w:pPr>
            <w:r w:rsidRPr="001B64E4">
              <w:rPr>
                <w:rFonts w:cs="Arial"/>
              </w:rPr>
              <w:t>Highest (best) 20%</w:t>
            </w:r>
          </w:p>
        </w:tc>
      </w:tr>
      <w:tr w:rsidR="001B64E4" w:rsidRPr="001B64E4" w:rsidTr="001B64E4">
        <w:tc>
          <w:tcPr>
            <w:tcW w:w="851" w:type="dxa"/>
            <w:vAlign w:val="center"/>
          </w:tcPr>
          <w:p w:rsidR="001B64E4" w:rsidRPr="001B64E4" w:rsidRDefault="001B64E4" w:rsidP="001B64E4">
            <w:pPr>
              <w:pStyle w:val="ListParagraph"/>
              <w:ind w:left="0"/>
              <w:rPr>
                <w:rFonts w:cs="Arial"/>
              </w:rPr>
            </w:pPr>
            <w:r w:rsidRPr="001B64E4">
              <w:rPr>
                <w:rFonts w:cs="Arial"/>
              </w:rPr>
              <w:t>KF28</w:t>
            </w:r>
          </w:p>
        </w:tc>
        <w:tc>
          <w:tcPr>
            <w:tcW w:w="4110" w:type="dxa"/>
            <w:vAlign w:val="center"/>
          </w:tcPr>
          <w:p w:rsidR="001B64E4" w:rsidRPr="001B64E4" w:rsidRDefault="001B64E4" w:rsidP="001B64E4">
            <w:pPr>
              <w:pStyle w:val="ListParagraph"/>
              <w:ind w:left="0"/>
              <w:rPr>
                <w:rFonts w:cs="Arial"/>
              </w:rPr>
            </w:pPr>
            <w:r w:rsidRPr="001B64E4">
              <w:rPr>
                <w:rFonts w:cs="Arial"/>
              </w:rPr>
              <w:t>Percentage of staff experiencing discrimination at work in the last 12 months</w:t>
            </w:r>
          </w:p>
        </w:tc>
        <w:tc>
          <w:tcPr>
            <w:tcW w:w="1134" w:type="dxa"/>
            <w:vAlign w:val="center"/>
          </w:tcPr>
          <w:p w:rsidR="001B64E4" w:rsidRPr="001B64E4" w:rsidRDefault="001B64E4" w:rsidP="001B64E4">
            <w:pPr>
              <w:pStyle w:val="ListParagraph"/>
              <w:ind w:left="0"/>
              <w:jc w:val="center"/>
              <w:rPr>
                <w:rFonts w:cs="Arial"/>
              </w:rPr>
            </w:pPr>
            <w:r w:rsidRPr="001B64E4">
              <w:rPr>
                <w:rFonts w:cs="Arial"/>
              </w:rPr>
              <w:t>9%</w:t>
            </w:r>
          </w:p>
        </w:tc>
        <w:tc>
          <w:tcPr>
            <w:tcW w:w="1560" w:type="dxa"/>
            <w:vAlign w:val="center"/>
          </w:tcPr>
          <w:p w:rsidR="001B64E4" w:rsidRPr="001B64E4" w:rsidRDefault="001B64E4" w:rsidP="001B64E4">
            <w:pPr>
              <w:pStyle w:val="ListParagraph"/>
              <w:ind w:left="0"/>
              <w:jc w:val="center"/>
              <w:rPr>
                <w:rFonts w:cs="Arial"/>
              </w:rPr>
            </w:pPr>
            <w:r w:rsidRPr="001B64E4">
              <w:rPr>
                <w:rFonts w:cs="Arial"/>
              </w:rPr>
              <w:t>11%</w:t>
            </w:r>
          </w:p>
        </w:tc>
        <w:tc>
          <w:tcPr>
            <w:tcW w:w="1701" w:type="dxa"/>
            <w:vAlign w:val="center"/>
          </w:tcPr>
          <w:p w:rsidR="001B64E4" w:rsidRPr="001B64E4" w:rsidRDefault="001B64E4" w:rsidP="001B64E4">
            <w:pPr>
              <w:pStyle w:val="ListParagraph"/>
              <w:ind w:left="0"/>
              <w:jc w:val="center"/>
              <w:rPr>
                <w:rFonts w:cs="Arial"/>
              </w:rPr>
            </w:pPr>
            <w:r w:rsidRPr="001B64E4">
              <w:rPr>
                <w:rFonts w:cs="Arial"/>
              </w:rPr>
              <w:t>Lowest (best) 20%</w:t>
            </w:r>
          </w:p>
        </w:tc>
      </w:tr>
      <w:tr w:rsidR="001B64E4" w:rsidRPr="001B64E4" w:rsidTr="001B64E4">
        <w:tc>
          <w:tcPr>
            <w:tcW w:w="851" w:type="dxa"/>
            <w:vAlign w:val="center"/>
          </w:tcPr>
          <w:p w:rsidR="001B64E4" w:rsidRPr="001B64E4" w:rsidRDefault="001B64E4" w:rsidP="001B64E4">
            <w:pPr>
              <w:pStyle w:val="ListParagraph"/>
              <w:ind w:left="0"/>
              <w:rPr>
                <w:rFonts w:cs="Arial"/>
              </w:rPr>
            </w:pPr>
            <w:r w:rsidRPr="001B64E4">
              <w:rPr>
                <w:rFonts w:cs="Arial"/>
              </w:rPr>
              <w:t>KF7</w:t>
            </w:r>
          </w:p>
        </w:tc>
        <w:tc>
          <w:tcPr>
            <w:tcW w:w="4110" w:type="dxa"/>
            <w:vAlign w:val="center"/>
          </w:tcPr>
          <w:p w:rsidR="001B64E4" w:rsidRPr="001B64E4" w:rsidRDefault="001B64E4" w:rsidP="001B64E4">
            <w:pPr>
              <w:pStyle w:val="ListParagraph"/>
              <w:ind w:left="0"/>
              <w:rPr>
                <w:rFonts w:cs="Arial"/>
              </w:rPr>
            </w:pPr>
            <w:r w:rsidRPr="001B64E4">
              <w:rPr>
                <w:rFonts w:cs="Arial"/>
              </w:rPr>
              <w:t>Percentage of staff appraised in the last 12 months</w:t>
            </w:r>
          </w:p>
        </w:tc>
        <w:tc>
          <w:tcPr>
            <w:tcW w:w="1134" w:type="dxa"/>
            <w:vAlign w:val="center"/>
          </w:tcPr>
          <w:p w:rsidR="001B64E4" w:rsidRPr="001B64E4" w:rsidRDefault="001B64E4" w:rsidP="001B64E4">
            <w:pPr>
              <w:pStyle w:val="ListParagraph"/>
              <w:ind w:left="0"/>
              <w:jc w:val="center"/>
              <w:rPr>
                <w:rFonts w:cs="Arial"/>
              </w:rPr>
            </w:pPr>
            <w:r w:rsidRPr="001B64E4">
              <w:rPr>
                <w:rFonts w:cs="Arial"/>
              </w:rPr>
              <w:t>89%</w:t>
            </w:r>
          </w:p>
        </w:tc>
        <w:tc>
          <w:tcPr>
            <w:tcW w:w="1560" w:type="dxa"/>
            <w:vAlign w:val="center"/>
          </w:tcPr>
          <w:p w:rsidR="001B64E4" w:rsidRPr="001B64E4" w:rsidRDefault="001B64E4" w:rsidP="001B64E4">
            <w:pPr>
              <w:pStyle w:val="ListParagraph"/>
              <w:ind w:left="0"/>
              <w:jc w:val="center"/>
              <w:rPr>
                <w:rFonts w:cs="Arial"/>
              </w:rPr>
            </w:pPr>
            <w:r w:rsidRPr="001B64E4">
              <w:rPr>
                <w:rFonts w:cs="Arial"/>
              </w:rPr>
              <w:t>85%</w:t>
            </w:r>
          </w:p>
        </w:tc>
        <w:tc>
          <w:tcPr>
            <w:tcW w:w="1701" w:type="dxa"/>
            <w:vAlign w:val="center"/>
          </w:tcPr>
          <w:p w:rsidR="001B64E4" w:rsidRPr="001B64E4" w:rsidRDefault="001B64E4" w:rsidP="001B64E4">
            <w:pPr>
              <w:pStyle w:val="ListParagraph"/>
              <w:ind w:left="0"/>
              <w:jc w:val="center"/>
              <w:rPr>
                <w:rFonts w:cs="Arial"/>
              </w:rPr>
            </w:pPr>
            <w:r w:rsidRPr="001B64E4">
              <w:rPr>
                <w:rFonts w:cs="Arial"/>
              </w:rPr>
              <w:t>Above (better than) average</w:t>
            </w:r>
          </w:p>
        </w:tc>
      </w:tr>
    </w:tbl>
    <w:p w:rsidR="001B64E4" w:rsidRPr="001B64E4" w:rsidRDefault="001B64E4" w:rsidP="001B64E4">
      <w:pPr>
        <w:pStyle w:val="ListParagraph"/>
        <w:ind w:left="0"/>
        <w:rPr>
          <w:rFonts w:cs="Arial"/>
        </w:rPr>
      </w:pPr>
    </w:p>
    <w:p w:rsidR="001B64E4" w:rsidRPr="001B64E4" w:rsidRDefault="001B64E4" w:rsidP="001B64E4">
      <w:pPr>
        <w:pStyle w:val="ListParagraph"/>
        <w:ind w:left="0"/>
        <w:rPr>
          <w:rFonts w:cs="Arial"/>
        </w:rPr>
      </w:pPr>
    </w:p>
    <w:p w:rsidR="001B64E4" w:rsidRPr="001B64E4" w:rsidRDefault="001B64E4" w:rsidP="001B64E4">
      <w:pPr>
        <w:pStyle w:val="ListParagraph"/>
        <w:ind w:left="0"/>
        <w:rPr>
          <w:rFonts w:cs="Arial"/>
        </w:rPr>
      </w:pPr>
    </w:p>
    <w:p w:rsidR="001B64E4" w:rsidRDefault="001B64E4" w:rsidP="001B64E4">
      <w:pPr>
        <w:pStyle w:val="ListParagraph"/>
        <w:ind w:left="0"/>
        <w:rPr>
          <w:rFonts w:cs="Arial"/>
        </w:rPr>
      </w:pPr>
    </w:p>
    <w:p w:rsidR="001B64E4" w:rsidRDefault="001B64E4" w:rsidP="001B64E4">
      <w:pPr>
        <w:pStyle w:val="ListParagraph"/>
        <w:ind w:left="0"/>
        <w:rPr>
          <w:rFonts w:cs="Arial"/>
        </w:rPr>
      </w:pPr>
    </w:p>
    <w:p w:rsidR="001B64E4" w:rsidRDefault="001B64E4" w:rsidP="001B64E4">
      <w:pPr>
        <w:pStyle w:val="ListParagraph"/>
        <w:ind w:left="0"/>
        <w:rPr>
          <w:rFonts w:cs="Arial"/>
        </w:rPr>
      </w:pPr>
    </w:p>
    <w:p w:rsidR="001B64E4" w:rsidRPr="001B64E4" w:rsidRDefault="001B64E4" w:rsidP="001B64E4">
      <w:pPr>
        <w:pStyle w:val="ListParagraph"/>
        <w:ind w:left="0"/>
        <w:rPr>
          <w:rFonts w:cs="Arial"/>
        </w:rPr>
      </w:pPr>
    </w:p>
    <w:p w:rsidR="001B64E4" w:rsidRPr="001B64E4" w:rsidRDefault="001B64E4" w:rsidP="001B64E4">
      <w:pPr>
        <w:pStyle w:val="ListParagraph"/>
        <w:ind w:left="0"/>
        <w:rPr>
          <w:rFonts w:cs="Arial"/>
        </w:rPr>
      </w:pPr>
      <w:r w:rsidRPr="001B64E4">
        <w:rPr>
          <w:rFonts w:cs="Arial"/>
          <w:b/>
          <w:u w:val="single"/>
        </w:rPr>
        <w:lastRenderedPageBreak/>
        <w:t>Bottom 5 Ranking Scores</w:t>
      </w:r>
      <w:r w:rsidRPr="001B64E4">
        <w:rPr>
          <w:rFonts w:cs="Arial"/>
        </w:rPr>
        <w:t>– compared to other acute Trusts in England</w:t>
      </w:r>
    </w:p>
    <w:p w:rsidR="001B64E4" w:rsidRPr="001B64E4" w:rsidRDefault="001B64E4" w:rsidP="001B64E4">
      <w:pPr>
        <w:pStyle w:val="ListParagraph"/>
        <w:ind w:left="0"/>
        <w:rPr>
          <w:rFonts w:cs="Arial"/>
          <w:b/>
          <w:u w:val="single"/>
        </w:rPr>
      </w:pPr>
    </w:p>
    <w:tbl>
      <w:tblPr>
        <w:tblStyle w:val="TableGrid"/>
        <w:tblW w:w="0" w:type="auto"/>
        <w:tblInd w:w="250" w:type="dxa"/>
        <w:tblLook w:val="04A0"/>
      </w:tblPr>
      <w:tblGrid>
        <w:gridCol w:w="851"/>
        <w:gridCol w:w="4110"/>
        <w:gridCol w:w="1134"/>
        <w:gridCol w:w="1560"/>
        <w:gridCol w:w="1701"/>
      </w:tblGrid>
      <w:tr w:rsidR="001B64E4" w:rsidRPr="001B64E4" w:rsidTr="001B64E4">
        <w:tc>
          <w:tcPr>
            <w:tcW w:w="4961" w:type="dxa"/>
            <w:gridSpan w:val="2"/>
            <w:shd w:val="clear" w:color="auto" w:fill="BFBFBF" w:themeFill="background1" w:themeFillShade="BF"/>
          </w:tcPr>
          <w:p w:rsidR="001B64E4" w:rsidRPr="001B64E4" w:rsidRDefault="001B64E4" w:rsidP="001B64E4">
            <w:pPr>
              <w:pStyle w:val="ListParagraph"/>
              <w:ind w:left="0"/>
              <w:rPr>
                <w:rFonts w:cs="Arial"/>
                <w:b/>
              </w:rPr>
            </w:pPr>
            <w:r w:rsidRPr="001B64E4">
              <w:rPr>
                <w:rFonts w:cs="Arial"/>
                <w:b/>
              </w:rPr>
              <w:t>Key Finding</w:t>
            </w:r>
          </w:p>
        </w:tc>
        <w:tc>
          <w:tcPr>
            <w:tcW w:w="1134" w:type="dxa"/>
            <w:shd w:val="clear" w:color="auto" w:fill="BFBFBF" w:themeFill="background1" w:themeFillShade="BF"/>
          </w:tcPr>
          <w:p w:rsidR="001B64E4" w:rsidRPr="001B64E4" w:rsidRDefault="001B64E4" w:rsidP="001B64E4">
            <w:pPr>
              <w:pStyle w:val="ListParagraph"/>
              <w:ind w:left="0"/>
              <w:jc w:val="center"/>
              <w:rPr>
                <w:rFonts w:cs="Arial"/>
                <w:b/>
              </w:rPr>
            </w:pPr>
            <w:r w:rsidRPr="001B64E4">
              <w:rPr>
                <w:rFonts w:cs="Arial"/>
                <w:b/>
              </w:rPr>
              <w:t>Trust Score 2014</w:t>
            </w:r>
          </w:p>
        </w:tc>
        <w:tc>
          <w:tcPr>
            <w:tcW w:w="1560" w:type="dxa"/>
            <w:shd w:val="clear" w:color="auto" w:fill="BFBFBF" w:themeFill="background1" w:themeFillShade="BF"/>
          </w:tcPr>
          <w:p w:rsidR="001B64E4" w:rsidRPr="001B64E4" w:rsidRDefault="001B64E4" w:rsidP="001B64E4">
            <w:pPr>
              <w:pStyle w:val="ListParagraph"/>
              <w:ind w:left="0"/>
              <w:jc w:val="center"/>
              <w:rPr>
                <w:rFonts w:cs="Arial"/>
                <w:b/>
              </w:rPr>
            </w:pPr>
            <w:r w:rsidRPr="001B64E4">
              <w:rPr>
                <w:rFonts w:cs="Arial"/>
                <w:b/>
              </w:rPr>
              <w:t>National Average</w:t>
            </w:r>
          </w:p>
        </w:tc>
        <w:tc>
          <w:tcPr>
            <w:tcW w:w="1701" w:type="dxa"/>
            <w:shd w:val="clear" w:color="auto" w:fill="BFBFBF" w:themeFill="background1" w:themeFillShade="BF"/>
          </w:tcPr>
          <w:p w:rsidR="001B64E4" w:rsidRPr="001B64E4" w:rsidRDefault="001B64E4" w:rsidP="001B64E4">
            <w:pPr>
              <w:pStyle w:val="ListParagraph"/>
              <w:ind w:left="0"/>
              <w:jc w:val="center"/>
              <w:rPr>
                <w:rFonts w:cs="Arial"/>
                <w:b/>
              </w:rPr>
            </w:pPr>
            <w:r w:rsidRPr="001B64E4">
              <w:rPr>
                <w:rFonts w:cs="Arial"/>
                <w:b/>
              </w:rPr>
              <w:t>Ranking</w:t>
            </w:r>
          </w:p>
        </w:tc>
      </w:tr>
      <w:tr w:rsidR="001B64E4" w:rsidRPr="001B64E4" w:rsidTr="001B64E4">
        <w:tc>
          <w:tcPr>
            <w:tcW w:w="851" w:type="dxa"/>
            <w:vAlign w:val="center"/>
          </w:tcPr>
          <w:p w:rsidR="001B64E4" w:rsidRPr="001B64E4" w:rsidRDefault="001B64E4" w:rsidP="001B64E4">
            <w:pPr>
              <w:pStyle w:val="ListParagraph"/>
              <w:ind w:left="0"/>
              <w:rPr>
                <w:rFonts w:cs="Arial"/>
              </w:rPr>
            </w:pPr>
            <w:r w:rsidRPr="001B64E4">
              <w:rPr>
                <w:rFonts w:cs="Arial"/>
              </w:rPr>
              <w:t>KF3*</w:t>
            </w:r>
          </w:p>
        </w:tc>
        <w:tc>
          <w:tcPr>
            <w:tcW w:w="4110" w:type="dxa"/>
            <w:vAlign w:val="center"/>
          </w:tcPr>
          <w:p w:rsidR="001B64E4" w:rsidRPr="001B64E4" w:rsidRDefault="001B64E4" w:rsidP="001B64E4">
            <w:pPr>
              <w:pStyle w:val="ListParagraph"/>
              <w:ind w:left="0"/>
              <w:rPr>
                <w:rFonts w:cs="Arial"/>
              </w:rPr>
            </w:pPr>
            <w:r w:rsidRPr="001B64E4">
              <w:rPr>
                <w:rFonts w:cs="Arial"/>
              </w:rPr>
              <w:t>Work pressure felt by staff</w:t>
            </w:r>
          </w:p>
        </w:tc>
        <w:tc>
          <w:tcPr>
            <w:tcW w:w="1134" w:type="dxa"/>
            <w:vAlign w:val="center"/>
          </w:tcPr>
          <w:p w:rsidR="001B64E4" w:rsidRPr="001B64E4" w:rsidRDefault="001B64E4" w:rsidP="001B64E4">
            <w:pPr>
              <w:pStyle w:val="ListParagraph"/>
              <w:ind w:left="0"/>
              <w:jc w:val="center"/>
              <w:rPr>
                <w:rFonts w:cs="Arial"/>
              </w:rPr>
            </w:pPr>
            <w:r w:rsidRPr="001B64E4">
              <w:rPr>
                <w:rFonts w:cs="Arial"/>
              </w:rPr>
              <w:t>3.20</w:t>
            </w:r>
          </w:p>
        </w:tc>
        <w:tc>
          <w:tcPr>
            <w:tcW w:w="1560" w:type="dxa"/>
            <w:vAlign w:val="center"/>
          </w:tcPr>
          <w:p w:rsidR="001B64E4" w:rsidRPr="001B64E4" w:rsidRDefault="001B64E4" w:rsidP="001B64E4">
            <w:pPr>
              <w:pStyle w:val="ListParagraph"/>
              <w:ind w:left="0"/>
              <w:jc w:val="center"/>
              <w:rPr>
                <w:rFonts w:cs="Arial"/>
              </w:rPr>
            </w:pPr>
            <w:r w:rsidRPr="001B64E4">
              <w:rPr>
                <w:rFonts w:cs="Arial"/>
              </w:rPr>
              <w:t>3.07</w:t>
            </w:r>
          </w:p>
        </w:tc>
        <w:tc>
          <w:tcPr>
            <w:tcW w:w="1701" w:type="dxa"/>
            <w:vAlign w:val="center"/>
          </w:tcPr>
          <w:p w:rsidR="001B64E4" w:rsidRPr="001B64E4" w:rsidRDefault="001B64E4" w:rsidP="001B64E4">
            <w:pPr>
              <w:pStyle w:val="ListParagraph"/>
              <w:ind w:left="0"/>
              <w:jc w:val="center"/>
              <w:rPr>
                <w:rFonts w:cs="Arial"/>
              </w:rPr>
            </w:pPr>
            <w:r w:rsidRPr="001B64E4">
              <w:rPr>
                <w:rFonts w:cs="Arial"/>
              </w:rPr>
              <w:t>Highest (worst) 20%</w:t>
            </w:r>
          </w:p>
        </w:tc>
      </w:tr>
      <w:tr w:rsidR="001B64E4" w:rsidRPr="001B64E4" w:rsidTr="001B64E4">
        <w:tc>
          <w:tcPr>
            <w:tcW w:w="851" w:type="dxa"/>
            <w:vAlign w:val="center"/>
          </w:tcPr>
          <w:p w:rsidR="001B64E4" w:rsidRPr="001B64E4" w:rsidRDefault="001B64E4" w:rsidP="001B64E4">
            <w:pPr>
              <w:pStyle w:val="ListParagraph"/>
              <w:ind w:left="0" w:right="-81"/>
              <w:rPr>
                <w:rFonts w:cs="Arial"/>
              </w:rPr>
            </w:pPr>
            <w:r w:rsidRPr="001B64E4">
              <w:rPr>
                <w:rFonts w:cs="Arial"/>
              </w:rPr>
              <w:t>KF12*</w:t>
            </w:r>
          </w:p>
        </w:tc>
        <w:tc>
          <w:tcPr>
            <w:tcW w:w="4110" w:type="dxa"/>
            <w:vAlign w:val="center"/>
          </w:tcPr>
          <w:p w:rsidR="001B64E4" w:rsidRPr="001B64E4" w:rsidRDefault="001B64E4" w:rsidP="001B64E4">
            <w:pPr>
              <w:pStyle w:val="ListParagraph"/>
              <w:ind w:left="0" w:right="-81"/>
              <w:rPr>
                <w:rFonts w:cs="Arial"/>
              </w:rPr>
            </w:pPr>
            <w:r w:rsidRPr="001B64E4">
              <w:rPr>
                <w:rFonts w:cs="Arial"/>
              </w:rPr>
              <w:t>Percentage of staff witnessing potentially harmful errors, near misses or incidents in the last month</w:t>
            </w:r>
          </w:p>
        </w:tc>
        <w:tc>
          <w:tcPr>
            <w:tcW w:w="1134" w:type="dxa"/>
            <w:vAlign w:val="center"/>
          </w:tcPr>
          <w:p w:rsidR="001B64E4" w:rsidRPr="001B64E4" w:rsidRDefault="001B64E4" w:rsidP="001B64E4">
            <w:pPr>
              <w:pStyle w:val="ListParagraph"/>
              <w:ind w:left="0"/>
              <w:jc w:val="center"/>
              <w:rPr>
                <w:rFonts w:cs="Arial"/>
              </w:rPr>
            </w:pPr>
            <w:r w:rsidRPr="001B64E4">
              <w:rPr>
                <w:rFonts w:cs="Arial"/>
              </w:rPr>
              <w:t>44%</w:t>
            </w:r>
          </w:p>
        </w:tc>
        <w:tc>
          <w:tcPr>
            <w:tcW w:w="1560" w:type="dxa"/>
            <w:vAlign w:val="center"/>
          </w:tcPr>
          <w:p w:rsidR="001B64E4" w:rsidRPr="001B64E4" w:rsidRDefault="001B64E4" w:rsidP="001B64E4">
            <w:pPr>
              <w:pStyle w:val="ListParagraph"/>
              <w:ind w:left="0"/>
              <w:jc w:val="center"/>
              <w:rPr>
                <w:rFonts w:cs="Arial"/>
              </w:rPr>
            </w:pPr>
            <w:r w:rsidRPr="001B64E4">
              <w:rPr>
                <w:rFonts w:cs="Arial"/>
              </w:rPr>
              <w:t>34%</w:t>
            </w:r>
          </w:p>
        </w:tc>
        <w:tc>
          <w:tcPr>
            <w:tcW w:w="1701" w:type="dxa"/>
            <w:vAlign w:val="center"/>
          </w:tcPr>
          <w:p w:rsidR="001B64E4" w:rsidRPr="001B64E4" w:rsidRDefault="001B64E4" w:rsidP="001B64E4">
            <w:pPr>
              <w:pStyle w:val="ListParagraph"/>
              <w:ind w:left="0"/>
              <w:jc w:val="center"/>
              <w:rPr>
                <w:rFonts w:cs="Arial"/>
                <w:i/>
              </w:rPr>
            </w:pPr>
            <w:r w:rsidRPr="001B64E4">
              <w:rPr>
                <w:rFonts w:cs="Arial"/>
              </w:rPr>
              <w:t>Highest (worst) 20%</w:t>
            </w:r>
          </w:p>
        </w:tc>
      </w:tr>
      <w:tr w:rsidR="001B64E4" w:rsidRPr="001B64E4" w:rsidTr="001B64E4">
        <w:tc>
          <w:tcPr>
            <w:tcW w:w="851" w:type="dxa"/>
            <w:vAlign w:val="center"/>
          </w:tcPr>
          <w:p w:rsidR="001B64E4" w:rsidRPr="001B64E4" w:rsidRDefault="001B64E4" w:rsidP="001B64E4">
            <w:pPr>
              <w:pStyle w:val="ListParagraph"/>
              <w:ind w:left="0"/>
              <w:rPr>
                <w:rFonts w:cs="Arial"/>
              </w:rPr>
            </w:pPr>
            <w:r w:rsidRPr="001B64E4">
              <w:rPr>
                <w:rFonts w:cs="Arial"/>
              </w:rPr>
              <w:t>KF16*</w:t>
            </w:r>
          </w:p>
        </w:tc>
        <w:tc>
          <w:tcPr>
            <w:tcW w:w="4110" w:type="dxa"/>
            <w:vAlign w:val="center"/>
          </w:tcPr>
          <w:p w:rsidR="001B64E4" w:rsidRPr="001B64E4" w:rsidRDefault="001B64E4" w:rsidP="001B64E4">
            <w:pPr>
              <w:pStyle w:val="ListParagraph"/>
              <w:ind w:left="0"/>
              <w:rPr>
                <w:rFonts w:cs="Arial"/>
              </w:rPr>
            </w:pPr>
            <w:r w:rsidRPr="001B64E4">
              <w:rPr>
                <w:rFonts w:cs="Arial"/>
              </w:rPr>
              <w:t>Percentage of staff experiencing physical violence from patients, relatives or the public in the last 12 months</w:t>
            </w:r>
          </w:p>
        </w:tc>
        <w:tc>
          <w:tcPr>
            <w:tcW w:w="1134" w:type="dxa"/>
            <w:vAlign w:val="center"/>
          </w:tcPr>
          <w:p w:rsidR="001B64E4" w:rsidRPr="001B64E4" w:rsidRDefault="001B64E4" w:rsidP="001B64E4">
            <w:pPr>
              <w:pStyle w:val="ListParagraph"/>
              <w:ind w:left="0"/>
              <w:jc w:val="center"/>
              <w:rPr>
                <w:rFonts w:cs="Arial"/>
              </w:rPr>
            </w:pPr>
            <w:r w:rsidRPr="001B64E4">
              <w:rPr>
                <w:rFonts w:cs="Arial"/>
              </w:rPr>
              <w:t>19%</w:t>
            </w:r>
          </w:p>
        </w:tc>
        <w:tc>
          <w:tcPr>
            <w:tcW w:w="1560" w:type="dxa"/>
            <w:vAlign w:val="center"/>
          </w:tcPr>
          <w:p w:rsidR="001B64E4" w:rsidRPr="001B64E4" w:rsidRDefault="001B64E4" w:rsidP="001B64E4">
            <w:pPr>
              <w:pStyle w:val="ListParagraph"/>
              <w:ind w:left="0"/>
              <w:jc w:val="center"/>
              <w:rPr>
                <w:rFonts w:cs="Arial"/>
              </w:rPr>
            </w:pPr>
            <w:r w:rsidRPr="001B64E4">
              <w:rPr>
                <w:rFonts w:cs="Arial"/>
              </w:rPr>
              <w:t>14%</w:t>
            </w:r>
          </w:p>
        </w:tc>
        <w:tc>
          <w:tcPr>
            <w:tcW w:w="1701" w:type="dxa"/>
            <w:vAlign w:val="center"/>
          </w:tcPr>
          <w:p w:rsidR="001B64E4" w:rsidRPr="001B64E4" w:rsidRDefault="001B64E4" w:rsidP="001B64E4">
            <w:pPr>
              <w:pStyle w:val="ListParagraph"/>
              <w:ind w:left="0"/>
              <w:jc w:val="center"/>
              <w:rPr>
                <w:rFonts w:cs="Arial"/>
              </w:rPr>
            </w:pPr>
            <w:r w:rsidRPr="001B64E4">
              <w:rPr>
                <w:rFonts w:cs="Arial"/>
              </w:rPr>
              <w:t>Highest (worst) 20%</w:t>
            </w:r>
          </w:p>
        </w:tc>
      </w:tr>
      <w:tr w:rsidR="001B64E4" w:rsidRPr="001B64E4" w:rsidTr="001B64E4">
        <w:tc>
          <w:tcPr>
            <w:tcW w:w="851" w:type="dxa"/>
            <w:vAlign w:val="center"/>
          </w:tcPr>
          <w:p w:rsidR="001B64E4" w:rsidRPr="001B64E4" w:rsidRDefault="001B64E4" w:rsidP="001B64E4">
            <w:pPr>
              <w:pStyle w:val="ListParagraph"/>
              <w:ind w:left="0"/>
              <w:rPr>
                <w:rFonts w:cs="Arial"/>
              </w:rPr>
            </w:pPr>
            <w:r w:rsidRPr="001B64E4">
              <w:rPr>
                <w:rFonts w:cs="Arial"/>
              </w:rPr>
              <w:t>KF17*</w:t>
            </w:r>
          </w:p>
        </w:tc>
        <w:tc>
          <w:tcPr>
            <w:tcW w:w="4110" w:type="dxa"/>
            <w:vAlign w:val="center"/>
          </w:tcPr>
          <w:p w:rsidR="001B64E4" w:rsidRPr="001B64E4" w:rsidRDefault="001B64E4" w:rsidP="001B64E4">
            <w:pPr>
              <w:pStyle w:val="ListParagraph"/>
              <w:ind w:left="0"/>
              <w:rPr>
                <w:rFonts w:cs="Arial"/>
              </w:rPr>
            </w:pPr>
            <w:r w:rsidRPr="001B64E4">
              <w:rPr>
                <w:rFonts w:cs="Arial"/>
              </w:rPr>
              <w:t>Percentage of staff experiencing physical violence from staff in the last 12 months</w:t>
            </w:r>
          </w:p>
        </w:tc>
        <w:tc>
          <w:tcPr>
            <w:tcW w:w="1134" w:type="dxa"/>
            <w:vAlign w:val="center"/>
          </w:tcPr>
          <w:p w:rsidR="001B64E4" w:rsidRPr="001B64E4" w:rsidRDefault="001B64E4" w:rsidP="001B64E4">
            <w:pPr>
              <w:pStyle w:val="ListParagraph"/>
              <w:ind w:left="0"/>
              <w:jc w:val="center"/>
              <w:rPr>
                <w:rFonts w:cs="Arial"/>
              </w:rPr>
            </w:pPr>
            <w:r w:rsidRPr="001B64E4">
              <w:rPr>
                <w:rFonts w:cs="Arial"/>
              </w:rPr>
              <w:t>4%</w:t>
            </w:r>
          </w:p>
        </w:tc>
        <w:tc>
          <w:tcPr>
            <w:tcW w:w="1560" w:type="dxa"/>
            <w:vAlign w:val="center"/>
          </w:tcPr>
          <w:p w:rsidR="001B64E4" w:rsidRPr="001B64E4" w:rsidRDefault="001B64E4" w:rsidP="001B64E4">
            <w:pPr>
              <w:pStyle w:val="ListParagraph"/>
              <w:ind w:left="0"/>
              <w:jc w:val="center"/>
              <w:rPr>
                <w:rFonts w:cs="Arial"/>
              </w:rPr>
            </w:pPr>
            <w:r w:rsidRPr="001B64E4">
              <w:rPr>
                <w:rFonts w:cs="Arial"/>
              </w:rPr>
              <w:t>3%</w:t>
            </w:r>
          </w:p>
        </w:tc>
        <w:tc>
          <w:tcPr>
            <w:tcW w:w="1701" w:type="dxa"/>
            <w:vAlign w:val="center"/>
          </w:tcPr>
          <w:p w:rsidR="001B64E4" w:rsidRPr="001B64E4" w:rsidRDefault="001B64E4" w:rsidP="001B64E4">
            <w:pPr>
              <w:pStyle w:val="ListParagraph"/>
              <w:ind w:left="0"/>
              <w:jc w:val="center"/>
              <w:rPr>
                <w:rFonts w:cs="Arial"/>
              </w:rPr>
            </w:pPr>
            <w:r w:rsidRPr="001B64E4">
              <w:rPr>
                <w:rFonts w:cs="Arial"/>
              </w:rPr>
              <w:t>Highest (worst) 20%</w:t>
            </w:r>
          </w:p>
        </w:tc>
      </w:tr>
      <w:tr w:rsidR="001B64E4" w:rsidRPr="001B64E4" w:rsidTr="001B64E4">
        <w:tc>
          <w:tcPr>
            <w:tcW w:w="851" w:type="dxa"/>
            <w:vAlign w:val="center"/>
          </w:tcPr>
          <w:p w:rsidR="001B64E4" w:rsidRPr="001B64E4" w:rsidRDefault="001B64E4" w:rsidP="001B64E4">
            <w:pPr>
              <w:pStyle w:val="ListParagraph"/>
              <w:ind w:left="0"/>
              <w:rPr>
                <w:rFonts w:cs="Arial"/>
              </w:rPr>
            </w:pPr>
            <w:r w:rsidRPr="001B64E4">
              <w:rPr>
                <w:rFonts w:cs="Arial"/>
              </w:rPr>
              <w:t>KF18*</w:t>
            </w:r>
          </w:p>
        </w:tc>
        <w:tc>
          <w:tcPr>
            <w:tcW w:w="4110" w:type="dxa"/>
            <w:vAlign w:val="center"/>
          </w:tcPr>
          <w:p w:rsidR="001B64E4" w:rsidRPr="001B64E4" w:rsidRDefault="001B64E4" w:rsidP="001B64E4">
            <w:pPr>
              <w:pStyle w:val="ListParagraph"/>
              <w:ind w:left="0"/>
              <w:rPr>
                <w:rFonts w:cs="Arial"/>
              </w:rPr>
            </w:pPr>
            <w:r w:rsidRPr="001B64E4">
              <w:rPr>
                <w:rFonts w:cs="Arial"/>
              </w:rPr>
              <w:t>Percentage of staff experiencing harassment, bullying or abuse from patients, relatives or the public in the last 12 months</w:t>
            </w:r>
          </w:p>
        </w:tc>
        <w:tc>
          <w:tcPr>
            <w:tcW w:w="1134" w:type="dxa"/>
            <w:vAlign w:val="center"/>
          </w:tcPr>
          <w:p w:rsidR="001B64E4" w:rsidRPr="001B64E4" w:rsidRDefault="001B64E4" w:rsidP="001B64E4">
            <w:pPr>
              <w:pStyle w:val="ListParagraph"/>
              <w:ind w:left="0"/>
              <w:jc w:val="center"/>
              <w:rPr>
                <w:rFonts w:cs="Arial"/>
              </w:rPr>
            </w:pPr>
            <w:r w:rsidRPr="001B64E4">
              <w:rPr>
                <w:rFonts w:cs="Arial"/>
              </w:rPr>
              <w:t>34%</w:t>
            </w:r>
          </w:p>
        </w:tc>
        <w:tc>
          <w:tcPr>
            <w:tcW w:w="1560" w:type="dxa"/>
            <w:vAlign w:val="center"/>
          </w:tcPr>
          <w:p w:rsidR="001B64E4" w:rsidRPr="001B64E4" w:rsidRDefault="001B64E4" w:rsidP="001B64E4">
            <w:pPr>
              <w:pStyle w:val="ListParagraph"/>
              <w:ind w:left="0"/>
              <w:jc w:val="center"/>
              <w:rPr>
                <w:rFonts w:cs="Arial"/>
              </w:rPr>
            </w:pPr>
            <w:r w:rsidRPr="001B64E4">
              <w:rPr>
                <w:rFonts w:cs="Arial"/>
              </w:rPr>
              <w:t>29%</w:t>
            </w:r>
          </w:p>
        </w:tc>
        <w:tc>
          <w:tcPr>
            <w:tcW w:w="1701" w:type="dxa"/>
            <w:vAlign w:val="center"/>
          </w:tcPr>
          <w:p w:rsidR="001B64E4" w:rsidRPr="001B64E4" w:rsidRDefault="001B64E4" w:rsidP="001B64E4">
            <w:pPr>
              <w:pStyle w:val="ListParagraph"/>
              <w:ind w:left="0"/>
              <w:jc w:val="center"/>
              <w:rPr>
                <w:rFonts w:cs="Arial"/>
              </w:rPr>
            </w:pPr>
            <w:r w:rsidRPr="001B64E4">
              <w:rPr>
                <w:rFonts w:cs="Arial"/>
              </w:rPr>
              <w:t>Highest (worst) 20%</w:t>
            </w:r>
          </w:p>
        </w:tc>
      </w:tr>
    </w:tbl>
    <w:p w:rsidR="001B64E4" w:rsidRPr="001B64E4" w:rsidRDefault="001B64E4" w:rsidP="001B64E4">
      <w:pPr>
        <w:pStyle w:val="ListParagraph"/>
        <w:ind w:left="0"/>
        <w:rPr>
          <w:rFonts w:cs="Arial"/>
        </w:rPr>
      </w:pPr>
      <w:r w:rsidRPr="001B64E4">
        <w:rPr>
          <w:rFonts w:cs="Arial"/>
        </w:rPr>
        <w:t>*The lower the score the better</w:t>
      </w:r>
    </w:p>
    <w:p w:rsidR="001B64E4" w:rsidRPr="001B64E4" w:rsidRDefault="001B64E4" w:rsidP="001B64E4">
      <w:pPr>
        <w:pStyle w:val="ListParagraph"/>
        <w:ind w:left="0"/>
        <w:rPr>
          <w:rFonts w:cs="Arial"/>
        </w:rPr>
      </w:pPr>
    </w:p>
    <w:p w:rsidR="001B64E4" w:rsidRPr="001B64E4" w:rsidRDefault="001B64E4" w:rsidP="001B64E4">
      <w:pPr>
        <w:pStyle w:val="ListParagraph"/>
        <w:ind w:left="0"/>
        <w:rPr>
          <w:rFonts w:cs="Arial"/>
        </w:rPr>
      </w:pPr>
      <w:r w:rsidRPr="001B64E4">
        <w:rPr>
          <w:rFonts w:cs="Arial"/>
        </w:rPr>
        <w:t xml:space="preserve">Whilst the Trust is encouraged to see that more staff </w:t>
      </w:r>
      <w:proofErr w:type="gramStart"/>
      <w:r w:rsidRPr="001B64E4">
        <w:rPr>
          <w:rFonts w:cs="Arial"/>
        </w:rPr>
        <w:t>have</w:t>
      </w:r>
      <w:proofErr w:type="gramEnd"/>
      <w:r w:rsidRPr="001B64E4">
        <w:rPr>
          <w:rFonts w:cs="Arial"/>
        </w:rPr>
        <w:t xml:space="preserve"> responded to the survey, there have been no significant changes in 28 of the 29 key findings since 2013.  During 2015/16 it is therefore proposed to focus efforts where Trust results are in the </w:t>
      </w:r>
      <w:r w:rsidRPr="0089680C">
        <w:rPr>
          <w:rFonts w:cs="Arial"/>
        </w:rPr>
        <w:t>‘worst 20%’</w:t>
      </w:r>
      <w:r w:rsidRPr="001B64E4">
        <w:rPr>
          <w:rFonts w:cs="Arial"/>
        </w:rPr>
        <w:t xml:space="preserve"> performing category.</w:t>
      </w:r>
    </w:p>
    <w:p w:rsidR="001B64E4" w:rsidRPr="001B64E4" w:rsidRDefault="001B64E4" w:rsidP="001B64E4">
      <w:pPr>
        <w:pStyle w:val="ListParagraph"/>
        <w:ind w:left="0"/>
        <w:rPr>
          <w:rFonts w:cs="Arial"/>
        </w:rPr>
      </w:pPr>
    </w:p>
    <w:p w:rsidR="001B64E4" w:rsidRPr="001B64E4" w:rsidRDefault="001B64E4" w:rsidP="001B64E4">
      <w:pPr>
        <w:rPr>
          <w:rFonts w:cs="Arial"/>
          <w:b/>
          <w:u w:val="single"/>
        </w:rPr>
      </w:pPr>
      <w:r w:rsidRPr="001B64E4">
        <w:rPr>
          <w:rFonts w:cs="Arial"/>
          <w:b/>
          <w:u w:val="single"/>
        </w:rPr>
        <w:t xml:space="preserve">Staff Engagement Scores  </w:t>
      </w:r>
    </w:p>
    <w:p w:rsidR="001B64E4" w:rsidRPr="001B64E4" w:rsidRDefault="001B64E4" w:rsidP="001B64E4">
      <w:pPr>
        <w:pStyle w:val="ListParagraph"/>
        <w:ind w:left="0"/>
        <w:rPr>
          <w:rFonts w:cs="Arial"/>
        </w:rPr>
      </w:pPr>
    </w:p>
    <w:p w:rsidR="001B64E4" w:rsidRPr="001B64E4" w:rsidRDefault="001B64E4" w:rsidP="001B64E4">
      <w:pPr>
        <w:pStyle w:val="ListParagraph"/>
        <w:ind w:left="0"/>
        <w:rPr>
          <w:rFonts w:cs="Arial"/>
        </w:rPr>
      </w:pPr>
      <w:r w:rsidRPr="001B64E4">
        <w:rPr>
          <w:rFonts w:cs="Arial"/>
        </w:rPr>
        <w:t>Despite the improvements made against Key Finding 24 since 2012, the overall staff engagement score has not shown a significant statistical change since the 2013 survey.  In 2013 the overall staff engagement score was 3.70 and in 2014 this dipped slightly to 3.64 and remains in the lowest (worst) 20%</w:t>
      </w:r>
      <w:r w:rsidRPr="001B64E4">
        <w:rPr>
          <w:rFonts w:cs="Arial"/>
          <w:b/>
        </w:rPr>
        <w:t xml:space="preserve"> </w:t>
      </w:r>
      <w:r w:rsidRPr="001B64E4">
        <w:rPr>
          <w:rFonts w:cs="Arial"/>
        </w:rPr>
        <w:t xml:space="preserve">category.   The overall engagement score is calculated by using the questions that make up Key Findings 22, 24 and 25.  </w:t>
      </w:r>
    </w:p>
    <w:p w:rsidR="001B64E4" w:rsidRPr="001B64E4" w:rsidRDefault="001B64E4" w:rsidP="001B64E4">
      <w:pPr>
        <w:pStyle w:val="ListParagraph"/>
        <w:ind w:left="0"/>
        <w:rPr>
          <w:rFonts w:cs="Arial"/>
        </w:rPr>
      </w:pPr>
    </w:p>
    <w:tbl>
      <w:tblPr>
        <w:tblStyle w:val="TableGrid"/>
        <w:tblW w:w="0" w:type="auto"/>
        <w:tblInd w:w="250" w:type="dxa"/>
        <w:tblLook w:val="04A0"/>
      </w:tblPr>
      <w:tblGrid>
        <w:gridCol w:w="851"/>
        <w:gridCol w:w="3543"/>
        <w:gridCol w:w="993"/>
        <w:gridCol w:w="850"/>
        <w:gridCol w:w="1418"/>
        <w:gridCol w:w="1701"/>
      </w:tblGrid>
      <w:tr w:rsidR="001B64E4" w:rsidRPr="001B64E4" w:rsidTr="001B64E4">
        <w:tc>
          <w:tcPr>
            <w:tcW w:w="851" w:type="dxa"/>
            <w:shd w:val="clear" w:color="auto" w:fill="BFBFBF" w:themeFill="background1" w:themeFillShade="BF"/>
          </w:tcPr>
          <w:p w:rsidR="001B64E4" w:rsidRPr="001B64E4" w:rsidRDefault="001B64E4" w:rsidP="001B64E4">
            <w:pPr>
              <w:rPr>
                <w:rFonts w:cs="Arial"/>
                <w:b/>
              </w:rPr>
            </w:pPr>
          </w:p>
        </w:tc>
        <w:tc>
          <w:tcPr>
            <w:tcW w:w="3543" w:type="dxa"/>
            <w:shd w:val="clear" w:color="auto" w:fill="BFBFBF" w:themeFill="background1" w:themeFillShade="BF"/>
          </w:tcPr>
          <w:p w:rsidR="001B64E4" w:rsidRPr="001B64E4" w:rsidRDefault="001B64E4" w:rsidP="001B64E4">
            <w:pPr>
              <w:rPr>
                <w:rFonts w:cs="Arial"/>
                <w:b/>
              </w:rPr>
            </w:pPr>
            <w:r w:rsidRPr="001B64E4">
              <w:rPr>
                <w:rFonts w:cs="Arial"/>
                <w:b/>
              </w:rPr>
              <w:t>Key Finding</w:t>
            </w:r>
          </w:p>
        </w:tc>
        <w:tc>
          <w:tcPr>
            <w:tcW w:w="993" w:type="dxa"/>
            <w:shd w:val="clear" w:color="auto" w:fill="BFBFBF" w:themeFill="background1" w:themeFillShade="BF"/>
          </w:tcPr>
          <w:p w:rsidR="001B64E4" w:rsidRPr="001B64E4" w:rsidRDefault="001B64E4" w:rsidP="001B64E4">
            <w:pPr>
              <w:jc w:val="center"/>
              <w:rPr>
                <w:rFonts w:cs="Arial"/>
                <w:b/>
              </w:rPr>
            </w:pPr>
            <w:r w:rsidRPr="001B64E4">
              <w:rPr>
                <w:rFonts w:cs="Arial"/>
                <w:b/>
              </w:rPr>
              <w:t>2013 Score</w:t>
            </w:r>
          </w:p>
          <w:p w:rsidR="001B64E4" w:rsidRPr="001B64E4" w:rsidRDefault="001B64E4" w:rsidP="001B64E4">
            <w:pPr>
              <w:jc w:val="center"/>
              <w:rPr>
                <w:rFonts w:cs="Arial"/>
                <w:b/>
              </w:rPr>
            </w:pPr>
          </w:p>
        </w:tc>
        <w:tc>
          <w:tcPr>
            <w:tcW w:w="850" w:type="dxa"/>
            <w:shd w:val="clear" w:color="auto" w:fill="BFBFBF" w:themeFill="background1" w:themeFillShade="BF"/>
          </w:tcPr>
          <w:p w:rsidR="001B64E4" w:rsidRPr="001B64E4" w:rsidRDefault="001B64E4" w:rsidP="001B64E4">
            <w:pPr>
              <w:jc w:val="center"/>
              <w:rPr>
                <w:rFonts w:cs="Arial"/>
                <w:b/>
              </w:rPr>
            </w:pPr>
            <w:r w:rsidRPr="001B64E4">
              <w:rPr>
                <w:rFonts w:cs="Arial"/>
                <w:b/>
              </w:rPr>
              <w:t>2014 Score</w:t>
            </w:r>
          </w:p>
          <w:p w:rsidR="001B64E4" w:rsidRPr="001B64E4" w:rsidRDefault="001B64E4" w:rsidP="001B64E4">
            <w:pPr>
              <w:jc w:val="center"/>
              <w:rPr>
                <w:rFonts w:cs="Arial"/>
                <w:b/>
              </w:rPr>
            </w:pPr>
          </w:p>
        </w:tc>
        <w:tc>
          <w:tcPr>
            <w:tcW w:w="1418" w:type="dxa"/>
            <w:shd w:val="clear" w:color="auto" w:fill="BFBFBF" w:themeFill="background1" w:themeFillShade="BF"/>
          </w:tcPr>
          <w:p w:rsidR="001B64E4" w:rsidRPr="001B64E4" w:rsidRDefault="001B64E4" w:rsidP="001B64E4">
            <w:pPr>
              <w:jc w:val="center"/>
              <w:rPr>
                <w:rFonts w:cs="Arial"/>
                <w:b/>
              </w:rPr>
            </w:pPr>
            <w:r w:rsidRPr="001B64E4">
              <w:rPr>
                <w:rFonts w:cs="Arial"/>
                <w:b/>
              </w:rPr>
              <w:t>Ranking</w:t>
            </w:r>
          </w:p>
        </w:tc>
        <w:tc>
          <w:tcPr>
            <w:tcW w:w="1701" w:type="dxa"/>
            <w:shd w:val="clear" w:color="auto" w:fill="BFBFBF" w:themeFill="background1" w:themeFillShade="BF"/>
          </w:tcPr>
          <w:p w:rsidR="001B64E4" w:rsidRPr="001B64E4" w:rsidRDefault="001B64E4" w:rsidP="001B64E4">
            <w:pPr>
              <w:jc w:val="center"/>
              <w:rPr>
                <w:rFonts w:cs="Arial"/>
                <w:b/>
              </w:rPr>
            </w:pPr>
            <w:r w:rsidRPr="001B64E4">
              <w:rPr>
                <w:rFonts w:cs="Arial"/>
                <w:b/>
              </w:rPr>
              <w:t>Significant Change since 2013?</w:t>
            </w:r>
          </w:p>
        </w:tc>
      </w:tr>
      <w:tr w:rsidR="001B64E4" w:rsidRPr="001B64E4" w:rsidTr="001B64E4">
        <w:trPr>
          <w:trHeight w:val="1122"/>
        </w:trPr>
        <w:tc>
          <w:tcPr>
            <w:tcW w:w="851" w:type="dxa"/>
            <w:vAlign w:val="center"/>
          </w:tcPr>
          <w:p w:rsidR="001B64E4" w:rsidRPr="001B64E4" w:rsidRDefault="001B64E4" w:rsidP="001B64E4">
            <w:pPr>
              <w:rPr>
                <w:rFonts w:cs="Arial"/>
              </w:rPr>
            </w:pPr>
            <w:r w:rsidRPr="001B64E4">
              <w:rPr>
                <w:rFonts w:cs="Arial"/>
              </w:rPr>
              <w:t>KF22</w:t>
            </w:r>
          </w:p>
        </w:tc>
        <w:tc>
          <w:tcPr>
            <w:tcW w:w="3543" w:type="dxa"/>
            <w:vAlign w:val="center"/>
          </w:tcPr>
          <w:p w:rsidR="001B64E4" w:rsidRPr="001B64E4" w:rsidRDefault="001B64E4" w:rsidP="001B64E4">
            <w:pPr>
              <w:rPr>
                <w:rFonts w:cs="Arial"/>
              </w:rPr>
            </w:pPr>
            <w:r w:rsidRPr="001B64E4">
              <w:rPr>
                <w:rFonts w:cs="Arial"/>
              </w:rPr>
              <w:t>Staff ability to contribute towards improvements at work</w:t>
            </w:r>
          </w:p>
        </w:tc>
        <w:tc>
          <w:tcPr>
            <w:tcW w:w="993" w:type="dxa"/>
            <w:vAlign w:val="center"/>
          </w:tcPr>
          <w:p w:rsidR="001B64E4" w:rsidRPr="001B64E4" w:rsidRDefault="001B64E4" w:rsidP="001B64E4">
            <w:pPr>
              <w:rPr>
                <w:rFonts w:cs="Arial"/>
              </w:rPr>
            </w:pPr>
            <w:r w:rsidRPr="001B64E4">
              <w:rPr>
                <w:rFonts w:cs="Arial"/>
              </w:rPr>
              <w:t>72%</w:t>
            </w:r>
          </w:p>
        </w:tc>
        <w:tc>
          <w:tcPr>
            <w:tcW w:w="850" w:type="dxa"/>
            <w:vAlign w:val="center"/>
          </w:tcPr>
          <w:p w:rsidR="001B64E4" w:rsidRPr="001B64E4" w:rsidRDefault="001B64E4" w:rsidP="001B64E4">
            <w:pPr>
              <w:rPr>
                <w:rFonts w:cs="Arial"/>
              </w:rPr>
            </w:pPr>
            <w:r w:rsidRPr="001B64E4">
              <w:rPr>
                <w:rFonts w:cs="Arial"/>
              </w:rPr>
              <w:t>69%</w:t>
            </w:r>
          </w:p>
        </w:tc>
        <w:tc>
          <w:tcPr>
            <w:tcW w:w="1418" w:type="dxa"/>
          </w:tcPr>
          <w:p w:rsidR="001B64E4" w:rsidRPr="001B64E4" w:rsidRDefault="001B64E4" w:rsidP="001B64E4">
            <w:pPr>
              <w:jc w:val="center"/>
              <w:rPr>
                <w:rFonts w:cs="Arial"/>
              </w:rPr>
            </w:pPr>
          </w:p>
          <w:p w:rsidR="001B64E4" w:rsidRPr="001B64E4" w:rsidRDefault="001B64E4" w:rsidP="001B64E4">
            <w:pPr>
              <w:jc w:val="center"/>
              <w:rPr>
                <w:rFonts w:cs="Arial"/>
              </w:rPr>
            </w:pPr>
            <w:r w:rsidRPr="001B64E4">
              <w:rPr>
                <w:rFonts w:cs="Arial"/>
              </w:rPr>
              <w:t>Average</w:t>
            </w:r>
          </w:p>
        </w:tc>
        <w:tc>
          <w:tcPr>
            <w:tcW w:w="1701" w:type="dxa"/>
            <w:vAlign w:val="center"/>
          </w:tcPr>
          <w:p w:rsidR="001B64E4" w:rsidRPr="001B64E4" w:rsidRDefault="001B64E4" w:rsidP="001B64E4">
            <w:pPr>
              <w:jc w:val="center"/>
              <w:rPr>
                <w:rFonts w:cs="Arial"/>
              </w:rPr>
            </w:pPr>
            <w:r w:rsidRPr="001B64E4">
              <w:rPr>
                <w:rFonts w:cs="Arial"/>
              </w:rPr>
              <w:t>No</w:t>
            </w:r>
          </w:p>
        </w:tc>
      </w:tr>
      <w:tr w:rsidR="001B64E4" w:rsidRPr="001B64E4" w:rsidTr="001B64E4">
        <w:trPr>
          <w:trHeight w:val="1279"/>
        </w:trPr>
        <w:tc>
          <w:tcPr>
            <w:tcW w:w="851" w:type="dxa"/>
            <w:vAlign w:val="center"/>
          </w:tcPr>
          <w:p w:rsidR="001B64E4" w:rsidRPr="001B64E4" w:rsidRDefault="001B64E4" w:rsidP="001B64E4">
            <w:pPr>
              <w:rPr>
                <w:rFonts w:cs="Arial"/>
              </w:rPr>
            </w:pPr>
            <w:r w:rsidRPr="001B64E4">
              <w:rPr>
                <w:rFonts w:cs="Arial"/>
              </w:rPr>
              <w:t>KF24</w:t>
            </w:r>
          </w:p>
        </w:tc>
        <w:tc>
          <w:tcPr>
            <w:tcW w:w="3543" w:type="dxa"/>
            <w:vAlign w:val="center"/>
          </w:tcPr>
          <w:p w:rsidR="001B64E4" w:rsidRPr="001B64E4" w:rsidRDefault="001B64E4" w:rsidP="001B64E4">
            <w:pPr>
              <w:rPr>
                <w:rFonts w:cs="Arial"/>
              </w:rPr>
            </w:pPr>
            <w:r w:rsidRPr="001B64E4">
              <w:rPr>
                <w:rFonts w:cs="Arial"/>
              </w:rPr>
              <w:t>Staff recommendation of the Trust as a place to work or receive treatment  (scored out of 5 with 5 being highest)</w:t>
            </w:r>
          </w:p>
        </w:tc>
        <w:tc>
          <w:tcPr>
            <w:tcW w:w="993" w:type="dxa"/>
            <w:vAlign w:val="center"/>
          </w:tcPr>
          <w:p w:rsidR="001B64E4" w:rsidRPr="001B64E4" w:rsidRDefault="001B64E4" w:rsidP="001B64E4">
            <w:pPr>
              <w:rPr>
                <w:rFonts w:cs="Arial"/>
              </w:rPr>
            </w:pPr>
            <w:r w:rsidRPr="001B64E4">
              <w:rPr>
                <w:rFonts w:cs="Arial"/>
              </w:rPr>
              <w:t>3.46</w:t>
            </w:r>
          </w:p>
        </w:tc>
        <w:tc>
          <w:tcPr>
            <w:tcW w:w="850" w:type="dxa"/>
            <w:vAlign w:val="center"/>
          </w:tcPr>
          <w:p w:rsidR="001B64E4" w:rsidRPr="001B64E4" w:rsidRDefault="001B64E4" w:rsidP="001B64E4">
            <w:pPr>
              <w:rPr>
                <w:rFonts w:cs="Arial"/>
              </w:rPr>
            </w:pPr>
            <w:r w:rsidRPr="001B64E4">
              <w:rPr>
                <w:rFonts w:cs="Arial"/>
              </w:rPr>
              <w:t>3.42</w:t>
            </w:r>
          </w:p>
        </w:tc>
        <w:tc>
          <w:tcPr>
            <w:tcW w:w="1418" w:type="dxa"/>
          </w:tcPr>
          <w:p w:rsidR="001B64E4" w:rsidRPr="001B64E4" w:rsidRDefault="001B64E4" w:rsidP="001B64E4">
            <w:pPr>
              <w:jc w:val="center"/>
              <w:rPr>
                <w:rFonts w:cs="Arial"/>
              </w:rPr>
            </w:pPr>
            <w:r w:rsidRPr="001B64E4">
              <w:rPr>
                <w:rFonts w:cs="Arial"/>
              </w:rPr>
              <w:t>Lowest (worst) 20%</w:t>
            </w:r>
          </w:p>
        </w:tc>
        <w:tc>
          <w:tcPr>
            <w:tcW w:w="1701" w:type="dxa"/>
            <w:vAlign w:val="center"/>
          </w:tcPr>
          <w:p w:rsidR="001B64E4" w:rsidRPr="001B64E4" w:rsidRDefault="001B64E4" w:rsidP="001B64E4">
            <w:pPr>
              <w:jc w:val="center"/>
              <w:rPr>
                <w:rFonts w:cs="Arial"/>
              </w:rPr>
            </w:pPr>
            <w:r w:rsidRPr="001B64E4">
              <w:rPr>
                <w:rFonts w:cs="Arial"/>
              </w:rPr>
              <w:t>No</w:t>
            </w:r>
          </w:p>
        </w:tc>
      </w:tr>
      <w:tr w:rsidR="001B64E4" w:rsidRPr="001B64E4" w:rsidTr="001B64E4">
        <w:trPr>
          <w:trHeight w:val="986"/>
        </w:trPr>
        <w:tc>
          <w:tcPr>
            <w:tcW w:w="851" w:type="dxa"/>
            <w:vAlign w:val="center"/>
          </w:tcPr>
          <w:p w:rsidR="001B64E4" w:rsidRPr="001B64E4" w:rsidRDefault="001B64E4" w:rsidP="001B64E4">
            <w:pPr>
              <w:rPr>
                <w:rFonts w:cs="Arial"/>
              </w:rPr>
            </w:pPr>
            <w:r w:rsidRPr="001B64E4">
              <w:rPr>
                <w:rFonts w:cs="Arial"/>
              </w:rPr>
              <w:t>KF25</w:t>
            </w:r>
          </w:p>
        </w:tc>
        <w:tc>
          <w:tcPr>
            <w:tcW w:w="3543" w:type="dxa"/>
            <w:vAlign w:val="center"/>
          </w:tcPr>
          <w:p w:rsidR="001B64E4" w:rsidRPr="001B64E4" w:rsidRDefault="001B64E4" w:rsidP="001B64E4">
            <w:pPr>
              <w:rPr>
                <w:rFonts w:cs="Arial"/>
              </w:rPr>
            </w:pPr>
            <w:r w:rsidRPr="001B64E4">
              <w:rPr>
                <w:rFonts w:cs="Arial"/>
              </w:rPr>
              <w:t xml:space="preserve">Staff motivation at work </w:t>
            </w:r>
          </w:p>
          <w:p w:rsidR="001B64E4" w:rsidRPr="001B64E4" w:rsidRDefault="001B64E4" w:rsidP="001B64E4">
            <w:pPr>
              <w:rPr>
                <w:rFonts w:cs="Arial"/>
              </w:rPr>
            </w:pPr>
            <w:r w:rsidRPr="001B64E4">
              <w:rPr>
                <w:rFonts w:cs="Arial"/>
              </w:rPr>
              <w:t xml:space="preserve">(scored out of 5 with 5 </w:t>
            </w:r>
          </w:p>
          <w:p w:rsidR="001B64E4" w:rsidRPr="001B64E4" w:rsidRDefault="001B64E4" w:rsidP="001B64E4">
            <w:pPr>
              <w:rPr>
                <w:rFonts w:cs="Arial"/>
              </w:rPr>
            </w:pPr>
            <w:r w:rsidRPr="001B64E4">
              <w:rPr>
                <w:rFonts w:cs="Arial"/>
              </w:rPr>
              <w:t>being highest)</w:t>
            </w:r>
          </w:p>
        </w:tc>
        <w:tc>
          <w:tcPr>
            <w:tcW w:w="993" w:type="dxa"/>
            <w:vAlign w:val="center"/>
          </w:tcPr>
          <w:p w:rsidR="001B64E4" w:rsidRPr="001B64E4" w:rsidRDefault="001B64E4" w:rsidP="001B64E4">
            <w:pPr>
              <w:rPr>
                <w:rFonts w:cs="Arial"/>
              </w:rPr>
            </w:pPr>
            <w:r w:rsidRPr="001B64E4">
              <w:rPr>
                <w:rFonts w:cs="Arial"/>
              </w:rPr>
              <w:t>3.88</w:t>
            </w:r>
          </w:p>
        </w:tc>
        <w:tc>
          <w:tcPr>
            <w:tcW w:w="850" w:type="dxa"/>
            <w:vAlign w:val="center"/>
          </w:tcPr>
          <w:p w:rsidR="001B64E4" w:rsidRPr="001B64E4" w:rsidRDefault="001B64E4" w:rsidP="001B64E4">
            <w:pPr>
              <w:rPr>
                <w:rFonts w:cs="Arial"/>
              </w:rPr>
            </w:pPr>
            <w:r w:rsidRPr="001B64E4">
              <w:rPr>
                <w:rFonts w:cs="Arial"/>
              </w:rPr>
              <w:t>3.78</w:t>
            </w:r>
          </w:p>
        </w:tc>
        <w:tc>
          <w:tcPr>
            <w:tcW w:w="1418" w:type="dxa"/>
          </w:tcPr>
          <w:p w:rsidR="001B64E4" w:rsidRPr="001B64E4" w:rsidRDefault="001B64E4" w:rsidP="001B64E4">
            <w:pPr>
              <w:jc w:val="center"/>
              <w:rPr>
                <w:rFonts w:cs="Arial"/>
              </w:rPr>
            </w:pPr>
            <w:r w:rsidRPr="001B64E4">
              <w:rPr>
                <w:rFonts w:cs="Arial"/>
              </w:rPr>
              <w:t>Below (worse than) average</w:t>
            </w:r>
          </w:p>
        </w:tc>
        <w:tc>
          <w:tcPr>
            <w:tcW w:w="1701" w:type="dxa"/>
            <w:vAlign w:val="center"/>
          </w:tcPr>
          <w:p w:rsidR="001B64E4" w:rsidRPr="001B64E4" w:rsidRDefault="001B64E4" w:rsidP="001B64E4">
            <w:pPr>
              <w:jc w:val="center"/>
              <w:rPr>
                <w:rFonts w:cs="Arial"/>
              </w:rPr>
            </w:pPr>
            <w:r w:rsidRPr="001B64E4">
              <w:rPr>
                <w:rFonts w:cs="Arial"/>
              </w:rPr>
              <w:t>No</w:t>
            </w:r>
          </w:p>
        </w:tc>
      </w:tr>
    </w:tbl>
    <w:p w:rsidR="001B64E4" w:rsidRPr="001B64E4" w:rsidRDefault="001B64E4" w:rsidP="001B64E4">
      <w:pPr>
        <w:ind w:left="786"/>
        <w:rPr>
          <w:rFonts w:cs="Arial"/>
          <w:b/>
        </w:rPr>
      </w:pPr>
    </w:p>
    <w:p w:rsidR="001B64E4" w:rsidRPr="001B64E4" w:rsidRDefault="001B64E4" w:rsidP="00A140F4">
      <w:r w:rsidRPr="001B64E4">
        <w:lastRenderedPageBreak/>
        <w:t xml:space="preserve">It is disappointing that the </w:t>
      </w:r>
      <w:r w:rsidRPr="00A140F4">
        <w:t>overall</w:t>
      </w:r>
      <w:r w:rsidRPr="001B64E4">
        <w:t xml:space="preserve"> engagement score has declined and staff engagement and motivation will remain a key focus during the forthcoming year.</w:t>
      </w:r>
    </w:p>
    <w:p w:rsidR="00761BEC" w:rsidRPr="00B025E3" w:rsidRDefault="00761BEC" w:rsidP="00761BEC">
      <w:pPr>
        <w:spacing w:before="200" w:after="80"/>
        <w:outlineLvl w:val="1"/>
        <w:rPr>
          <w:rFonts w:cs="Arial"/>
        </w:rPr>
      </w:pPr>
      <w:r w:rsidRPr="00B025E3">
        <w:rPr>
          <w:rFonts w:cs="Arial"/>
        </w:rPr>
        <w:t>The Trust continues to engage with staff through the Staff Experience Group which meet every two months and through the monthly meeting with Trade Unions via the Joint Negotiating and Consultative Committee (JNCC).</w:t>
      </w:r>
    </w:p>
    <w:p w:rsidR="00761BEC" w:rsidRPr="00B025E3" w:rsidRDefault="00761BEC" w:rsidP="00761BEC">
      <w:pPr>
        <w:spacing w:before="200" w:after="80"/>
        <w:outlineLvl w:val="1"/>
        <w:rPr>
          <w:rFonts w:cs="Arial"/>
        </w:rPr>
      </w:pPr>
    </w:p>
    <w:p w:rsidR="00761BEC" w:rsidRPr="00DD3C49" w:rsidRDefault="00761BEC" w:rsidP="00761BEC">
      <w:pPr>
        <w:pBdr>
          <w:bottom w:val="single" w:sz="8" w:space="1" w:color="4F81BD"/>
        </w:pBdr>
        <w:spacing w:before="200" w:after="80"/>
        <w:outlineLvl w:val="1"/>
        <w:rPr>
          <w:rFonts w:cs="Arial"/>
          <w:b/>
          <w:color w:val="365F91"/>
          <w:sz w:val="24"/>
          <w:szCs w:val="24"/>
        </w:rPr>
      </w:pPr>
      <w:r w:rsidRPr="00DD3C49">
        <w:rPr>
          <w:rFonts w:cs="Arial"/>
          <w:b/>
          <w:color w:val="365F91"/>
          <w:sz w:val="24"/>
          <w:szCs w:val="24"/>
        </w:rPr>
        <w:t>2.7.2 Equality and Diversity</w:t>
      </w:r>
    </w:p>
    <w:p w:rsidR="00761BEC" w:rsidRPr="00B025E3" w:rsidRDefault="00761BEC" w:rsidP="00761BEC">
      <w:pPr>
        <w:autoSpaceDE w:val="0"/>
        <w:autoSpaceDN w:val="0"/>
        <w:adjustRightInd w:val="0"/>
        <w:ind w:firstLine="360"/>
        <w:rPr>
          <w:rFonts w:cs="Arial"/>
          <w:b/>
          <w:bCs/>
          <w:color w:val="FF0000"/>
        </w:rPr>
      </w:pPr>
    </w:p>
    <w:p w:rsidR="00761BEC" w:rsidRPr="00B025E3" w:rsidRDefault="00761BEC" w:rsidP="00761BEC">
      <w:pPr>
        <w:autoSpaceDE w:val="0"/>
        <w:autoSpaceDN w:val="0"/>
        <w:adjustRightInd w:val="0"/>
        <w:rPr>
          <w:rFonts w:cs="Arial"/>
          <w:bCs/>
        </w:rPr>
      </w:pPr>
      <w:r w:rsidRPr="00B025E3">
        <w:rPr>
          <w:rFonts w:cs="Arial"/>
          <w:bCs/>
        </w:rPr>
        <w:t xml:space="preserve">The Trust Equality and Diversity Policy sets out our commitment to promoting equality of opportunity for all, and ensuring that staff and patients are free from discrimination.  The policy sets </w:t>
      </w:r>
      <w:r w:rsidR="0089680C">
        <w:rPr>
          <w:rFonts w:cs="Arial"/>
          <w:bCs/>
        </w:rPr>
        <w:t>out clear responsibilities for directors, managers, staff, p</w:t>
      </w:r>
      <w:r w:rsidRPr="00B025E3">
        <w:rPr>
          <w:rFonts w:cs="Arial"/>
          <w:bCs/>
        </w:rPr>
        <w:t>ati</w:t>
      </w:r>
      <w:r w:rsidR="0089680C">
        <w:rPr>
          <w:rFonts w:cs="Arial"/>
          <w:bCs/>
        </w:rPr>
        <w:t>ents and v</w:t>
      </w:r>
      <w:r w:rsidRPr="00B025E3">
        <w:rPr>
          <w:rFonts w:cs="Arial"/>
          <w:bCs/>
        </w:rPr>
        <w:t xml:space="preserve">isitors. </w:t>
      </w:r>
    </w:p>
    <w:p w:rsidR="00761BEC" w:rsidRPr="00B025E3" w:rsidRDefault="00761BEC" w:rsidP="00761BEC">
      <w:pPr>
        <w:autoSpaceDE w:val="0"/>
        <w:autoSpaceDN w:val="0"/>
        <w:adjustRightInd w:val="0"/>
        <w:rPr>
          <w:rFonts w:cs="Arial"/>
          <w:bCs/>
        </w:rPr>
      </w:pPr>
    </w:p>
    <w:p w:rsidR="00761BEC" w:rsidRPr="00B025E3" w:rsidRDefault="00761BEC" w:rsidP="00761BEC">
      <w:pPr>
        <w:autoSpaceDE w:val="0"/>
        <w:autoSpaceDN w:val="0"/>
        <w:adjustRightInd w:val="0"/>
        <w:rPr>
          <w:rFonts w:cs="Arial"/>
          <w:bCs/>
        </w:rPr>
      </w:pPr>
      <w:r w:rsidRPr="00B025E3">
        <w:rPr>
          <w:rFonts w:cs="Arial"/>
          <w:bCs/>
        </w:rPr>
        <w:t>All staff joining the Trust as part of the induction programme take part in a dedicated Equality and Diversity session and this has contributed to the improved score within the national staff survey which shows an increase from 60% to 65% of staff having received Equality and Diversity Training in the last year (making the Trust above the national average in this category).</w:t>
      </w:r>
    </w:p>
    <w:p w:rsidR="00761BEC" w:rsidRPr="00B025E3" w:rsidRDefault="00761BEC" w:rsidP="00761BEC">
      <w:pPr>
        <w:autoSpaceDE w:val="0"/>
        <w:autoSpaceDN w:val="0"/>
        <w:adjustRightInd w:val="0"/>
        <w:rPr>
          <w:rFonts w:cs="Arial"/>
          <w:bCs/>
        </w:rPr>
      </w:pPr>
    </w:p>
    <w:p w:rsidR="00761BEC" w:rsidRPr="00B025E3" w:rsidRDefault="00761BEC" w:rsidP="00761BEC">
      <w:pPr>
        <w:autoSpaceDE w:val="0"/>
        <w:autoSpaceDN w:val="0"/>
        <w:adjustRightInd w:val="0"/>
        <w:rPr>
          <w:rFonts w:cs="Arial"/>
          <w:bCs/>
        </w:rPr>
      </w:pPr>
      <w:r w:rsidRPr="00B025E3">
        <w:rPr>
          <w:rFonts w:cs="Arial"/>
          <w:bCs/>
        </w:rPr>
        <w:t xml:space="preserve">The following table shows the gender </w:t>
      </w:r>
      <w:r w:rsidR="0089680C">
        <w:rPr>
          <w:rFonts w:cs="Arial"/>
          <w:bCs/>
        </w:rPr>
        <w:t>distribution across all staff, senior managers and d</w:t>
      </w:r>
      <w:r w:rsidRPr="00B025E3">
        <w:rPr>
          <w:rFonts w:cs="Arial"/>
          <w:bCs/>
        </w:rPr>
        <w:t xml:space="preserve">irectors.  </w:t>
      </w:r>
    </w:p>
    <w:p w:rsidR="00761BEC" w:rsidRPr="00B025E3" w:rsidRDefault="00761BEC" w:rsidP="00761BEC">
      <w:pPr>
        <w:autoSpaceDE w:val="0"/>
        <w:autoSpaceDN w:val="0"/>
        <w:adjustRightInd w:val="0"/>
        <w:rPr>
          <w:rFonts w:cs="Arial"/>
          <w:bCs/>
        </w:rPr>
      </w:pPr>
    </w:p>
    <w:tbl>
      <w:tblPr>
        <w:tblpPr w:leftFromText="180" w:rightFromText="180" w:vertAnchor="text" w:horzAnchor="margin" w:tblpXSpec="center" w:tblpY="66"/>
        <w:tblW w:w="9489" w:type="dxa"/>
        <w:tblLook w:val="04A0"/>
      </w:tblPr>
      <w:tblGrid>
        <w:gridCol w:w="1244"/>
        <w:gridCol w:w="1700"/>
        <w:gridCol w:w="520"/>
        <w:gridCol w:w="1440"/>
        <w:gridCol w:w="1761"/>
        <w:gridCol w:w="2684"/>
        <w:gridCol w:w="710"/>
      </w:tblGrid>
      <w:tr w:rsidR="00761BEC" w:rsidRPr="00B025E3" w:rsidTr="00AB14E1">
        <w:trPr>
          <w:trHeight w:val="255"/>
        </w:trPr>
        <w:tc>
          <w:tcPr>
            <w:tcW w:w="674" w:type="dxa"/>
            <w:tcBorders>
              <w:top w:val="single" w:sz="4" w:space="0" w:color="auto"/>
              <w:left w:val="single" w:sz="4" w:space="0" w:color="auto"/>
              <w:bottom w:val="nil"/>
              <w:right w:val="nil"/>
            </w:tcBorders>
            <w:shd w:val="clear" w:color="auto" w:fill="auto"/>
            <w:noWrap/>
            <w:vAlign w:val="bottom"/>
            <w:hideMark/>
          </w:tcPr>
          <w:p w:rsidR="00761BEC" w:rsidRPr="00B025E3" w:rsidRDefault="00761BEC" w:rsidP="00AB14E1">
            <w:pPr>
              <w:rPr>
                <w:rFonts w:cs="Arial"/>
                <w:b/>
                <w:bCs/>
              </w:rPr>
            </w:pPr>
            <w:r w:rsidRPr="00B025E3">
              <w:rPr>
                <w:rFonts w:cs="Arial"/>
                <w:b/>
                <w:bCs/>
              </w:rPr>
              <w:t xml:space="preserve">All Staff </w:t>
            </w:r>
          </w:p>
        </w:tc>
        <w:tc>
          <w:tcPr>
            <w:tcW w:w="1700" w:type="dxa"/>
            <w:tcBorders>
              <w:top w:val="single" w:sz="4" w:space="0" w:color="auto"/>
              <w:left w:val="nil"/>
              <w:bottom w:val="nil"/>
              <w:right w:val="nil"/>
            </w:tcBorders>
            <w:shd w:val="clear" w:color="auto" w:fill="auto"/>
            <w:noWrap/>
            <w:vAlign w:val="bottom"/>
            <w:hideMark/>
          </w:tcPr>
          <w:p w:rsidR="00761BEC" w:rsidRPr="00B025E3" w:rsidRDefault="00761BEC" w:rsidP="00AB14E1">
            <w:pPr>
              <w:rPr>
                <w:rFonts w:cs="Arial"/>
                <w:b/>
                <w:bCs/>
              </w:rPr>
            </w:pPr>
          </w:p>
        </w:tc>
        <w:tc>
          <w:tcPr>
            <w:tcW w:w="520" w:type="dxa"/>
            <w:tcBorders>
              <w:top w:val="single" w:sz="4" w:space="0" w:color="auto"/>
              <w:left w:val="nil"/>
              <w:bottom w:val="nil"/>
              <w:right w:val="nil"/>
            </w:tcBorders>
            <w:shd w:val="clear" w:color="auto" w:fill="auto"/>
            <w:noWrap/>
            <w:vAlign w:val="bottom"/>
            <w:hideMark/>
          </w:tcPr>
          <w:p w:rsidR="00761BEC" w:rsidRPr="00B025E3" w:rsidRDefault="00761BEC" w:rsidP="00AB14E1">
            <w:pPr>
              <w:rPr>
                <w:rFonts w:cs="Arial"/>
                <w:b/>
                <w:bCs/>
              </w:rPr>
            </w:pPr>
          </w:p>
        </w:tc>
        <w:tc>
          <w:tcPr>
            <w:tcW w:w="5885" w:type="dxa"/>
            <w:gridSpan w:val="3"/>
            <w:tcBorders>
              <w:top w:val="single" w:sz="4" w:space="0" w:color="auto"/>
              <w:left w:val="nil"/>
              <w:bottom w:val="nil"/>
              <w:right w:val="nil"/>
            </w:tcBorders>
            <w:shd w:val="clear" w:color="auto" w:fill="auto"/>
            <w:noWrap/>
            <w:vAlign w:val="bottom"/>
            <w:hideMark/>
          </w:tcPr>
          <w:p w:rsidR="00761BEC" w:rsidRPr="00B025E3" w:rsidRDefault="00761BEC" w:rsidP="00AB14E1">
            <w:pPr>
              <w:rPr>
                <w:rFonts w:cs="Arial"/>
                <w:b/>
                <w:bCs/>
              </w:rPr>
            </w:pPr>
            <w:r w:rsidRPr="00B025E3">
              <w:rPr>
                <w:rFonts w:cs="Arial"/>
                <w:b/>
                <w:bCs/>
              </w:rPr>
              <w:t>Board Directors (Including Non Executives)</w:t>
            </w:r>
          </w:p>
        </w:tc>
        <w:tc>
          <w:tcPr>
            <w:tcW w:w="710" w:type="dxa"/>
            <w:tcBorders>
              <w:top w:val="single" w:sz="4" w:space="0" w:color="auto"/>
              <w:left w:val="nil"/>
              <w:bottom w:val="nil"/>
              <w:right w:val="single" w:sz="4" w:space="0" w:color="auto"/>
            </w:tcBorders>
            <w:shd w:val="clear" w:color="auto" w:fill="auto"/>
            <w:noWrap/>
            <w:vAlign w:val="bottom"/>
            <w:hideMark/>
          </w:tcPr>
          <w:p w:rsidR="00761BEC" w:rsidRPr="00B025E3" w:rsidRDefault="00761BEC" w:rsidP="00AB14E1">
            <w:pPr>
              <w:rPr>
                <w:rFonts w:cs="Arial"/>
                <w:b/>
                <w:bCs/>
              </w:rPr>
            </w:pPr>
          </w:p>
        </w:tc>
      </w:tr>
      <w:tr w:rsidR="00761BEC" w:rsidRPr="00B025E3" w:rsidTr="00AB14E1">
        <w:trPr>
          <w:trHeight w:val="255"/>
        </w:trPr>
        <w:tc>
          <w:tcPr>
            <w:tcW w:w="674" w:type="dxa"/>
            <w:tcBorders>
              <w:top w:val="nil"/>
              <w:left w:val="single" w:sz="4" w:space="0" w:color="auto"/>
              <w:bottom w:val="nil"/>
              <w:right w:val="nil"/>
            </w:tcBorders>
            <w:shd w:val="clear" w:color="auto" w:fill="auto"/>
            <w:noWrap/>
            <w:vAlign w:val="bottom"/>
            <w:hideMark/>
          </w:tcPr>
          <w:p w:rsidR="00761BEC" w:rsidRPr="00B025E3" w:rsidRDefault="00761BEC" w:rsidP="00AB14E1">
            <w:pPr>
              <w:rPr>
                <w:rFonts w:cs="Arial"/>
              </w:rPr>
            </w:pPr>
          </w:p>
        </w:tc>
        <w:tc>
          <w:tcPr>
            <w:tcW w:w="1700" w:type="dxa"/>
            <w:tcBorders>
              <w:top w:val="nil"/>
              <w:left w:val="nil"/>
              <w:bottom w:val="nil"/>
              <w:right w:val="nil"/>
            </w:tcBorders>
            <w:shd w:val="clear" w:color="auto" w:fill="auto"/>
            <w:noWrap/>
            <w:vAlign w:val="bottom"/>
            <w:hideMark/>
          </w:tcPr>
          <w:p w:rsidR="00761BEC" w:rsidRPr="00B025E3" w:rsidRDefault="00761BEC" w:rsidP="00AB14E1">
            <w:pPr>
              <w:rPr>
                <w:rFonts w:cs="Arial"/>
              </w:rPr>
            </w:pPr>
          </w:p>
        </w:tc>
        <w:tc>
          <w:tcPr>
            <w:tcW w:w="520" w:type="dxa"/>
            <w:tcBorders>
              <w:top w:val="nil"/>
              <w:left w:val="nil"/>
              <w:bottom w:val="nil"/>
              <w:right w:val="nil"/>
            </w:tcBorders>
            <w:shd w:val="clear" w:color="auto" w:fill="auto"/>
            <w:noWrap/>
            <w:vAlign w:val="bottom"/>
            <w:hideMark/>
          </w:tcPr>
          <w:p w:rsidR="00761BEC" w:rsidRPr="00B025E3" w:rsidRDefault="00761BEC" w:rsidP="00AB14E1">
            <w:pPr>
              <w:rPr>
                <w:rFonts w:cs="Arial"/>
              </w:rPr>
            </w:pPr>
          </w:p>
        </w:tc>
        <w:tc>
          <w:tcPr>
            <w:tcW w:w="1440" w:type="dxa"/>
            <w:tcBorders>
              <w:top w:val="nil"/>
              <w:left w:val="nil"/>
              <w:bottom w:val="nil"/>
              <w:right w:val="nil"/>
            </w:tcBorders>
            <w:shd w:val="clear" w:color="auto" w:fill="auto"/>
            <w:noWrap/>
            <w:vAlign w:val="bottom"/>
            <w:hideMark/>
          </w:tcPr>
          <w:p w:rsidR="00761BEC" w:rsidRPr="00B025E3" w:rsidRDefault="00761BEC" w:rsidP="00AB14E1">
            <w:pPr>
              <w:rPr>
                <w:rFonts w:cs="Arial"/>
              </w:rPr>
            </w:pPr>
          </w:p>
        </w:tc>
        <w:tc>
          <w:tcPr>
            <w:tcW w:w="1761" w:type="dxa"/>
            <w:tcBorders>
              <w:top w:val="nil"/>
              <w:left w:val="nil"/>
              <w:bottom w:val="nil"/>
              <w:right w:val="nil"/>
            </w:tcBorders>
            <w:shd w:val="clear" w:color="auto" w:fill="auto"/>
            <w:noWrap/>
            <w:vAlign w:val="bottom"/>
            <w:hideMark/>
          </w:tcPr>
          <w:p w:rsidR="00761BEC" w:rsidRPr="00B025E3" w:rsidRDefault="00761BEC" w:rsidP="00AB14E1">
            <w:pPr>
              <w:rPr>
                <w:rFonts w:cs="Arial"/>
              </w:rPr>
            </w:pPr>
          </w:p>
        </w:tc>
        <w:tc>
          <w:tcPr>
            <w:tcW w:w="2684" w:type="dxa"/>
            <w:tcBorders>
              <w:top w:val="nil"/>
              <w:left w:val="nil"/>
              <w:bottom w:val="nil"/>
              <w:right w:val="nil"/>
            </w:tcBorders>
            <w:shd w:val="clear" w:color="auto" w:fill="auto"/>
            <w:noWrap/>
            <w:vAlign w:val="bottom"/>
            <w:hideMark/>
          </w:tcPr>
          <w:p w:rsidR="00761BEC" w:rsidRPr="00B025E3" w:rsidRDefault="00761BEC" w:rsidP="00AB14E1">
            <w:pPr>
              <w:rPr>
                <w:rFonts w:cs="Arial"/>
              </w:rPr>
            </w:pPr>
          </w:p>
        </w:tc>
        <w:tc>
          <w:tcPr>
            <w:tcW w:w="710" w:type="dxa"/>
            <w:tcBorders>
              <w:top w:val="nil"/>
              <w:left w:val="nil"/>
              <w:bottom w:val="nil"/>
              <w:right w:val="single" w:sz="4" w:space="0" w:color="auto"/>
            </w:tcBorders>
            <w:shd w:val="clear" w:color="auto" w:fill="auto"/>
            <w:noWrap/>
            <w:vAlign w:val="bottom"/>
            <w:hideMark/>
          </w:tcPr>
          <w:p w:rsidR="00761BEC" w:rsidRPr="00B025E3" w:rsidRDefault="00761BEC" w:rsidP="00AB14E1">
            <w:pPr>
              <w:rPr>
                <w:rFonts w:cs="Arial"/>
              </w:rPr>
            </w:pPr>
          </w:p>
        </w:tc>
      </w:tr>
      <w:tr w:rsidR="00761BEC" w:rsidRPr="00B025E3" w:rsidTr="00AB14E1">
        <w:trPr>
          <w:trHeight w:val="255"/>
        </w:trPr>
        <w:tc>
          <w:tcPr>
            <w:tcW w:w="674" w:type="dxa"/>
            <w:tcBorders>
              <w:top w:val="single" w:sz="4" w:space="0" w:color="000000"/>
              <w:left w:val="single" w:sz="4" w:space="0" w:color="auto"/>
              <w:bottom w:val="nil"/>
              <w:right w:val="nil"/>
            </w:tcBorders>
            <w:shd w:val="clear" w:color="auto" w:fill="auto"/>
            <w:noWrap/>
            <w:vAlign w:val="bottom"/>
            <w:hideMark/>
          </w:tcPr>
          <w:p w:rsidR="00761BEC" w:rsidRPr="00B025E3" w:rsidRDefault="00761BEC" w:rsidP="00AB14E1">
            <w:pPr>
              <w:rPr>
                <w:rFonts w:cs="Arial"/>
              </w:rPr>
            </w:pPr>
            <w:r w:rsidRPr="00B025E3">
              <w:rPr>
                <w:rFonts w:cs="Arial"/>
              </w:rPr>
              <w:t>Gender</w:t>
            </w:r>
          </w:p>
        </w:tc>
        <w:tc>
          <w:tcPr>
            <w:tcW w:w="1700" w:type="dxa"/>
            <w:tcBorders>
              <w:top w:val="single" w:sz="4" w:space="0" w:color="000000"/>
              <w:left w:val="single" w:sz="4" w:space="0" w:color="000000"/>
              <w:bottom w:val="nil"/>
              <w:right w:val="single" w:sz="4" w:space="0" w:color="000000"/>
            </w:tcBorders>
            <w:shd w:val="clear" w:color="auto" w:fill="auto"/>
            <w:noWrap/>
            <w:vAlign w:val="bottom"/>
            <w:hideMark/>
          </w:tcPr>
          <w:p w:rsidR="00761BEC" w:rsidRPr="00B025E3" w:rsidRDefault="00761BEC" w:rsidP="00AB14E1">
            <w:pPr>
              <w:rPr>
                <w:rFonts w:cs="Arial"/>
              </w:rPr>
            </w:pPr>
            <w:r w:rsidRPr="00B025E3">
              <w:rPr>
                <w:rFonts w:cs="Arial"/>
              </w:rPr>
              <w:t>Total</w:t>
            </w:r>
          </w:p>
        </w:tc>
        <w:tc>
          <w:tcPr>
            <w:tcW w:w="520" w:type="dxa"/>
            <w:tcBorders>
              <w:top w:val="nil"/>
              <w:left w:val="nil"/>
              <w:bottom w:val="nil"/>
              <w:right w:val="nil"/>
            </w:tcBorders>
            <w:shd w:val="clear" w:color="auto" w:fill="auto"/>
            <w:noWrap/>
            <w:vAlign w:val="bottom"/>
            <w:hideMark/>
          </w:tcPr>
          <w:p w:rsidR="00761BEC" w:rsidRPr="00B025E3" w:rsidRDefault="00761BEC" w:rsidP="00AB14E1">
            <w:pPr>
              <w:rPr>
                <w:rFonts w:cs="Arial"/>
              </w:rPr>
            </w:pPr>
          </w:p>
        </w:tc>
        <w:tc>
          <w:tcPr>
            <w:tcW w:w="1440" w:type="dxa"/>
            <w:tcBorders>
              <w:top w:val="single" w:sz="4" w:space="0" w:color="000000"/>
              <w:left w:val="single" w:sz="4" w:space="0" w:color="000000"/>
              <w:bottom w:val="nil"/>
              <w:right w:val="nil"/>
            </w:tcBorders>
            <w:shd w:val="clear" w:color="auto" w:fill="auto"/>
            <w:noWrap/>
            <w:vAlign w:val="bottom"/>
            <w:hideMark/>
          </w:tcPr>
          <w:p w:rsidR="00761BEC" w:rsidRPr="00B025E3" w:rsidRDefault="00761BEC" w:rsidP="00AB14E1">
            <w:pPr>
              <w:rPr>
                <w:rFonts w:cs="Arial"/>
              </w:rPr>
            </w:pPr>
            <w:r w:rsidRPr="00B025E3">
              <w:rPr>
                <w:rFonts w:cs="Arial"/>
              </w:rPr>
              <w:t>Gender</w:t>
            </w:r>
          </w:p>
        </w:tc>
        <w:tc>
          <w:tcPr>
            <w:tcW w:w="1761" w:type="dxa"/>
            <w:tcBorders>
              <w:top w:val="single" w:sz="4" w:space="0" w:color="000000"/>
              <w:left w:val="single" w:sz="4" w:space="0" w:color="000000"/>
              <w:bottom w:val="nil"/>
              <w:right w:val="nil"/>
            </w:tcBorders>
            <w:shd w:val="clear" w:color="auto" w:fill="auto"/>
            <w:noWrap/>
            <w:vAlign w:val="bottom"/>
            <w:hideMark/>
          </w:tcPr>
          <w:p w:rsidR="00761BEC" w:rsidRPr="00B025E3" w:rsidRDefault="00761BEC" w:rsidP="00AB14E1">
            <w:pPr>
              <w:rPr>
                <w:rFonts w:cs="Arial"/>
              </w:rPr>
            </w:pPr>
            <w:r w:rsidRPr="00B025E3">
              <w:rPr>
                <w:rFonts w:cs="Arial"/>
              </w:rPr>
              <w:t>Org P4</w:t>
            </w:r>
          </w:p>
        </w:tc>
        <w:tc>
          <w:tcPr>
            <w:tcW w:w="2684" w:type="dxa"/>
            <w:tcBorders>
              <w:top w:val="single" w:sz="4" w:space="0" w:color="000000"/>
              <w:left w:val="single" w:sz="4" w:space="0" w:color="000000"/>
              <w:bottom w:val="nil"/>
              <w:right w:val="nil"/>
            </w:tcBorders>
            <w:shd w:val="clear" w:color="auto" w:fill="auto"/>
            <w:noWrap/>
            <w:vAlign w:val="bottom"/>
            <w:hideMark/>
          </w:tcPr>
          <w:p w:rsidR="00761BEC" w:rsidRPr="00B025E3" w:rsidRDefault="00761BEC" w:rsidP="00AB14E1">
            <w:pPr>
              <w:rPr>
                <w:rFonts w:cs="Arial"/>
              </w:rPr>
            </w:pPr>
            <w:r w:rsidRPr="00B025E3">
              <w:rPr>
                <w:rFonts w:cs="Arial"/>
              </w:rPr>
              <w:t>Role</w:t>
            </w:r>
          </w:p>
        </w:tc>
        <w:tc>
          <w:tcPr>
            <w:tcW w:w="710" w:type="dxa"/>
            <w:tcBorders>
              <w:top w:val="single" w:sz="4" w:space="0" w:color="000000"/>
              <w:left w:val="single" w:sz="4" w:space="0" w:color="000000"/>
              <w:bottom w:val="nil"/>
              <w:right w:val="single" w:sz="4" w:space="0" w:color="auto"/>
            </w:tcBorders>
            <w:shd w:val="clear" w:color="auto" w:fill="auto"/>
            <w:noWrap/>
            <w:vAlign w:val="bottom"/>
            <w:hideMark/>
          </w:tcPr>
          <w:p w:rsidR="00761BEC" w:rsidRPr="00B025E3" w:rsidRDefault="00761BEC" w:rsidP="00AB14E1">
            <w:pPr>
              <w:rPr>
                <w:rFonts w:cs="Arial"/>
              </w:rPr>
            </w:pPr>
            <w:r w:rsidRPr="00B025E3">
              <w:rPr>
                <w:rFonts w:cs="Arial"/>
              </w:rPr>
              <w:t>Total</w:t>
            </w:r>
          </w:p>
        </w:tc>
      </w:tr>
      <w:tr w:rsidR="00761BEC" w:rsidRPr="00B025E3" w:rsidTr="00AB14E1">
        <w:trPr>
          <w:trHeight w:val="255"/>
        </w:trPr>
        <w:tc>
          <w:tcPr>
            <w:tcW w:w="674" w:type="dxa"/>
            <w:tcBorders>
              <w:top w:val="single" w:sz="4" w:space="0" w:color="000000"/>
              <w:left w:val="single" w:sz="4" w:space="0" w:color="auto"/>
              <w:bottom w:val="nil"/>
              <w:right w:val="nil"/>
            </w:tcBorders>
            <w:shd w:val="clear" w:color="auto" w:fill="auto"/>
            <w:noWrap/>
            <w:vAlign w:val="bottom"/>
            <w:hideMark/>
          </w:tcPr>
          <w:p w:rsidR="00761BEC" w:rsidRPr="00B025E3" w:rsidRDefault="00761BEC" w:rsidP="00AB14E1">
            <w:pPr>
              <w:rPr>
                <w:rFonts w:cs="Arial"/>
              </w:rPr>
            </w:pPr>
            <w:r w:rsidRPr="00B025E3">
              <w:rPr>
                <w:rFonts w:cs="Arial"/>
              </w:rPr>
              <w:t>Female</w:t>
            </w:r>
          </w:p>
        </w:tc>
        <w:tc>
          <w:tcPr>
            <w:tcW w:w="1700" w:type="dxa"/>
            <w:tcBorders>
              <w:top w:val="single" w:sz="4" w:space="0" w:color="000000"/>
              <w:left w:val="single" w:sz="4" w:space="0" w:color="000000"/>
              <w:bottom w:val="nil"/>
              <w:right w:val="single" w:sz="4" w:space="0" w:color="000000"/>
            </w:tcBorders>
            <w:shd w:val="clear" w:color="auto" w:fill="auto"/>
            <w:noWrap/>
            <w:vAlign w:val="bottom"/>
            <w:hideMark/>
          </w:tcPr>
          <w:p w:rsidR="00761BEC" w:rsidRPr="00B025E3" w:rsidRDefault="00761BEC" w:rsidP="00AB14E1">
            <w:pPr>
              <w:jc w:val="right"/>
              <w:rPr>
                <w:rFonts w:cs="Arial"/>
              </w:rPr>
            </w:pPr>
            <w:r w:rsidRPr="00B025E3">
              <w:rPr>
                <w:rFonts w:cs="Arial"/>
              </w:rPr>
              <w:t>1393</w:t>
            </w:r>
          </w:p>
        </w:tc>
        <w:tc>
          <w:tcPr>
            <w:tcW w:w="520" w:type="dxa"/>
            <w:tcBorders>
              <w:top w:val="nil"/>
              <w:left w:val="nil"/>
              <w:bottom w:val="nil"/>
              <w:right w:val="nil"/>
            </w:tcBorders>
            <w:shd w:val="clear" w:color="auto" w:fill="auto"/>
            <w:noWrap/>
            <w:vAlign w:val="bottom"/>
            <w:hideMark/>
          </w:tcPr>
          <w:p w:rsidR="00761BEC" w:rsidRPr="00B025E3" w:rsidRDefault="00761BEC" w:rsidP="00AB14E1">
            <w:pPr>
              <w:rPr>
                <w:rFonts w:cs="Arial"/>
              </w:rPr>
            </w:pPr>
          </w:p>
        </w:tc>
        <w:tc>
          <w:tcPr>
            <w:tcW w:w="1440" w:type="dxa"/>
            <w:tcBorders>
              <w:top w:val="single" w:sz="4" w:space="0" w:color="000000"/>
              <w:left w:val="single" w:sz="4" w:space="0" w:color="000000"/>
              <w:bottom w:val="nil"/>
              <w:right w:val="nil"/>
            </w:tcBorders>
            <w:shd w:val="clear" w:color="auto" w:fill="auto"/>
            <w:noWrap/>
            <w:vAlign w:val="bottom"/>
            <w:hideMark/>
          </w:tcPr>
          <w:p w:rsidR="00761BEC" w:rsidRPr="00B025E3" w:rsidRDefault="00761BEC" w:rsidP="00AB14E1">
            <w:pPr>
              <w:rPr>
                <w:rFonts w:cs="Arial"/>
              </w:rPr>
            </w:pPr>
            <w:r w:rsidRPr="00B025E3">
              <w:rPr>
                <w:rFonts w:cs="Arial"/>
              </w:rPr>
              <w:t>Female</w:t>
            </w:r>
          </w:p>
        </w:tc>
        <w:tc>
          <w:tcPr>
            <w:tcW w:w="1761" w:type="dxa"/>
            <w:tcBorders>
              <w:top w:val="single" w:sz="4" w:space="0" w:color="000000"/>
              <w:left w:val="single" w:sz="4" w:space="0" w:color="000000"/>
              <w:bottom w:val="nil"/>
              <w:right w:val="nil"/>
            </w:tcBorders>
            <w:shd w:val="clear" w:color="auto" w:fill="auto"/>
            <w:noWrap/>
            <w:vAlign w:val="bottom"/>
            <w:hideMark/>
          </w:tcPr>
          <w:p w:rsidR="00761BEC" w:rsidRPr="00B025E3" w:rsidRDefault="00761BEC" w:rsidP="00AB14E1">
            <w:pPr>
              <w:rPr>
                <w:rFonts w:cs="Arial"/>
              </w:rPr>
            </w:pPr>
            <w:r w:rsidRPr="00B025E3">
              <w:rPr>
                <w:rFonts w:cs="Arial"/>
              </w:rPr>
              <w:t>Executive Directors</w:t>
            </w:r>
          </w:p>
        </w:tc>
        <w:tc>
          <w:tcPr>
            <w:tcW w:w="2684" w:type="dxa"/>
            <w:tcBorders>
              <w:top w:val="single" w:sz="4" w:space="0" w:color="000000"/>
              <w:left w:val="single" w:sz="4" w:space="0" w:color="000000"/>
              <w:bottom w:val="nil"/>
              <w:right w:val="nil"/>
            </w:tcBorders>
            <w:shd w:val="clear" w:color="auto" w:fill="auto"/>
            <w:noWrap/>
            <w:vAlign w:val="bottom"/>
            <w:hideMark/>
          </w:tcPr>
          <w:p w:rsidR="00761BEC" w:rsidRPr="00B025E3" w:rsidRDefault="00761BEC" w:rsidP="00AB14E1">
            <w:pPr>
              <w:rPr>
                <w:rFonts w:cs="Arial"/>
              </w:rPr>
            </w:pPr>
            <w:r w:rsidRPr="00B025E3">
              <w:rPr>
                <w:rFonts w:cs="Arial"/>
              </w:rPr>
              <w:t>Director of Strategic Development</w:t>
            </w:r>
          </w:p>
        </w:tc>
        <w:tc>
          <w:tcPr>
            <w:tcW w:w="710" w:type="dxa"/>
            <w:tcBorders>
              <w:top w:val="single" w:sz="4" w:space="0" w:color="000000"/>
              <w:left w:val="single" w:sz="4" w:space="0" w:color="000000"/>
              <w:bottom w:val="nil"/>
              <w:right w:val="single" w:sz="4" w:space="0" w:color="auto"/>
            </w:tcBorders>
            <w:shd w:val="clear" w:color="auto" w:fill="auto"/>
            <w:noWrap/>
            <w:hideMark/>
          </w:tcPr>
          <w:p w:rsidR="00761BEC" w:rsidRPr="00B025E3" w:rsidRDefault="00761BEC" w:rsidP="00AB14E1">
            <w:pPr>
              <w:jc w:val="center"/>
              <w:rPr>
                <w:rFonts w:cs="Arial"/>
              </w:rPr>
            </w:pPr>
          </w:p>
          <w:p w:rsidR="00761BEC" w:rsidRPr="00B025E3" w:rsidRDefault="00761BEC" w:rsidP="00AB14E1">
            <w:pPr>
              <w:jc w:val="center"/>
              <w:rPr>
                <w:rFonts w:cs="Arial"/>
              </w:rPr>
            </w:pPr>
            <w:r w:rsidRPr="00B025E3">
              <w:rPr>
                <w:rFonts w:cs="Arial"/>
              </w:rPr>
              <w:t>1</w:t>
            </w:r>
          </w:p>
        </w:tc>
      </w:tr>
      <w:tr w:rsidR="00761BEC" w:rsidRPr="00B025E3" w:rsidTr="00AB14E1">
        <w:trPr>
          <w:trHeight w:val="255"/>
        </w:trPr>
        <w:tc>
          <w:tcPr>
            <w:tcW w:w="674" w:type="dxa"/>
            <w:tcBorders>
              <w:top w:val="nil"/>
              <w:left w:val="single" w:sz="4" w:space="0" w:color="auto"/>
              <w:bottom w:val="nil"/>
              <w:right w:val="nil"/>
            </w:tcBorders>
            <w:shd w:val="clear" w:color="auto" w:fill="auto"/>
            <w:noWrap/>
            <w:vAlign w:val="bottom"/>
            <w:hideMark/>
          </w:tcPr>
          <w:p w:rsidR="00761BEC" w:rsidRPr="00B025E3" w:rsidRDefault="00761BEC" w:rsidP="00AB14E1">
            <w:pPr>
              <w:rPr>
                <w:rFonts w:cs="Arial"/>
              </w:rPr>
            </w:pPr>
            <w:r w:rsidRPr="00B025E3">
              <w:rPr>
                <w:rFonts w:cs="Arial"/>
              </w:rPr>
              <w:t>Male</w:t>
            </w:r>
          </w:p>
        </w:tc>
        <w:tc>
          <w:tcPr>
            <w:tcW w:w="1700" w:type="dxa"/>
            <w:tcBorders>
              <w:top w:val="nil"/>
              <w:left w:val="single" w:sz="4" w:space="0" w:color="000000"/>
              <w:bottom w:val="nil"/>
              <w:right w:val="single" w:sz="4" w:space="0" w:color="000000"/>
            </w:tcBorders>
            <w:shd w:val="clear" w:color="auto" w:fill="auto"/>
            <w:noWrap/>
            <w:vAlign w:val="bottom"/>
            <w:hideMark/>
          </w:tcPr>
          <w:p w:rsidR="00761BEC" w:rsidRPr="00B025E3" w:rsidRDefault="00761BEC" w:rsidP="00AB14E1">
            <w:pPr>
              <w:jc w:val="right"/>
              <w:rPr>
                <w:rFonts w:cs="Arial"/>
              </w:rPr>
            </w:pPr>
            <w:r w:rsidRPr="00B025E3">
              <w:rPr>
                <w:rFonts w:cs="Arial"/>
              </w:rPr>
              <w:t>354</w:t>
            </w:r>
          </w:p>
        </w:tc>
        <w:tc>
          <w:tcPr>
            <w:tcW w:w="520" w:type="dxa"/>
            <w:tcBorders>
              <w:top w:val="nil"/>
              <w:left w:val="nil"/>
              <w:bottom w:val="nil"/>
              <w:right w:val="nil"/>
            </w:tcBorders>
            <w:shd w:val="clear" w:color="auto" w:fill="auto"/>
            <w:noWrap/>
            <w:vAlign w:val="bottom"/>
            <w:hideMark/>
          </w:tcPr>
          <w:p w:rsidR="00761BEC" w:rsidRPr="00B025E3" w:rsidRDefault="00761BEC" w:rsidP="00AB14E1">
            <w:pPr>
              <w:rPr>
                <w:rFonts w:cs="Arial"/>
              </w:rPr>
            </w:pPr>
          </w:p>
        </w:tc>
        <w:tc>
          <w:tcPr>
            <w:tcW w:w="1440" w:type="dxa"/>
            <w:tcBorders>
              <w:top w:val="nil"/>
              <w:left w:val="single" w:sz="4" w:space="0" w:color="000000"/>
              <w:bottom w:val="nil"/>
              <w:right w:val="nil"/>
            </w:tcBorders>
            <w:shd w:val="clear" w:color="auto" w:fill="auto"/>
            <w:noWrap/>
            <w:vAlign w:val="bottom"/>
            <w:hideMark/>
          </w:tcPr>
          <w:p w:rsidR="00761BEC" w:rsidRPr="00B025E3" w:rsidRDefault="00761BEC" w:rsidP="00AB14E1">
            <w:pPr>
              <w:rPr>
                <w:rFonts w:cs="Arial"/>
              </w:rPr>
            </w:pPr>
            <w:r w:rsidRPr="00B025E3">
              <w:rPr>
                <w:rFonts w:cs="Arial"/>
              </w:rPr>
              <w:t> </w:t>
            </w:r>
          </w:p>
        </w:tc>
        <w:tc>
          <w:tcPr>
            <w:tcW w:w="1761" w:type="dxa"/>
            <w:tcBorders>
              <w:top w:val="nil"/>
              <w:left w:val="single" w:sz="4" w:space="0" w:color="000000"/>
              <w:bottom w:val="nil"/>
              <w:right w:val="nil"/>
            </w:tcBorders>
            <w:shd w:val="clear" w:color="auto" w:fill="auto"/>
            <w:noWrap/>
            <w:vAlign w:val="bottom"/>
            <w:hideMark/>
          </w:tcPr>
          <w:p w:rsidR="00761BEC" w:rsidRPr="00B025E3" w:rsidRDefault="00761BEC" w:rsidP="00AB14E1">
            <w:pPr>
              <w:rPr>
                <w:rFonts w:cs="Arial"/>
              </w:rPr>
            </w:pPr>
            <w:r w:rsidRPr="00B025E3">
              <w:rPr>
                <w:rFonts w:cs="Arial"/>
              </w:rPr>
              <w:t> </w:t>
            </w:r>
          </w:p>
        </w:tc>
        <w:tc>
          <w:tcPr>
            <w:tcW w:w="2684" w:type="dxa"/>
            <w:tcBorders>
              <w:top w:val="nil"/>
              <w:left w:val="single" w:sz="4" w:space="0" w:color="000000"/>
              <w:bottom w:val="nil"/>
              <w:right w:val="nil"/>
            </w:tcBorders>
            <w:shd w:val="clear" w:color="auto" w:fill="auto"/>
            <w:noWrap/>
            <w:vAlign w:val="bottom"/>
            <w:hideMark/>
          </w:tcPr>
          <w:p w:rsidR="00761BEC" w:rsidRPr="00B025E3" w:rsidRDefault="00761BEC" w:rsidP="00AB14E1">
            <w:pPr>
              <w:rPr>
                <w:rFonts w:cs="Arial"/>
              </w:rPr>
            </w:pPr>
            <w:r w:rsidRPr="00B025E3">
              <w:rPr>
                <w:rFonts w:cs="Arial"/>
              </w:rPr>
              <w:t>Director of Nursing</w:t>
            </w:r>
          </w:p>
          <w:p w:rsidR="00761BEC" w:rsidRPr="00B025E3" w:rsidRDefault="00761BEC" w:rsidP="00AB14E1">
            <w:pPr>
              <w:rPr>
                <w:rFonts w:cs="Arial"/>
              </w:rPr>
            </w:pPr>
            <w:r w:rsidRPr="00B025E3">
              <w:rPr>
                <w:rFonts w:cs="Arial"/>
              </w:rPr>
              <w:t>Medical Director</w:t>
            </w:r>
          </w:p>
          <w:p w:rsidR="00761BEC" w:rsidRPr="00B025E3" w:rsidRDefault="00761BEC" w:rsidP="00AB14E1">
            <w:pPr>
              <w:rPr>
                <w:rFonts w:cs="Arial"/>
              </w:rPr>
            </w:pPr>
            <w:r w:rsidRPr="00B025E3">
              <w:rPr>
                <w:rFonts w:cs="Arial"/>
              </w:rPr>
              <w:t>Director of Operations</w:t>
            </w:r>
          </w:p>
          <w:p w:rsidR="00761BEC" w:rsidRPr="00B025E3" w:rsidRDefault="00761BEC" w:rsidP="00AB14E1">
            <w:pPr>
              <w:rPr>
                <w:rFonts w:cs="Arial"/>
              </w:rPr>
            </w:pPr>
            <w:r w:rsidRPr="00B025E3">
              <w:rPr>
                <w:rFonts w:cs="Arial"/>
              </w:rPr>
              <w:t>Director of Human Resources</w:t>
            </w:r>
          </w:p>
        </w:tc>
        <w:tc>
          <w:tcPr>
            <w:tcW w:w="710" w:type="dxa"/>
            <w:tcBorders>
              <w:top w:val="nil"/>
              <w:left w:val="single" w:sz="4" w:space="0" w:color="000000"/>
              <w:bottom w:val="nil"/>
              <w:right w:val="single" w:sz="4" w:space="0" w:color="auto"/>
            </w:tcBorders>
            <w:shd w:val="clear" w:color="auto" w:fill="auto"/>
            <w:noWrap/>
            <w:hideMark/>
          </w:tcPr>
          <w:p w:rsidR="00761BEC" w:rsidRPr="00B025E3" w:rsidRDefault="00761BEC" w:rsidP="00AB14E1">
            <w:pPr>
              <w:jc w:val="center"/>
              <w:rPr>
                <w:rFonts w:cs="Arial"/>
              </w:rPr>
            </w:pPr>
            <w:r w:rsidRPr="00B025E3">
              <w:rPr>
                <w:rFonts w:cs="Arial"/>
              </w:rPr>
              <w:t>1</w:t>
            </w:r>
          </w:p>
          <w:p w:rsidR="00761BEC" w:rsidRPr="00B025E3" w:rsidRDefault="00761BEC" w:rsidP="00AB14E1">
            <w:pPr>
              <w:jc w:val="center"/>
              <w:rPr>
                <w:rFonts w:cs="Arial"/>
              </w:rPr>
            </w:pPr>
            <w:r w:rsidRPr="00B025E3">
              <w:rPr>
                <w:rFonts w:cs="Arial"/>
              </w:rPr>
              <w:t>1</w:t>
            </w:r>
          </w:p>
          <w:p w:rsidR="00761BEC" w:rsidRPr="00B025E3" w:rsidRDefault="00761BEC" w:rsidP="00AB14E1">
            <w:pPr>
              <w:jc w:val="center"/>
              <w:rPr>
                <w:rFonts w:cs="Arial"/>
              </w:rPr>
            </w:pPr>
            <w:r w:rsidRPr="00B025E3">
              <w:rPr>
                <w:rFonts w:cs="Arial"/>
              </w:rPr>
              <w:t>1</w:t>
            </w:r>
          </w:p>
          <w:p w:rsidR="00761BEC" w:rsidRPr="00B025E3" w:rsidRDefault="00761BEC" w:rsidP="00AB14E1">
            <w:pPr>
              <w:jc w:val="center"/>
              <w:rPr>
                <w:rFonts w:cs="Arial"/>
              </w:rPr>
            </w:pPr>
            <w:r w:rsidRPr="00B025E3">
              <w:rPr>
                <w:rFonts w:cs="Arial"/>
              </w:rPr>
              <w:t>1</w:t>
            </w:r>
          </w:p>
        </w:tc>
      </w:tr>
      <w:tr w:rsidR="00761BEC" w:rsidRPr="00B025E3" w:rsidTr="00AB14E1">
        <w:trPr>
          <w:trHeight w:val="255"/>
        </w:trPr>
        <w:tc>
          <w:tcPr>
            <w:tcW w:w="674" w:type="dxa"/>
            <w:tcBorders>
              <w:top w:val="single" w:sz="4" w:space="0" w:color="000000"/>
              <w:left w:val="single" w:sz="4" w:space="0" w:color="auto"/>
              <w:bottom w:val="single" w:sz="4" w:space="0" w:color="000000"/>
              <w:right w:val="nil"/>
            </w:tcBorders>
            <w:shd w:val="clear" w:color="auto" w:fill="auto"/>
            <w:noWrap/>
            <w:vAlign w:val="bottom"/>
            <w:hideMark/>
          </w:tcPr>
          <w:p w:rsidR="00761BEC" w:rsidRPr="00B025E3" w:rsidRDefault="00761BEC" w:rsidP="00AB14E1">
            <w:pPr>
              <w:rPr>
                <w:rFonts w:cs="Arial"/>
                <w:b/>
              </w:rPr>
            </w:pPr>
            <w:r w:rsidRPr="00B025E3">
              <w:rPr>
                <w:rFonts w:cs="Arial"/>
                <w:b/>
              </w:rPr>
              <w:t>Grand Total</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761BEC" w:rsidRPr="00B025E3" w:rsidRDefault="00761BEC" w:rsidP="00AB14E1">
            <w:pPr>
              <w:jc w:val="right"/>
              <w:rPr>
                <w:rFonts w:cs="Arial"/>
                <w:b/>
              </w:rPr>
            </w:pPr>
            <w:r w:rsidRPr="00B025E3">
              <w:rPr>
                <w:rFonts w:cs="Arial"/>
                <w:b/>
              </w:rPr>
              <w:t>1747</w:t>
            </w:r>
          </w:p>
        </w:tc>
        <w:tc>
          <w:tcPr>
            <w:tcW w:w="520" w:type="dxa"/>
            <w:tcBorders>
              <w:top w:val="nil"/>
              <w:left w:val="nil"/>
              <w:bottom w:val="nil"/>
              <w:right w:val="nil"/>
            </w:tcBorders>
            <w:shd w:val="clear" w:color="auto" w:fill="auto"/>
            <w:noWrap/>
            <w:vAlign w:val="bottom"/>
            <w:hideMark/>
          </w:tcPr>
          <w:p w:rsidR="00761BEC" w:rsidRPr="00B025E3" w:rsidRDefault="00761BEC" w:rsidP="00AB14E1">
            <w:pPr>
              <w:rPr>
                <w:rFonts w:cs="Arial"/>
              </w:rPr>
            </w:pPr>
          </w:p>
        </w:tc>
        <w:tc>
          <w:tcPr>
            <w:tcW w:w="1440" w:type="dxa"/>
            <w:tcBorders>
              <w:top w:val="nil"/>
              <w:left w:val="single" w:sz="4" w:space="0" w:color="000000"/>
              <w:bottom w:val="nil"/>
              <w:right w:val="nil"/>
            </w:tcBorders>
            <w:shd w:val="clear" w:color="auto" w:fill="auto"/>
            <w:noWrap/>
            <w:vAlign w:val="bottom"/>
            <w:hideMark/>
          </w:tcPr>
          <w:p w:rsidR="00761BEC" w:rsidRPr="00B025E3" w:rsidRDefault="00761BEC" w:rsidP="00AB14E1">
            <w:pPr>
              <w:rPr>
                <w:rFonts w:cs="Arial"/>
              </w:rPr>
            </w:pPr>
            <w:r w:rsidRPr="00B025E3">
              <w:rPr>
                <w:rFonts w:cs="Arial"/>
              </w:rPr>
              <w:t> </w:t>
            </w:r>
          </w:p>
        </w:tc>
        <w:tc>
          <w:tcPr>
            <w:tcW w:w="1761" w:type="dxa"/>
            <w:tcBorders>
              <w:top w:val="nil"/>
              <w:left w:val="single" w:sz="4" w:space="0" w:color="000000"/>
              <w:bottom w:val="nil"/>
              <w:right w:val="nil"/>
            </w:tcBorders>
            <w:shd w:val="clear" w:color="auto" w:fill="auto"/>
            <w:noWrap/>
            <w:vAlign w:val="bottom"/>
            <w:hideMark/>
          </w:tcPr>
          <w:p w:rsidR="00761BEC" w:rsidRPr="00B025E3" w:rsidRDefault="00761BEC" w:rsidP="00AB14E1">
            <w:pPr>
              <w:rPr>
                <w:rFonts w:cs="Arial"/>
              </w:rPr>
            </w:pPr>
            <w:r w:rsidRPr="00B025E3">
              <w:rPr>
                <w:rFonts w:cs="Arial"/>
              </w:rPr>
              <w:t> </w:t>
            </w:r>
          </w:p>
        </w:tc>
        <w:tc>
          <w:tcPr>
            <w:tcW w:w="2684" w:type="dxa"/>
            <w:tcBorders>
              <w:top w:val="nil"/>
              <w:left w:val="single" w:sz="4" w:space="0" w:color="000000"/>
              <w:bottom w:val="nil"/>
              <w:right w:val="nil"/>
            </w:tcBorders>
            <w:shd w:val="clear" w:color="auto" w:fill="auto"/>
            <w:noWrap/>
            <w:vAlign w:val="bottom"/>
            <w:hideMark/>
          </w:tcPr>
          <w:p w:rsidR="00761BEC" w:rsidRPr="00B025E3" w:rsidRDefault="00761BEC" w:rsidP="00AB14E1">
            <w:pPr>
              <w:rPr>
                <w:rFonts w:cs="Arial"/>
              </w:rPr>
            </w:pPr>
          </w:p>
        </w:tc>
        <w:tc>
          <w:tcPr>
            <w:tcW w:w="710" w:type="dxa"/>
            <w:tcBorders>
              <w:top w:val="nil"/>
              <w:left w:val="single" w:sz="4" w:space="0" w:color="000000"/>
              <w:bottom w:val="nil"/>
              <w:right w:val="single" w:sz="4" w:space="0" w:color="auto"/>
            </w:tcBorders>
            <w:shd w:val="clear" w:color="auto" w:fill="auto"/>
            <w:noWrap/>
            <w:hideMark/>
          </w:tcPr>
          <w:p w:rsidR="00761BEC" w:rsidRPr="00B025E3" w:rsidRDefault="00761BEC" w:rsidP="00AB14E1">
            <w:pPr>
              <w:jc w:val="center"/>
              <w:rPr>
                <w:rFonts w:cs="Arial"/>
              </w:rPr>
            </w:pPr>
          </w:p>
        </w:tc>
      </w:tr>
      <w:tr w:rsidR="00761BEC" w:rsidRPr="00B025E3" w:rsidTr="00AB14E1">
        <w:trPr>
          <w:trHeight w:val="255"/>
        </w:trPr>
        <w:tc>
          <w:tcPr>
            <w:tcW w:w="674" w:type="dxa"/>
            <w:tcBorders>
              <w:top w:val="nil"/>
              <w:left w:val="single" w:sz="4" w:space="0" w:color="auto"/>
              <w:bottom w:val="nil"/>
              <w:right w:val="nil"/>
            </w:tcBorders>
            <w:shd w:val="clear" w:color="auto" w:fill="auto"/>
            <w:noWrap/>
            <w:vAlign w:val="bottom"/>
            <w:hideMark/>
          </w:tcPr>
          <w:p w:rsidR="00761BEC" w:rsidRPr="00B025E3" w:rsidRDefault="00761BEC" w:rsidP="00AB14E1">
            <w:pPr>
              <w:rPr>
                <w:rFonts w:cs="Arial"/>
              </w:rPr>
            </w:pPr>
          </w:p>
        </w:tc>
        <w:tc>
          <w:tcPr>
            <w:tcW w:w="1700" w:type="dxa"/>
            <w:tcBorders>
              <w:top w:val="nil"/>
              <w:left w:val="nil"/>
              <w:bottom w:val="nil"/>
              <w:right w:val="nil"/>
            </w:tcBorders>
            <w:shd w:val="clear" w:color="auto" w:fill="auto"/>
            <w:noWrap/>
            <w:vAlign w:val="bottom"/>
            <w:hideMark/>
          </w:tcPr>
          <w:p w:rsidR="00761BEC" w:rsidRPr="00B025E3" w:rsidRDefault="00761BEC" w:rsidP="00AB14E1">
            <w:pPr>
              <w:rPr>
                <w:rFonts w:cs="Arial"/>
              </w:rPr>
            </w:pPr>
          </w:p>
        </w:tc>
        <w:tc>
          <w:tcPr>
            <w:tcW w:w="520" w:type="dxa"/>
            <w:tcBorders>
              <w:top w:val="nil"/>
              <w:left w:val="nil"/>
              <w:bottom w:val="nil"/>
              <w:right w:val="nil"/>
            </w:tcBorders>
            <w:shd w:val="clear" w:color="auto" w:fill="auto"/>
            <w:noWrap/>
            <w:vAlign w:val="bottom"/>
            <w:hideMark/>
          </w:tcPr>
          <w:p w:rsidR="00761BEC" w:rsidRPr="00B025E3" w:rsidRDefault="00761BEC" w:rsidP="00AB14E1">
            <w:pPr>
              <w:rPr>
                <w:rFonts w:cs="Arial"/>
              </w:rPr>
            </w:pPr>
          </w:p>
        </w:tc>
        <w:tc>
          <w:tcPr>
            <w:tcW w:w="1440" w:type="dxa"/>
            <w:tcBorders>
              <w:top w:val="nil"/>
              <w:left w:val="single" w:sz="4" w:space="0" w:color="000000"/>
              <w:bottom w:val="nil"/>
              <w:right w:val="nil"/>
            </w:tcBorders>
            <w:shd w:val="clear" w:color="auto" w:fill="auto"/>
            <w:noWrap/>
            <w:vAlign w:val="bottom"/>
            <w:hideMark/>
          </w:tcPr>
          <w:p w:rsidR="00761BEC" w:rsidRPr="00B025E3" w:rsidRDefault="00761BEC" w:rsidP="00AB14E1">
            <w:pPr>
              <w:rPr>
                <w:rFonts w:cs="Arial"/>
              </w:rPr>
            </w:pPr>
            <w:r w:rsidRPr="00B025E3">
              <w:rPr>
                <w:rFonts w:cs="Arial"/>
              </w:rPr>
              <w:t> </w:t>
            </w:r>
          </w:p>
        </w:tc>
        <w:tc>
          <w:tcPr>
            <w:tcW w:w="1761" w:type="dxa"/>
            <w:tcBorders>
              <w:top w:val="single" w:sz="4" w:space="0" w:color="000000"/>
              <w:left w:val="single" w:sz="4" w:space="0" w:color="000000"/>
              <w:bottom w:val="nil"/>
              <w:right w:val="nil"/>
            </w:tcBorders>
            <w:shd w:val="clear" w:color="auto" w:fill="auto"/>
            <w:noWrap/>
            <w:vAlign w:val="bottom"/>
            <w:hideMark/>
          </w:tcPr>
          <w:p w:rsidR="00761BEC" w:rsidRPr="00B025E3" w:rsidRDefault="00761BEC" w:rsidP="00AB14E1">
            <w:pPr>
              <w:rPr>
                <w:rFonts w:cs="Arial"/>
              </w:rPr>
            </w:pPr>
            <w:r w:rsidRPr="00B025E3">
              <w:rPr>
                <w:rFonts w:cs="Arial"/>
              </w:rPr>
              <w:t>Non Executive Directors</w:t>
            </w:r>
          </w:p>
        </w:tc>
        <w:tc>
          <w:tcPr>
            <w:tcW w:w="2684" w:type="dxa"/>
            <w:tcBorders>
              <w:top w:val="single" w:sz="4" w:space="0" w:color="000000"/>
              <w:left w:val="single" w:sz="4" w:space="0" w:color="000000"/>
              <w:bottom w:val="nil"/>
              <w:right w:val="nil"/>
            </w:tcBorders>
            <w:shd w:val="clear" w:color="auto" w:fill="auto"/>
            <w:noWrap/>
            <w:vAlign w:val="bottom"/>
            <w:hideMark/>
          </w:tcPr>
          <w:p w:rsidR="00761BEC" w:rsidRPr="00B025E3" w:rsidRDefault="00761BEC" w:rsidP="00AB14E1">
            <w:pPr>
              <w:rPr>
                <w:rFonts w:cs="Arial"/>
              </w:rPr>
            </w:pPr>
            <w:r w:rsidRPr="00B025E3">
              <w:rPr>
                <w:rFonts w:cs="Arial"/>
              </w:rPr>
              <w:t>Board Level Director</w:t>
            </w:r>
          </w:p>
        </w:tc>
        <w:tc>
          <w:tcPr>
            <w:tcW w:w="710" w:type="dxa"/>
            <w:tcBorders>
              <w:top w:val="single" w:sz="4" w:space="0" w:color="000000"/>
              <w:left w:val="single" w:sz="4" w:space="0" w:color="000000"/>
              <w:bottom w:val="nil"/>
              <w:right w:val="single" w:sz="4" w:space="0" w:color="auto"/>
            </w:tcBorders>
            <w:shd w:val="clear" w:color="auto" w:fill="auto"/>
            <w:noWrap/>
            <w:hideMark/>
          </w:tcPr>
          <w:p w:rsidR="00761BEC" w:rsidRPr="00B025E3" w:rsidRDefault="00761BEC" w:rsidP="00AB14E1">
            <w:pPr>
              <w:jc w:val="center"/>
              <w:rPr>
                <w:rFonts w:cs="Arial"/>
              </w:rPr>
            </w:pPr>
            <w:r w:rsidRPr="00B025E3">
              <w:rPr>
                <w:rFonts w:cs="Arial"/>
              </w:rPr>
              <w:t>1</w:t>
            </w:r>
          </w:p>
        </w:tc>
      </w:tr>
      <w:tr w:rsidR="00761BEC" w:rsidRPr="00B025E3" w:rsidTr="00AB14E1">
        <w:trPr>
          <w:trHeight w:val="255"/>
        </w:trPr>
        <w:tc>
          <w:tcPr>
            <w:tcW w:w="674" w:type="dxa"/>
            <w:tcBorders>
              <w:top w:val="nil"/>
              <w:left w:val="single" w:sz="4" w:space="0" w:color="auto"/>
              <w:bottom w:val="nil"/>
              <w:right w:val="nil"/>
            </w:tcBorders>
            <w:shd w:val="clear" w:color="auto" w:fill="auto"/>
            <w:noWrap/>
            <w:vAlign w:val="bottom"/>
            <w:hideMark/>
          </w:tcPr>
          <w:p w:rsidR="00761BEC" w:rsidRPr="00B025E3" w:rsidRDefault="00761BEC" w:rsidP="00AB14E1">
            <w:pPr>
              <w:rPr>
                <w:rFonts w:cs="Arial"/>
              </w:rPr>
            </w:pPr>
          </w:p>
        </w:tc>
        <w:tc>
          <w:tcPr>
            <w:tcW w:w="1700" w:type="dxa"/>
            <w:tcBorders>
              <w:top w:val="nil"/>
              <w:left w:val="nil"/>
              <w:bottom w:val="nil"/>
              <w:right w:val="nil"/>
            </w:tcBorders>
            <w:shd w:val="clear" w:color="auto" w:fill="auto"/>
            <w:noWrap/>
            <w:vAlign w:val="bottom"/>
            <w:hideMark/>
          </w:tcPr>
          <w:p w:rsidR="00761BEC" w:rsidRPr="00B025E3" w:rsidRDefault="00761BEC" w:rsidP="00AB14E1">
            <w:pPr>
              <w:rPr>
                <w:rFonts w:cs="Arial"/>
              </w:rPr>
            </w:pPr>
          </w:p>
        </w:tc>
        <w:tc>
          <w:tcPr>
            <w:tcW w:w="520" w:type="dxa"/>
            <w:tcBorders>
              <w:top w:val="nil"/>
              <w:left w:val="nil"/>
              <w:bottom w:val="nil"/>
              <w:right w:val="nil"/>
            </w:tcBorders>
            <w:shd w:val="clear" w:color="auto" w:fill="auto"/>
            <w:noWrap/>
            <w:vAlign w:val="bottom"/>
            <w:hideMark/>
          </w:tcPr>
          <w:p w:rsidR="00761BEC" w:rsidRPr="00B025E3" w:rsidRDefault="00761BEC" w:rsidP="00AB14E1">
            <w:pPr>
              <w:rPr>
                <w:rFonts w:cs="Arial"/>
              </w:rPr>
            </w:pPr>
          </w:p>
        </w:tc>
        <w:tc>
          <w:tcPr>
            <w:tcW w:w="1440" w:type="dxa"/>
            <w:tcBorders>
              <w:top w:val="single" w:sz="4" w:space="0" w:color="000000"/>
              <w:left w:val="single" w:sz="4" w:space="0" w:color="000000"/>
              <w:bottom w:val="nil"/>
              <w:right w:val="nil"/>
            </w:tcBorders>
            <w:shd w:val="clear" w:color="auto" w:fill="auto"/>
            <w:noWrap/>
            <w:vAlign w:val="bottom"/>
            <w:hideMark/>
          </w:tcPr>
          <w:p w:rsidR="00761BEC" w:rsidRPr="00B025E3" w:rsidRDefault="00761BEC" w:rsidP="00AB14E1">
            <w:pPr>
              <w:rPr>
                <w:rFonts w:cs="Arial"/>
                <w:b/>
              </w:rPr>
            </w:pPr>
            <w:r w:rsidRPr="00B025E3">
              <w:rPr>
                <w:rFonts w:cs="Arial"/>
                <w:b/>
              </w:rPr>
              <w:t>Female Total</w:t>
            </w:r>
          </w:p>
        </w:tc>
        <w:tc>
          <w:tcPr>
            <w:tcW w:w="1761" w:type="dxa"/>
            <w:tcBorders>
              <w:top w:val="single" w:sz="4" w:space="0" w:color="000000"/>
              <w:left w:val="nil"/>
              <w:bottom w:val="nil"/>
              <w:right w:val="nil"/>
            </w:tcBorders>
            <w:shd w:val="clear" w:color="auto" w:fill="auto"/>
            <w:noWrap/>
            <w:vAlign w:val="bottom"/>
            <w:hideMark/>
          </w:tcPr>
          <w:p w:rsidR="00761BEC" w:rsidRPr="00B025E3" w:rsidRDefault="00761BEC" w:rsidP="00AB14E1">
            <w:pPr>
              <w:rPr>
                <w:rFonts w:cs="Arial"/>
                <w:b/>
              </w:rPr>
            </w:pPr>
            <w:r w:rsidRPr="00B025E3">
              <w:rPr>
                <w:rFonts w:cs="Arial"/>
                <w:b/>
              </w:rPr>
              <w:t> </w:t>
            </w:r>
          </w:p>
        </w:tc>
        <w:tc>
          <w:tcPr>
            <w:tcW w:w="2684" w:type="dxa"/>
            <w:tcBorders>
              <w:top w:val="single" w:sz="4" w:space="0" w:color="000000"/>
              <w:left w:val="nil"/>
              <w:bottom w:val="nil"/>
              <w:right w:val="nil"/>
            </w:tcBorders>
            <w:shd w:val="clear" w:color="auto" w:fill="auto"/>
            <w:noWrap/>
            <w:vAlign w:val="bottom"/>
            <w:hideMark/>
          </w:tcPr>
          <w:p w:rsidR="00761BEC" w:rsidRPr="00B025E3" w:rsidRDefault="00761BEC" w:rsidP="00AB14E1">
            <w:pPr>
              <w:rPr>
                <w:rFonts w:cs="Arial"/>
                <w:b/>
              </w:rPr>
            </w:pPr>
            <w:r w:rsidRPr="00B025E3">
              <w:rPr>
                <w:rFonts w:cs="Arial"/>
                <w:b/>
              </w:rPr>
              <w:t> </w:t>
            </w:r>
          </w:p>
        </w:tc>
        <w:tc>
          <w:tcPr>
            <w:tcW w:w="710" w:type="dxa"/>
            <w:tcBorders>
              <w:top w:val="single" w:sz="4" w:space="0" w:color="000000"/>
              <w:left w:val="single" w:sz="4" w:space="0" w:color="000000"/>
              <w:bottom w:val="nil"/>
              <w:right w:val="single" w:sz="4" w:space="0" w:color="auto"/>
            </w:tcBorders>
            <w:shd w:val="clear" w:color="auto" w:fill="auto"/>
            <w:noWrap/>
            <w:hideMark/>
          </w:tcPr>
          <w:p w:rsidR="00761BEC" w:rsidRPr="00B025E3" w:rsidRDefault="00761BEC" w:rsidP="00AB14E1">
            <w:pPr>
              <w:jc w:val="center"/>
              <w:rPr>
                <w:rFonts w:cs="Arial"/>
                <w:b/>
              </w:rPr>
            </w:pPr>
            <w:r w:rsidRPr="00B025E3">
              <w:rPr>
                <w:rFonts w:cs="Arial"/>
                <w:b/>
              </w:rPr>
              <w:t>6</w:t>
            </w:r>
          </w:p>
        </w:tc>
      </w:tr>
      <w:tr w:rsidR="00761BEC" w:rsidRPr="00B025E3" w:rsidTr="00AB14E1">
        <w:trPr>
          <w:trHeight w:val="255"/>
        </w:trPr>
        <w:tc>
          <w:tcPr>
            <w:tcW w:w="674" w:type="dxa"/>
            <w:tcBorders>
              <w:top w:val="nil"/>
              <w:left w:val="single" w:sz="4" w:space="0" w:color="auto"/>
              <w:bottom w:val="nil"/>
              <w:right w:val="nil"/>
            </w:tcBorders>
            <w:shd w:val="clear" w:color="auto" w:fill="auto"/>
            <w:noWrap/>
            <w:vAlign w:val="bottom"/>
            <w:hideMark/>
          </w:tcPr>
          <w:p w:rsidR="00761BEC" w:rsidRPr="00B025E3" w:rsidRDefault="00761BEC" w:rsidP="00AB14E1">
            <w:pPr>
              <w:rPr>
                <w:rFonts w:cs="Arial"/>
                <w:b/>
                <w:bCs/>
              </w:rPr>
            </w:pPr>
            <w:r w:rsidRPr="00B025E3">
              <w:rPr>
                <w:rFonts w:cs="Arial"/>
                <w:b/>
                <w:bCs/>
              </w:rPr>
              <w:t>Senior Managers</w:t>
            </w:r>
          </w:p>
        </w:tc>
        <w:tc>
          <w:tcPr>
            <w:tcW w:w="1700" w:type="dxa"/>
            <w:tcBorders>
              <w:top w:val="nil"/>
              <w:left w:val="nil"/>
              <w:bottom w:val="nil"/>
              <w:right w:val="nil"/>
            </w:tcBorders>
            <w:shd w:val="clear" w:color="auto" w:fill="auto"/>
            <w:noWrap/>
            <w:vAlign w:val="bottom"/>
            <w:hideMark/>
          </w:tcPr>
          <w:p w:rsidR="00761BEC" w:rsidRPr="00B025E3" w:rsidRDefault="00761BEC" w:rsidP="00AB14E1">
            <w:pPr>
              <w:rPr>
                <w:rFonts w:cs="Arial"/>
              </w:rPr>
            </w:pPr>
          </w:p>
        </w:tc>
        <w:tc>
          <w:tcPr>
            <w:tcW w:w="520" w:type="dxa"/>
            <w:tcBorders>
              <w:top w:val="nil"/>
              <w:left w:val="nil"/>
              <w:bottom w:val="nil"/>
              <w:right w:val="nil"/>
            </w:tcBorders>
            <w:shd w:val="clear" w:color="auto" w:fill="auto"/>
            <w:noWrap/>
            <w:vAlign w:val="bottom"/>
            <w:hideMark/>
          </w:tcPr>
          <w:p w:rsidR="00761BEC" w:rsidRPr="00B025E3" w:rsidRDefault="00761BEC" w:rsidP="00AB14E1">
            <w:pPr>
              <w:rPr>
                <w:rFonts w:cs="Arial"/>
              </w:rPr>
            </w:pPr>
          </w:p>
        </w:tc>
        <w:tc>
          <w:tcPr>
            <w:tcW w:w="1440" w:type="dxa"/>
            <w:tcBorders>
              <w:top w:val="single" w:sz="4" w:space="0" w:color="000000"/>
              <w:left w:val="single" w:sz="4" w:space="0" w:color="000000"/>
              <w:bottom w:val="nil"/>
              <w:right w:val="nil"/>
            </w:tcBorders>
            <w:shd w:val="clear" w:color="auto" w:fill="auto"/>
            <w:noWrap/>
            <w:vAlign w:val="bottom"/>
            <w:hideMark/>
          </w:tcPr>
          <w:p w:rsidR="00761BEC" w:rsidRPr="00B025E3" w:rsidRDefault="00761BEC" w:rsidP="00AB14E1">
            <w:pPr>
              <w:rPr>
                <w:rFonts w:cs="Arial"/>
              </w:rPr>
            </w:pPr>
            <w:r w:rsidRPr="00B025E3">
              <w:rPr>
                <w:rFonts w:cs="Arial"/>
              </w:rPr>
              <w:t>Male</w:t>
            </w:r>
          </w:p>
        </w:tc>
        <w:tc>
          <w:tcPr>
            <w:tcW w:w="1761" w:type="dxa"/>
            <w:tcBorders>
              <w:top w:val="single" w:sz="4" w:space="0" w:color="000000"/>
              <w:left w:val="single" w:sz="4" w:space="0" w:color="000000"/>
              <w:bottom w:val="nil"/>
              <w:right w:val="nil"/>
            </w:tcBorders>
            <w:shd w:val="clear" w:color="auto" w:fill="auto"/>
            <w:noWrap/>
            <w:vAlign w:val="bottom"/>
            <w:hideMark/>
          </w:tcPr>
          <w:p w:rsidR="00761BEC" w:rsidRPr="00B025E3" w:rsidRDefault="00761BEC" w:rsidP="00AB14E1">
            <w:pPr>
              <w:rPr>
                <w:rFonts w:cs="Arial"/>
              </w:rPr>
            </w:pPr>
            <w:r w:rsidRPr="00B025E3">
              <w:rPr>
                <w:rFonts w:cs="Arial"/>
              </w:rPr>
              <w:t>Executive Directors</w:t>
            </w:r>
          </w:p>
        </w:tc>
        <w:tc>
          <w:tcPr>
            <w:tcW w:w="2684" w:type="dxa"/>
            <w:tcBorders>
              <w:top w:val="single" w:sz="4" w:space="0" w:color="000000"/>
              <w:left w:val="single" w:sz="4" w:space="0" w:color="000000"/>
              <w:bottom w:val="nil"/>
              <w:right w:val="nil"/>
            </w:tcBorders>
            <w:shd w:val="clear" w:color="auto" w:fill="auto"/>
            <w:noWrap/>
            <w:hideMark/>
          </w:tcPr>
          <w:p w:rsidR="00761BEC" w:rsidRPr="00B025E3" w:rsidRDefault="00761BEC" w:rsidP="00AB14E1">
            <w:pPr>
              <w:rPr>
                <w:rFonts w:cs="Arial"/>
              </w:rPr>
            </w:pPr>
            <w:r w:rsidRPr="00B025E3">
              <w:rPr>
                <w:rFonts w:cs="Arial"/>
              </w:rPr>
              <w:t>Chief Executive</w:t>
            </w:r>
          </w:p>
          <w:p w:rsidR="00761BEC" w:rsidRPr="00B025E3" w:rsidRDefault="00761BEC" w:rsidP="00AB14E1">
            <w:pPr>
              <w:rPr>
                <w:rFonts w:cs="Arial"/>
              </w:rPr>
            </w:pPr>
            <w:r w:rsidRPr="00B025E3">
              <w:rPr>
                <w:rFonts w:cs="Arial"/>
              </w:rPr>
              <w:t>Finance Director</w:t>
            </w:r>
          </w:p>
        </w:tc>
        <w:tc>
          <w:tcPr>
            <w:tcW w:w="710" w:type="dxa"/>
            <w:tcBorders>
              <w:top w:val="single" w:sz="4" w:space="0" w:color="000000"/>
              <w:left w:val="single" w:sz="4" w:space="0" w:color="000000"/>
              <w:bottom w:val="nil"/>
              <w:right w:val="single" w:sz="4" w:space="0" w:color="auto"/>
            </w:tcBorders>
            <w:shd w:val="clear" w:color="auto" w:fill="auto"/>
            <w:noWrap/>
            <w:hideMark/>
          </w:tcPr>
          <w:p w:rsidR="00761BEC" w:rsidRPr="00B025E3" w:rsidRDefault="00761BEC" w:rsidP="00AB14E1">
            <w:pPr>
              <w:jc w:val="center"/>
              <w:rPr>
                <w:rFonts w:cs="Arial"/>
              </w:rPr>
            </w:pPr>
            <w:r w:rsidRPr="00B025E3">
              <w:rPr>
                <w:rFonts w:cs="Arial"/>
              </w:rPr>
              <w:t>1</w:t>
            </w:r>
          </w:p>
          <w:p w:rsidR="00761BEC" w:rsidRPr="00B025E3" w:rsidRDefault="00761BEC" w:rsidP="00AB14E1">
            <w:pPr>
              <w:jc w:val="center"/>
              <w:rPr>
                <w:rFonts w:cs="Arial"/>
              </w:rPr>
            </w:pPr>
            <w:r w:rsidRPr="00B025E3">
              <w:rPr>
                <w:rFonts w:cs="Arial"/>
              </w:rPr>
              <w:t>1</w:t>
            </w:r>
          </w:p>
        </w:tc>
      </w:tr>
      <w:tr w:rsidR="00761BEC" w:rsidRPr="00B025E3" w:rsidTr="00AB14E1">
        <w:trPr>
          <w:trHeight w:val="255"/>
        </w:trPr>
        <w:tc>
          <w:tcPr>
            <w:tcW w:w="674" w:type="dxa"/>
            <w:tcBorders>
              <w:top w:val="nil"/>
              <w:left w:val="single" w:sz="4" w:space="0" w:color="auto"/>
              <w:bottom w:val="nil"/>
              <w:right w:val="nil"/>
            </w:tcBorders>
            <w:shd w:val="clear" w:color="auto" w:fill="auto"/>
            <w:noWrap/>
            <w:vAlign w:val="bottom"/>
            <w:hideMark/>
          </w:tcPr>
          <w:p w:rsidR="00761BEC" w:rsidRPr="00B025E3" w:rsidRDefault="00761BEC" w:rsidP="00AB14E1">
            <w:pPr>
              <w:rPr>
                <w:rFonts w:cs="Arial"/>
              </w:rPr>
            </w:pPr>
          </w:p>
        </w:tc>
        <w:tc>
          <w:tcPr>
            <w:tcW w:w="1700" w:type="dxa"/>
            <w:tcBorders>
              <w:top w:val="nil"/>
              <w:left w:val="nil"/>
              <w:bottom w:val="nil"/>
              <w:right w:val="nil"/>
            </w:tcBorders>
            <w:shd w:val="clear" w:color="auto" w:fill="auto"/>
            <w:noWrap/>
            <w:vAlign w:val="bottom"/>
            <w:hideMark/>
          </w:tcPr>
          <w:p w:rsidR="00761BEC" w:rsidRPr="00B025E3" w:rsidRDefault="00761BEC" w:rsidP="00AB14E1">
            <w:pPr>
              <w:rPr>
                <w:rFonts w:cs="Arial"/>
              </w:rPr>
            </w:pPr>
          </w:p>
        </w:tc>
        <w:tc>
          <w:tcPr>
            <w:tcW w:w="520" w:type="dxa"/>
            <w:tcBorders>
              <w:top w:val="nil"/>
              <w:left w:val="nil"/>
              <w:bottom w:val="nil"/>
              <w:right w:val="nil"/>
            </w:tcBorders>
            <w:shd w:val="clear" w:color="auto" w:fill="auto"/>
            <w:noWrap/>
            <w:vAlign w:val="bottom"/>
            <w:hideMark/>
          </w:tcPr>
          <w:p w:rsidR="00761BEC" w:rsidRPr="00B025E3" w:rsidRDefault="00761BEC" w:rsidP="00AB14E1">
            <w:pPr>
              <w:rPr>
                <w:rFonts w:cs="Arial"/>
              </w:rPr>
            </w:pPr>
          </w:p>
        </w:tc>
        <w:tc>
          <w:tcPr>
            <w:tcW w:w="1440" w:type="dxa"/>
            <w:tcBorders>
              <w:top w:val="nil"/>
              <w:left w:val="single" w:sz="4" w:space="0" w:color="000000"/>
              <w:bottom w:val="nil"/>
              <w:right w:val="nil"/>
            </w:tcBorders>
            <w:shd w:val="clear" w:color="auto" w:fill="auto"/>
            <w:noWrap/>
            <w:vAlign w:val="bottom"/>
            <w:hideMark/>
          </w:tcPr>
          <w:p w:rsidR="00761BEC" w:rsidRPr="00B025E3" w:rsidRDefault="00761BEC" w:rsidP="00AB14E1">
            <w:pPr>
              <w:rPr>
                <w:rFonts w:cs="Arial"/>
              </w:rPr>
            </w:pPr>
            <w:r w:rsidRPr="00B025E3">
              <w:rPr>
                <w:rFonts w:cs="Arial"/>
              </w:rPr>
              <w:t> </w:t>
            </w:r>
          </w:p>
        </w:tc>
        <w:tc>
          <w:tcPr>
            <w:tcW w:w="1761" w:type="dxa"/>
            <w:tcBorders>
              <w:top w:val="nil"/>
              <w:left w:val="single" w:sz="4" w:space="0" w:color="000000"/>
              <w:bottom w:val="nil"/>
              <w:right w:val="nil"/>
            </w:tcBorders>
            <w:shd w:val="clear" w:color="auto" w:fill="auto"/>
            <w:noWrap/>
            <w:vAlign w:val="bottom"/>
            <w:hideMark/>
          </w:tcPr>
          <w:p w:rsidR="00761BEC" w:rsidRPr="00B025E3" w:rsidRDefault="00761BEC" w:rsidP="00AB14E1">
            <w:pPr>
              <w:rPr>
                <w:rFonts w:cs="Arial"/>
              </w:rPr>
            </w:pPr>
            <w:r w:rsidRPr="00B025E3">
              <w:rPr>
                <w:rFonts w:cs="Arial"/>
              </w:rPr>
              <w:t> </w:t>
            </w:r>
          </w:p>
        </w:tc>
        <w:tc>
          <w:tcPr>
            <w:tcW w:w="2684" w:type="dxa"/>
            <w:tcBorders>
              <w:top w:val="nil"/>
              <w:left w:val="single" w:sz="4" w:space="0" w:color="000000"/>
              <w:bottom w:val="nil"/>
              <w:right w:val="nil"/>
            </w:tcBorders>
            <w:shd w:val="clear" w:color="auto" w:fill="auto"/>
            <w:noWrap/>
            <w:hideMark/>
          </w:tcPr>
          <w:p w:rsidR="00761BEC" w:rsidRPr="00B025E3" w:rsidRDefault="00761BEC" w:rsidP="00AB14E1">
            <w:pPr>
              <w:rPr>
                <w:rFonts w:cs="Arial"/>
              </w:rPr>
            </w:pPr>
          </w:p>
        </w:tc>
        <w:tc>
          <w:tcPr>
            <w:tcW w:w="710" w:type="dxa"/>
            <w:tcBorders>
              <w:top w:val="nil"/>
              <w:left w:val="single" w:sz="4" w:space="0" w:color="000000"/>
              <w:bottom w:val="nil"/>
              <w:right w:val="single" w:sz="4" w:space="0" w:color="auto"/>
            </w:tcBorders>
            <w:shd w:val="clear" w:color="auto" w:fill="auto"/>
            <w:noWrap/>
            <w:hideMark/>
          </w:tcPr>
          <w:p w:rsidR="00761BEC" w:rsidRPr="00B025E3" w:rsidRDefault="00761BEC" w:rsidP="00AB14E1">
            <w:pPr>
              <w:jc w:val="center"/>
              <w:rPr>
                <w:rFonts w:cs="Arial"/>
              </w:rPr>
            </w:pPr>
          </w:p>
        </w:tc>
      </w:tr>
      <w:tr w:rsidR="00761BEC" w:rsidRPr="00B025E3" w:rsidTr="00AB14E1">
        <w:trPr>
          <w:trHeight w:val="255"/>
        </w:trPr>
        <w:tc>
          <w:tcPr>
            <w:tcW w:w="674" w:type="dxa"/>
            <w:tcBorders>
              <w:top w:val="single" w:sz="4" w:space="0" w:color="000000"/>
              <w:left w:val="single" w:sz="4" w:space="0" w:color="auto"/>
              <w:bottom w:val="nil"/>
              <w:right w:val="nil"/>
            </w:tcBorders>
            <w:shd w:val="clear" w:color="auto" w:fill="auto"/>
            <w:noWrap/>
            <w:vAlign w:val="bottom"/>
            <w:hideMark/>
          </w:tcPr>
          <w:p w:rsidR="00761BEC" w:rsidRPr="00B025E3" w:rsidRDefault="00761BEC" w:rsidP="00AB14E1">
            <w:pPr>
              <w:rPr>
                <w:rFonts w:cs="Arial"/>
              </w:rPr>
            </w:pPr>
            <w:r w:rsidRPr="00B025E3">
              <w:rPr>
                <w:rFonts w:cs="Arial"/>
              </w:rPr>
              <w:t>Gender</w:t>
            </w:r>
          </w:p>
        </w:tc>
        <w:tc>
          <w:tcPr>
            <w:tcW w:w="1700" w:type="dxa"/>
            <w:tcBorders>
              <w:top w:val="single" w:sz="4" w:space="0" w:color="000000"/>
              <w:left w:val="single" w:sz="4" w:space="0" w:color="000000"/>
              <w:bottom w:val="nil"/>
              <w:right w:val="single" w:sz="4" w:space="0" w:color="000000"/>
            </w:tcBorders>
            <w:shd w:val="clear" w:color="auto" w:fill="auto"/>
            <w:noWrap/>
            <w:vAlign w:val="bottom"/>
            <w:hideMark/>
          </w:tcPr>
          <w:p w:rsidR="00761BEC" w:rsidRPr="00B025E3" w:rsidRDefault="00761BEC" w:rsidP="00AB14E1">
            <w:pPr>
              <w:rPr>
                <w:rFonts w:cs="Arial"/>
              </w:rPr>
            </w:pPr>
            <w:r w:rsidRPr="00B025E3">
              <w:rPr>
                <w:rFonts w:cs="Arial"/>
              </w:rPr>
              <w:t>Total</w:t>
            </w:r>
          </w:p>
        </w:tc>
        <w:tc>
          <w:tcPr>
            <w:tcW w:w="520" w:type="dxa"/>
            <w:tcBorders>
              <w:top w:val="nil"/>
              <w:left w:val="nil"/>
              <w:bottom w:val="nil"/>
              <w:right w:val="nil"/>
            </w:tcBorders>
            <w:shd w:val="clear" w:color="auto" w:fill="auto"/>
            <w:noWrap/>
            <w:vAlign w:val="bottom"/>
            <w:hideMark/>
          </w:tcPr>
          <w:p w:rsidR="00761BEC" w:rsidRPr="00B025E3" w:rsidRDefault="00761BEC" w:rsidP="00AB14E1">
            <w:pPr>
              <w:rPr>
                <w:rFonts w:cs="Arial"/>
              </w:rPr>
            </w:pPr>
          </w:p>
        </w:tc>
        <w:tc>
          <w:tcPr>
            <w:tcW w:w="1440" w:type="dxa"/>
            <w:tcBorders>
              <w:top w:val="nil"/>
              <w:left w:val="single" w:sz="4" w:space="0" w:color="000000"/>
              <w:bottom w:val="nil"/>
              <w:right w:val="nil"/>
            </w:tcBorders>
            <w:shd w:val="clear" w:color="auto" w:fill="auto"/>
            <w:noWrap/>
            <w:vAlign w:val="bottom"/>
            <w:hideMark/>
          </w:tcPr>
          <w:p w:rsidR="00761BEC" w:rsidRPr="00B025E3" w:rsidRDefault="00761BEC" w:rsidP="00AB14E1">
            <w:pPr>
              <w:rPr>
                <w:rFonts w:cs="Arial"/>
              </w:rPr>
            </w:pPr>
            <w:r w:rsidRPr="00B025E3">
              <w:rPr>
                <w:rFonts w:cs="Arial"/>
              </w:rPr>
              <w:t> </w:t>
            </w:r>
          </w:p>
        </w:tc>
        <w:tc>
          <w:tcPr>
            <w:tcW w:w="1761" w:type="dxa"/>
            <w:tcBorders>
              <w:top w:val="single" w:sz="4" w:space="0" w:color="000000"/>
              <w:left w:val="single" w:sz="4" w:space="0" w:color="000000"/>
              <w:bottom w:val="nil"/>
              <w:right w:val="nil"/>
            </w:tcBorders>
            <w:shd w:val="clear" w:color="auto" w:fill="auto"/>
            <w:noWrap/>
            <w:vAlign w:val="bottom"/>
            <w:hideMark/>
          </w:tcPr>
          <w:p w:rsidR="00761BEC" w:rsidRPr="00B025E3" w:rsidRDefault="00761BEC" w:rsidP="00AB14E1">
            <w:pPr>
              <w:rPr>
                <w:rFonts w:cs="Arial"/>
              </w:rPr>
            </w:pPr>
            <w:r w:rsidRPr="00B025E3">
              <w:rPr>
                <w:rFonts w:cs="Arial"/>
              </w:rPr>
              <w:t>Non Executive Directors</w:t>
            </w:r>
          </w:p>
        </w:tc>
        <w:tc>
          <w:tcPr>
            <w:tcW w:w="2684" w:type="dxa"/>
            <w:tcBorders>
              <w:top w:val="single" w:sz="4" w:space="0" w:color="000000"/>
              <w:left w:val="single" w:sz="4" w:space="0" w:color="000000"/>
              <w:bottom w:val="nil"/>
              <w:right w:val="nil"/>
            </w:tcBorders>
            <w:shd w:val="clear" w:color="auto" w:fill="auto"/>
            <w:noWrap/>
            <w:vAlign w:val="center"/>
            <w:hideMark/>
          </w:tcPr>
          <w:p w:rsidR="00761BEC" w:rsidRPr="00B025E3" w:rsidRDefault="00761BEC" w:rsidP="00AB14E1">
            <w:pPr>
              <w:rPr>
                <w:rFonts w:cs="Arial"/>
              </w:rPr>
            </w:pPr>
            <w:r w:rsidRPr="00B025E3">
              <w:rPr>
                <w:rFonts w:cs="Arial"/>
              </w:rPr>
              <w:t>Board Level Director</w:t>
            </w:r>
          </w:p>
        </w:tc>
        <w:tc>
          <w:tcPr>
            <w:tcW w:w="710" w:type="dxa"/>
            <w:tcBorders>
              <w:top w:val="single" w:sz="4" w:space="0" w:color="000000"/>
              <w:left w:val="single" w:sz="4" w:space="0" w:color="000000"/>
              <w:bottom w:val="nil"/>
              <w:right w:val="single" w:sz="4" w:space="0" w:color="auto"/>
            </w:tcBorders>
            <w:shd w:val="clear" w:color="auto" w:fill="auto"/>
            <w:noWrap/>
            <w:hideMark/>
          </w:tcPr>
          <w:p w:rsidR="00761BEC" w:rsidRPr="00B025E3" w:rsidRDefault="00761BEC" w:rsidP="00AB14E1">
            <w:pPr>
              <w:jc w:val="center"/>
              <w:rPr>
                <w:rFonts w:cs="Arial"/>
              </w:rPr>
            </w:pPr>
            <w:r w:rsidRPr="00B025E3">
              <w:rPr>
                <w:rFonts w:cs="Arial"/>
              </w:rPr>
              <w:t>3</w:t>
            </w:r>
          </w:p>
        </w:tc>
      </w:tr>
      <w:tr w:rsidR="00761BEC" w:rsidRPr="00B025E3" w:rsidTr="00AB14E1">
        <w:trPr>
          <w:trHeight w:val="255"/>
        </w:trPr>
        <w:tc>
          <w:tcPr>
            <w:tcW w:w="674" w:type="dxa"/>
            <w:tcBorders>
              <w:top w:val="single" w:sz="4" w:space="0" w:color="000000"/>
              <w:left w:val="single" w:sz="4" w:space="0" w:color="auto"/>
              <w:bottom w:val="nil"/>
              <w:right w:val="nil"/>
            </w:tcBorders>
            <w:shd w:val="clear" w:color="auto" w:fill="auto"/>
            <w:noWrap/>
            <w:vAlign w:val="bottom"/>
            <w:hideMark/>
          </w:tcPr>
          <w:p w:rsidR="00761BEC" w:rsidRPr="00B025E3" w:rsidRDefault="00761BEC" w:rsidP="00AB14E1">
            <w:pPr>
              <w:rPr>
                <w:rFonts w:cs="Arial"/>
              </w:rPr>
            </w:pPr>
            <w:r w:rsidRPr="00B025E3">
              <w:rPr>
                <w:rFonts w:cs="Arial"/>
              </w:rPr>
              <w:t>Female</w:t>
            </w:r>
          </w:p>
        </w:tc>
        <w:tc>
          <w:tcPr>
            <w:tcW w:w="1700" w:type="dxa"/>
            <w:tcBorders>
              <w:top w:val="single" w:sz="4" w:space="0" w:color="000000"/>
              <w:left w:val="single" w:sz="4" w:space="0" w:color="000000"/>
              <w:bottom w:val="nil"/>
              <w:right w:val="single" w:sz="4" w:space="0" w:color="000000"/>
            </w:tcBorders>
            <w:shd w:val="clear" w:color="auto" w:fill="auto"/>
            <w:noWrap/>
            <w:vAlign w:val="bottom"/>
            <w:hideMark/>
          </w:tcPr>
          <w:p w:rsidR="00761BEC" w:rsidRPr="00B025E3" w:rsidRDefault="00761BEC" w:rsidP="00AB14E1">
            <w:pPr>
              <w:jc w:val="right"/>
              <w:rPr>
                <w:rFonts w:cs="Arial"/>
              </w:rPr>
            </w:pPr>
            <w:r w:rsidRPr="00B025E3">
              <w:rPr>
                <w:rFonts w:cs="Arial"/>
              </w:rPr>
              <w:t>36</w:t>
            </w:r>
          </w:p>
        </w:tc>
        <w:tc>
          <w:tcPr>
            <w:tcW w:w="520" w:type="dxa"/>
            <w:tcBorders>
              <w:top w:val="nil"/>
              <w:left w:val="nil"/>
              <w:bottom w:val="nil"/>
              <w:right w:val="nil"/>
            </w:tcBorders>
            <w:shd w:val="clear" w:color="auto" w:fill="auto"/>
            <w:noWrap/>
            <w:vAlign w:val="bottom"/>
            <w:hideMark/>
          </w:tcPr>
          <w:p w:rsidR="00761BEC" w:rsidRPr="00B025E3" w:rsidRDefault="00761BEC" w:rsidP="00AB14E1">
            <w:pPr>
              <w:rPr>
                <w:rFonts w:cs="Arial"/>
              </w:rPr>
            </w:pPr>
          </w:p>
        </w:tc>
        <w:tc>
          <w:tcPr>
            <w:tcW w:w="1440" w:type="dxa"/>
            <w:tcBorders>
              <w:top w:val="nil"/>
              <w:left w:val="single" w:sz="4" w:space="0" w:color="000000"/>
              <w:bottom w:val="nil"/>
              <w:right w:val="nil"/>
            </w:tcBorders>
            <w:shd w:val="clear" w:color="auto" w:fill="auto"/>
            <w:noWrap/>
            <w:vAlign w:val="bottom"/>
            <w:hideMark/>
          </w:tcPr>
          <w:p w:rsidR="00761BEC" w:rsidRPr="00B025E3" w:rsidRDefault="00761BEC" w:rsidP="00AB14E1">
            <w:pPr>
              <w:rPr>
                <w:rFonts w:cs="Arial"/>
              </w:rPr>
            </w:pPr>
            <w:r w:rsidRPr="00B025E3">
              <w:rPr>
                <w:rFonts w:cs="Arial"/>
              </w:rPr>
              <w:t> </w:t>
            </w:r>
          </w:p>
        </w:tc>
        <w:tc>
          <w:tcPr>
            <w:tcW w:w="1761" w:type="dxa"/>
            <w:tcBorders>
              <w:top w:val="nil"/>
              <w:left w:val="single" w:sz="4" w:space="0" w:color="000000"/>
              <w:bottom w:val="nil"/>
              <w:right w:val="nil"/>
            </w:tcBorders>
            <w:shd w:val="clear" w:color="auto" w:fill="auto"/>
            <w:noWrap/>
            <w:vAlign w:val="bottom"/>
            <w:hideMark/>
          </w:tcPr>
          <w:p w:rsidR="00761BEC" w:rsidRPr="00B025E3" w:rsidRDefault="00761BEC" w:rsidP="00AB14E1">
            <w:pPr>
              <w:rPr>
                <w:rFonts w:cs="Arial"/>
              </w:rPr>
            </w:pPr>
            <w:r w:rsidRPr="00B025E3">
              <w:rPr>
                <w:rFonts w:cs="Arial"/>
              </w:rPr>
              <w:t> </w:t>
            </w:r>
          </w:p>
        </w:tc>
        <w:tc>
          <w:tcPr>
            <w:tcW w:w="2684" w:type="dxa"/>
            <w:tcBorders>
              <w:top w:val="nil"/>
              <w:left w:val="single" w:sz="4" w:space="0" w:color="000000"/>
              <w:bottom w:val="nil"/>
              <w:right w:val="nil"/>
            </w:tcBorders>
            <w:shd w:val="clear" w:color="auto" w:fill="auto"/>
            <w:noWrap/>
            <w:vAlign w:val="center"/>
            <w:hideMark/>
          </w:tcPr>
          <w:p w:rsidR="00761BEC" w:rsidRPr="00B025E3" w:rsidRDefault="00761BEC" w:rsidP="00AB14E1">
            <w:pPr>
              <w:rPr>
                <w:rFonts w:cs="Arial"/>
              </w:rPr>
            </w:pPr>
            <w:r w:rsidRPr="00B025E3">
              <w:rPr>
                <w:rFonts w:cs="Arial"/>
              </w:rPr>
              <w:t>Chair</w:t>
            </w:r>
          </w:p>
        </w:tc>
        <w:tc>
          <w:tcPr>
            <w:tcW w:w="710" w:type="dxa"/>
            <w:tcBorders>
              <w:top w:val="nil"/>
              <w:left w:val="single" w:sz="4" w:space="0" w:color="000000"/>
              <w:bottom w:val="nil"/>
              <w:right w:val="single" w:sz="4" w:space="0" w:color="auto"/>
            </w:tcBorders>
            <w:shd w:val="clear" w:color="auto" w:fill="auto"/>
            <w:noWrap/>
            <w:hideMark/>
          </w:tcPr>
          <w:p w:rsidR="00761BEC" w:rsidRPr="00B025E3" w:rsidRDefault="00761BEC" w:rsidP="00AB14E1">
            <w:pPr>
              <w:jc w:val="center"/>
              <w:rPr>
                <w:rFonts w:cs="Arial"/>
              </w:rPr>
            </w:pPr>
            <w:r w:rsidRPr="00B025E3">
              <w:rPr>
                <w:rFonts w:cs="Arial"/>
              </w:rPr>
              <w:t>1</w:t>
            </w:r>
          </w:p>
        </w:tc>
      </w:tr>
      <w:tr w:rsidR="00761BEC" w:rsidRPr="00B025E3" w:rsidTr="00AB14E1">
        <w:trPr>
          <w:trHeight w:val="255"/>
        </w:trPr>
        <w:tc>
          <w:tcPr>
            <w:tcW w:w="674" w:type="dxa"/>
            <w:tcBorders>
              <w:top w:val="nil"/>
              <w:left w:val="single" w:sz="4" w:space="0" w:color="auto"/>
              <w:bottom w:val="nil"/>
              <w:right w:val="nil"/>
            </w:tcBorders>
            <w:shd w:val="clear" w:color="auto" w:fill="auto"/>
            <w:noWrap/>
            <w:vAlign w:val="bottom"/>
            <w:hideMark/>
          </w:tcPr>
          <w:p w:rsidR="00761BEC" w:rsidRPr="00B025E3" w:rsidRDefault="00761BEC" w:rsidP="00AB14E1">
            <w:pPr>
              <w:rPr>
                <w:rFonts w:cs="Arial"/>
              </w:rPr>
            </w:pPr>
            <w:r w:rsidRPr="00B025E3">
              <w:rPr>
                <w:rFonts w:cs="Arial"/>
              </w:rPr>
              <w:t>Male</w:t>
            </w:r>
          </w:p>
        </w:tc>
        <w:tc>
          <w:tcPr>
            <w:tcW w:w="1700" w:type="dxa"/>
            <w:tcBorders>
              <w:top w:val="nil"/>
              <w:left w:val="single" w:sz="4" w:space="0" w:color="000000"/>
              <w:bottom w:val="nil"/>
              <w:right w:val="single" w:sz="4" w:space="0" w:color="000000"/>
            </w:tcBorders>
            <w:shd w:val="clear" w:color="auto" w:fill="auto"/>
            <w:noWrap/>
            <w:vAlign w:val="bottom"/>
            <w:hideMark/>
          </w:tcPr>
          <w:p w:rsidR="00761BEC" w:rsidRPr="00B025E3" w:rsidRDefault="00761BEC" w:rsidP="00AB14E1">
            <w:pPr>
              <w:jc w:val="right"/>
              <w:rPr>
                <w:rFonts w:cs="Arial"/>
              </w:rPr>
            </w:pPr>
            <w:r w:rsidRPr="00B025E3">
              <w:rPr>
                <w:rFonts w:cs="Arial"/>
              </w:rPr>
              <w:t>21</w:t>
            </w:r>
          </w:p>
        </w:tc>
        <w:tc>
          <w:tcPr>
            <w:tcW w:w="520" w:type="dxa"/>
            <w:tcBorders>
              <w:top w:val="nil"/>
              <w:left w:val="nil"/>
              <w:bottom w:val="nil"/>
              <w:right w:val="nil"/>
            </w:tcBorders>
            <w:shd w:val="clear" w:color="auto" w:fill="auto"/>
            <w:noWrap/>
            <w:vAlign w:val="bottom"/>
            <w:hideMark/>
          </w:tcPr>
          <w:p w:rsidR="00761BEC" w:rsidRPr="00B025E3" w:rsidRDefault="00761BEC" w:rsidP="00AB14E1">
            <w:pPr>
              <w:rPr>
                <w:rFonts w:cs="Arial"/>
              </w:rPr>
            </w:pPr>
          </w:p>
        </w:tc>
        <w:tc>
          <w:tcPr>
            <w:tcW w:w="1440" w:type="dxa"/>
            <w:tcBorders>
              <w:top w:val="single" w:sz="4" w:space="0" w:color="000000"/>
              <w:left w:val="single" w:sz="4" w:space="0" w:color="000000"/>
              <w:bottom w:val="nil"/>
              <w:right w:val="nil"/>
            </w:tcBorders>
            <w:shd w:val="clear" w:color="auto" w:fill="auto"/>
            <w:noWrap/>
            <w:vAlign w:val="bottom"/>
            <w:hideMark/>
          </w:tcPr>
          <w:p w:rsidR="00761BEC" w:rsidRPr="00B025E3" w:rsidRDefault="00761BEC" w:rsidP="00AB14E1">
            <w:pPr>
              <w:rPr>
                <w:rFonts w:cs="Arial"/>
                <w:b/>
              </w:rPr>
            </w:pPr>
            <w:r w:rsidRPr="00B025E3">
              <w:rPr>
                <w:rFonts w:cs="Arial"/>
                <w:b/>
              </w:rPr>
              <w:t>Male Total</w:t>
            </w:r>
          </w:p>
        </w:tc>
        <w:tc>
          <w:tcPr>
            <w:tcW w:w="1761" w:type="dxa"/>
            <w:tcBorders>
              <w:top w:val="single" w:sz="4" w:space="0" w:color="000000"/>
              <w:left w:val="nil"/>
              <w:bottom w:val="nil"/>
              <w:right w:val="nil"/>
            </w:tcBorders>
            <w:shd w:val="clear" w:color="auto" w:fill="auto"/>
            <w:noWrap/>
            <w:vAlign w:val="bottom"/>
            <w:hideMark/>
          </w:tcPr>
          <w:p w:rsidR="00761BEC" w:rsidRPr="00B025E3" w:rsidRDefault="00761BEC" w:rsidP="00AB14E1">
            <w:pPr>
              <w:rPr>
                <w:rFonts w:cs="Arial"/>
                <w:b/>
              </w:rPr>
            </w:pPr>
            <w:r w:rsidRPr="00B025E3">
              <w:rPr>
                <w:rFonts w:cs="Arial"/>
                <w:b/>
              </w:rPr>
              <w:t> </w:t>
            </w:r>
          </w:p>
        </w:tc>
        <w:tc>
          <w:tcPr>
            <w:tcW w:w="2684" w:type="dxa"/>
            <w:tcBorders>
              <w:top w:val="single" w:sz="4" w:space="0" w:color="000000"/>
              <w:left w:val="nil"/>
              <w:bottom w:val="nil"/>
              <w:right w:val="nil"/>
            </w:tcBorders>
            <w:shd w:val="clear" w:color="auto" w:fill="auto"/>
            <w:noWrap/>
            <w:vAlign w:val="bottom"/>
            <w:hideMark/>
          </w:tcPr>
          <w:p w:rsidR="00761BEC" w:rsidRPr="00B025E3" w:rsidRDefault="00761BEC" w:rsidP="00AB14E1">
            <w:pPr>
              <w:rPr>
                <w:rFonts w:cs="Arial"/>
                <w:b/>
              </w:rPr>
            </w:pPr>
            <w:r w:rsidRPr="00B025E3">
              <w:rPr>
                <w:rFonts w:cs="Arial"/>
                <w:b/>
              </w:rPr>
              <w:t> </w:t>
            </w:r>
          </w:p>
        </w:tc>
        <w:tc>
          <w:tcPr>
            <w:tcW w:w="710" w:type="dxa"/>
            <w:tcBorders>
              <w:top w:val="single" w:sz="4" w:space="0" w:color="000000"/>
              <w:left w:val="single" w:sz="4" w:space="0" w:color="000000"/>
              <w:bottom w:val="nil"/>
              <w:right w:val="single" w:sz="4" w:space="0" w:color="auto"/>
            </w:tcBorders>
            <w:shd w:val="clear" w:color="auto" w:fill="auto"/>
            <w:noWrap/>
            <w:hideMark/>
          </w:tcPr>
          <w:p w:rsidR="00761BEC" w:rsidRPr="00B025E3" w:rsidRDefault="00761BEC" w:rsidP="00AB14E1">
            <w:pPr>
              <w:jc w:val="center"/>
              <w:rPr>
                <w:rFonts w:cs="Arial"/>
                <w:b/>
              </w:rPr>
            </w:pPr>
            <w:r w:rsidRPr="00B025E3">
              <w:rPr>
                <w:rFonts w:cs="Arial"/>
                <w:b/>
              </w:rPr>
              <w:t>6</w:t>
            </w:r>
          </w:p>
        </w:tc>
      </w:tr>
      <w:tr w:rsidR="00761BEC" w:rsidRPr="00B025E3" w:rsidTr="00AB14E1">
        <w:trPr>
          <w:trHeight w:val="255"/>
        </w:trPr>
        <w:tc>
          <w:tcPr>
            <w:tcW w:w="674" w:type="dxa"/>
            <w:tcBorders>
              <w:top w:val="single" w:sz="4" w:space="0" w:color="000000"/>
              <w:left w:val="single" w:sz="4" w:space="0" w:color="auto"/>
              <w:bottom w:val="single" w:sz="4" w:space="0" w:color="auto"/>
              <w:right w:val="nil"/>
            </w:tcBorders>
            <w:shd w:val="clear" w:color="auto" w:fill="auto"/>
            <w:noWrap/>
            <w:vAlign w:val="bottom"/>
            <w:hideMark/>
          </w:tcPr>
          <w:p w:rsidR="00761BEC" w:rsidRPr="00B025E3" w:rsidRDefault="00761BEC" w:rsidP="00AB14E1">
            <w:pPr>
              <w:rPr>
                <w:rFonts w:cs="Arial"/>
                <w:b/>
              </w:rPr>
            </w:pPr>
            <w:r w:rsidRPr="00B025E3">
              <w:rPr>
                <w:rFonts w:cs="Arial"/>
                <w:b/>
              </w:rPr>
              <w:t>Grand Total</w:t>
            </w:r>
          </w:p>
        </w:tc>
        <w:tc>
          <w:tcPr>
            <w:tcW w:w="1700" w:type="dxa"/>
            <w:tcBorders>
              <w:top w:val="single" w:sz="4" w:space="0" w:color="000000"/>
              <w:left w:val="single" w:sz="4" w:space="0" w:color="000000"/>
              <w:bottom w:val="single" w:sz="4" w:space="0" w:color="auto"/>
              <w:right w:val="single" w:sz="4" w:space="0" w:color="000000"/>
            </w:tcBorders>
            <w:shd w:val="clear" w:color="auto" w:fill="auto"/>
            <w:noWrap/>
            <w:vAlign w:val="bottom"/>
            <w:hideMark/>
          </w:tcPr>
          <w:p w:rsidR="00761BEC" w:rsidRPr="00B025E3" w:rsidRDefault="00761BEC" w:rsidP="00AB14E1">
            <w:pPr>
              <w:jc w:val="right"/>
              <w:rPr>
                <w:rFonts w:cs="Arial"/>
                <w:b/>
              </w:rPr>
            </w:pPr>
            <w:r w:rsidRPr="00B025E3">
              <w:rPr>
                <w:rFonts w:cs="Arial"/>
                <w:b/>
              </w:rPr>
              <w:t>57</w:t>
            </w:r>
          </w:p>
        </w:tc>
        <w:tc>
          <w:tcPr>
            <w:tcW w:w="520" w:type="dxa"/>
            <w:tcBorders>
              <w:top w:val="nil"/>
              <w:left w:val="nil"/>
              <w:bottom w:val="single" w:sz="4" w:space="0" w:color="auto"/>
              <w:right w:val="nil"/>
            </w:tcBorders>
            <w:shd w:val="clear" w:color="auto" w:fill="auto"/>
            <w:noWrap/>
            <w:vAlign w:val="bottom"/>
            <w:hideMark/>
          </w:tcPr>
          <w:p w:rsidR="00761BEC" w:rsidRPr="00B025E3" w:rsidRDefault="00761BEC" w:rsidP="00AB14E1">
            <w:pPr>
              <w:rPr>
                <w:rFonts w:cs="Arial"/>
              </w:rPr>
            </w:pPr>
          </w:p>
        </w:tc>
        <w:tc>
          <w:tcPr>
            <w:tcW w:w="1440" w:type="dxa"/>
            <w:tcBorders>
              <w:top w:val="single" w:sz="4" w:space="0" w:color="000000"/>
              <w:left w:val="single" w:sz="4" w:space="0" w:color="000000"/>
              <w:bottom w:val="single" w:sz="4" w:space="0" w:color="auto"/>
              <w:right w:val="nil"/>
            </w:tcBorders>
            <w:shd w:val="clear" w:color="auto" w:fill="auto"/>
            <w:noWrap/>
            <w:vAlign w:val="bottom"/>
            <w:hideMark/>
          </w:tcPr>
          <w:p w:rsidR="00761BEC" w:rsidRPr="00B025E3" w:rsidRDefault="00761BEC" w:rsidP="00AB14E1">
            <w:pPr>
              <w:rPr>
                <w:rFonts w:cs="Arial"/>
                <w:b/>
              </w:rPr>
            </w:pPr>
            <w:r w:rsidRPr="00B025E3">
              <w:rPr>
                <w:rFonts w:cs="Arial"/>
                <w:b/>
              </w:rPr>
              <w:t>Grand Total</w:t>
            </w:r>
          </w:p>
        </w:tc>
        <w:tc>
          <w:tcPr>
            <w:tcW w:w="1761" w:type="dxa"/>
            <w:tcBorders>
              <w:top w:val="single" w:sz="4" w:space="0" w:color="000000"/>
              <w:left w:val="nil"/>
              <w:bottom w:val="single" w:sz="4" w:space="0" w:color="auto"/>
              <w:right w:val="nil"/>
            </w:tcBorders>
            <w:shd w:val="clear" w:color="auto" w:fill="auto"/>
            <w:noWrap/>
            <w:vAlign w:val="bottom"/>
            <w:hideMark/>
          </w:tcPr>
          <w:p w:rsidR="00761BEC" w:rsidRPr="00B025E3" w:rsidRDefault="00761BEC" w:rsidP="00AB14E1">
            <w:pPr>
              <w:rPr>
                <w:rFonts w:cs="Arial"/>
                <w:b/>
              </w:rPr>
            </w:pPr>
            <w:r w:rsidRPr="00B025E3">
              <w:rPr>
                <w:rFonts w:cs="Arial"/>
                <w:b/>
              </w:rPr>
              <w:t> </w:t>
            </w:r>
          </w:p>
        </w:tc>
        <w:tc>
          <w:tcPr>
            <w:tcW w:w="2684" w:type="dxa"/>
            <w:tcBorders>
              <w:top w:val="single" w:sz="4" w:space="0" w:color="000000"/>
              <w:left w:val="nil"/>
              <w:bottom w:val="single" w:sz="4" w:space="0" w:color="auto"/>
              <w:right w:val="nil"/>
            </w:tcBorders>
            <w:shd w:val="clear" w:color="auto" w:fill="auto"/>
            <w:noWrap/>
            <w:vAlign w:val="bottom"/>
            <w:hideMark/>
          </w:tcPr>
          <w:p w:rsidR="00761BEC" w:rsidRPr="00B025E3" w:rsidRDefault="00761BEC" w:rsidP="00AB14E1">
            <w:pPr>
              <w:rPr>
                <w:rFonts w:cs="Arial"/>
                <w:b/>
              </w:rPr>
            </w:pPr>
            <w:r w:rsidRPr="00B025E3">
              <w:rPr>
                <w:rFonts w:cs="Arial"/>
                <w:b/>
              </w:rPr>
              <w:t> </w:t>
            </w:r>
          </w:p>
        </w:tc>
        <w:tc>
          <w:tcPr>
            <w:tcW w:w="710" w:type="dxa"/>
            <w:tcBorders>
              <w:top w:val="single" w:sz="4" w:space="0" w:color="000000"/>
              <w:left w:val="single" w:sz="4" w:space="0" w:color="000000"/>
              <w:bottom w:val="single" w:sz="4" w:space="0" w:color="auto"/>
              <w:right w:val="single" w:sz="4" w:space="0" w:color="auto"/>
            </w:tcBorders>
            <w:shd w:val="clear" w:color="auto" w:fill="auto"/>
            <w:noWrap/>
            <w:hideMark/>
          </w:tcPr>
          <w:p w:rsidR="00761BEC" w:rsidRPr="00B025E3" w:rsidRDefault="00761BEC" w:rsidP="00AB14E1">
            <w:pPr>
              <w:jc w:val="center"/>
              <w:rPr>
                <w:rFonts w:cs="Arial"/>
                <w:b/>
              </w:rPr>
            </w:pPr>
            <w:r w:rsidRPr="00B025E3">
              <w:rPr>
                <w:rFonts w:cs="Arial"/>
                <w:b/>
              </w:rPr>
              <w:t>12</w:t>
            </w:r>
          </w:p>
        </w:tc>
      </w:tr>
    </w:tbl>
    <w:p w:rsidR="00761BEC" w:rsidRPr="00B025E3" w:rsidRDefault="00761BEC" w:rsidP="00761BEC">
      <w:pPr>
        <w:autoSpaceDE w:val="0"/>
        <w:autoSpaceDN w:val="0"/>
        <w:adjustRightInd w:val="0"/>
        <w:rPr>
          <w:rFonts w:cs="Arial"/>
          <w:bCs/>
        </w:rPr>
      </w:pPr>
    </w:p>
    <w:p w:rsidR="00761BEC" w:rsidRPr="00B025E3" w:rsidRDefault="00761BEC" w:rsidP="00761BEC">
      <w:pPr>
        <w:rPr>
          <w:rFonts w:cs="Arial"/>
        </w:rPr>
      </w:pPr>
      <w:r w:rsidRPr="00B025E3">
        <w:rPr>
          <w:rFonts w:cs="Arial"/>
        </w:rPr>
        <w:t>During the last 12 months, the T</w:t>
      </w:r>
      <w:r w:rsidR="0089680C">
        <w:rPr>
          <w:rFonts w:cs="Arial"/>
        </w:rPr>
        <w:t xml:space="preserve">rust Board membership has been </w:t>
      </w:r>
      <w:r w:rsidRPr="00B025E3">
        <w:rPr>
          <w:rFonts w:cs="Arial"/>
        </w:rPr>
        <w:t>compliant with the legal Order which establishes the Trust both in terms of numbers a</w:t>
      </w:r>
      <w:r w:rsidR="00F11962">
        <w:rPr>
          <w:rFonts w:cs="Arial"/>
        </w:rPr>
        <w:t>nd in relation to the required e</w:t>
      </w:r>
      <w:r w:rsidRPr="00B025E3">
        <w:rPr>
          <w:rFonts w:cs="Arial"/>
        </w:rPr>
        <w:t>xecutive membership; specifically a Medical Director, Director of Nursing, Director of Finance and Chief Executive.  Non-Executive members offer a range of skills including finance, strategy, and statistical analy</w:t>
      </w:r>
      <w:r w:rsidR="0089680C">
        <w:rPr>
          <w:rFonts w:cs="Arial"/>
        </w:rPr>
        <w:t>sis, i</w:t>
      </w:r>
      <w:r w:rsidRPr="00B025E3">
        <w:rPr>
          <w:rFonts w:cs="Arial"/>
        </w:rPr>
        <w:t xml:space="preserve">nformation technology, commercial and legal. </w:t>
      </w:r>
    </w:p>
    <w:p w:rsidR="00761BEC" w:rsidRPr="00B025E3" w:rsidRDefault="00761BEC" w:rsidP="00761BEC">
      <w:pPr>
        <w:rPr>
          <w:rFonts w:cs="Arial"/>
        </w:rPr>
      </w:pPr>
    </w:p>
    <w:p w:rsidR="00761BEC" w:rsidRPr="00B025E3" w:rsidRDefault="00761BEC" w:rsidP="00761BEC">
      <w:pPr>
        <w:rPr>
          <w:rFonts w:cs="Arial"/>
        </w:rPr>
      </w:pPr>
      <w:r w:rsidRPr="00B025E3">
        <w:rPr>
          <w:rFonts w:cs="Arial"/>
        </w:rPr>
        <w:t>In addition, the Trust Board is supported by a number of attending but non-voti</w:t>
      </w:r>
      <w:r w:rsidR="00F11962">
        <w:rPr>
          <w:rFonts w:cs="Arial"/>
        </w:rPr>
        <w:t>ng Directors with expertise in operations, human resource and organisational d</w:t>
      </w:r>
      <w:r w:rsidRPr="00B025E3">
        <w:rPr>
          <w:rFonts w:cs="Arial"/>
        </w:rPr>
        <w:t>evelopment.  A representative from Healthwatch and the Trust’s Patients</w:t>
      </w:r>
      <w:r w:rsidR="00F11962">
        <w:rPr>
          <w:rFonts w:cs="Arial"/>
        </w:rPr>
        <w:t>’</w:t>
      </w:r>
      <w:r w:rsidRPr="00B025E3">
        <w:rPr>
          <w:rFonts w:cs="Arial"/>
        </w:rPr>
        <w:t xml:space="preserve"> Council are also in attendance at each Board meeting and participate fully within discussions.</w:t>
      </w:r>
    </w:p>
    <w:p w:rsidR="00761BEC" w:rsidRPr="00B025E3" w:rsidRDefault="00761BEC" w:rsidP="00761BEC">
      <w:pPr>
        <w:rPr>
          <w:rFonts w:cs="Arial"/>
        </w:rPr>
      </w:pPr>
    </w:p>
    <w:p w:rsidR="00761BEC" w:rsidRPr="00B025E3" w:rsidRDefault="00761BEC" w:rsidP="00761BEC">
      <w:pPr>
        <w:rPr>
          <w:rFonts w:cs="Arial"/>
        </w:rPr>
      </w:pPr>
      <w:r w:rsidRPr="00B025E3">
        <w:rPr>
          <w:rFonts w:cs="Arial"/>
        </w:rPr>
        <w:t>This breadth of attendance in addition to the core Trust Board membership enables and ensures an appropriate depth of discussion and provides assurance concerning the validity of decisions reached. Most importa</w:t>
      </w:r>
      <w:r w:rsidR="00F11962">
        <w:rPr>
          <w:rFonts w:cs="Arial"/>
        </w:rPr>
        <w:t>ntly, it also ensures that the patient v</w:t>
      </w:r>
      <w:r w:rsidRPr="00B025E3">
        <w:rPr>
          <w:rFonts w:cs="Arial"/>
        </w:rPr>
        <w:t>oice is heard and taken into account within all discussions.</w:t>
      </w:r>
    </w:p>
    <w:p w:rsidR="00761BEC" w:rsidRPr="00B025E3" w:rsidRDefault="00761BEC" w:rsidP="00761BEC">
      <w:pPr>
        <w:rPr>
          <w:rFonts w:cs="Arial"/>
        </w:rPr>
      </w:pPr>
    </w:p>
    <w:p w:rsidR="00761BEC" w:rsidRPr="00B025E3" w:rsidRDefault="00761BEC" w:rsidP="00761BEC">
      <w:pPr>
        <w:rPr>
          <w:rFonts w:cs="Arial"/>
        </w:rPr>
      </w:pPr>
      <w:r w:rsidRPr="00B025E3">
        <w:rPr>
          <w:rFonts w:cs="Arial"/>
        </w:rPr>
        <w:t xml:space="preserve">The Trust Board, together with its committees also </w:t>
      </w:r>
      <w:proofErr w:type="gramStart"/>
      <w:r w:rsidRPr="00B025E3">
        <w:rPr>
          <w:rFonts w:cs="Arial"/>
        </w:rPr>
        <w:t>review</w:t>
      </w:r>
      <w:proofErr w:type="gramEnd"/>
      <w:r w:rsidRPr="00B025E3">
        <w:rPr>
          <w:rFonts w:cs="Arial"/>
        </w:rPr>
        <w:t xml:space="preserve"> in-year performance and achievements collectively to ensure the ongoing relevance and effectiveness of each committee and where performance or relevance might be improved.</w:t>
      </w:r>
    </w:p>
    <w:p w:rsidR="00761BEC" w:rsidRPr="00B025E3" w:rsidRDefault="00761BEC" w:rsidP="00761BEC">
      <w:pPr>
        <w:autoSpaceDE w:val="0"/>
        <w:autoSpaceDN w:val="0"/>
        <w:adjustRightInd w:val="0"/>
        <w:ind w:firstLine="360"/>
        <w:rPr>
          <w:rFonts w:cs="Arial"/>
          <w:bCs/>
        </w:rPr>
      </w:pPr>
    </w:p>
    <w:p w:rsidR="00761BEC" w:rsidRPr="00DD3C49" w:rsidRDefault="00761BEC" w:rsidP="00761BEC">
      <w:pPr>
        <w:pBdr>
          <w:bottom w:val="single" w:sz="8" w:space="1" w:color="4F81BD"/>
        </w:pBdr>
        <w:spacing w:before="200" w:after="80"/>
        <w:outlineLvl w:val="1"/>
        <w:rPr>
          <w:rFonts w:cs="Arial"/>
          <w:b/>
          <w:color w:val="0070C0"/>
          <w:sz w:val="24"/>
          <w:szCs w:val="24"/>
        </w:rPr>
      </w:pPr>
      <w:r w:rsidRPr="00DD3C49">
        <w:rPr>
          <w:rFonts w:cs="Arial"/>
          <w:b/>
          <w:color w:val="0070C0"/>
          <w:sz w:val="24"/>
          <w:szCs w:val="24"/>
        </w:rPr>
        <w:t>2.7.3 Workplace Health</w:t>
      </w:r>
    </w:p>
    <w:p w:rsidR="00761BEC" w:rsidRPr="00B025E3" w:rsidRDefault="00761BEC" w:rsidP="00761BEC">
      <w:pPr>
        <w:autoSpaceDE w:val="0"/>
        <w:autoSpaceDN w:val="0"/>
        <w:adjustRightInd w:val="0"/>
        <w:ind w:firstLine="360"/>
        <w:rPr>
          <w:rFonts w:cs="Arial"/>
          <w:b/>
          <w:bCs/>
        </w:rPr>
      </w:pPr>
    </w:p>
    <w:p w:rsidR="00761BEC" w:rsidRPr="00B025E3" w:rsidRDefault="00761BEC" w:rsidP="00761BEC">
      <w:pPr>
        <w:autoSpaceDE w:val="0"/>
        <w:autoSpaceDN w:val="0"/>
        <w:adjustRightInd w:val="0"/>
        <w:rPr>
          <w:rFonts w:cs="Arial"/>
        </w:rPr>
      </w:pPr>
      <w:r w:rsidRPr="00B025E3">
        <w:rPr>
          <w:rFonts w:cs="Arial"/>
        </w:rPr>
        <w:t>The Trust has continued to have a strong focus on sickness absence management with a small decrease in sickness absence since 2013.  The table below demonstrates the monthly sickness rate for the previous 12 months.</w:t>
      </w:r>
    </w:p>
    <w:p w:rsidR="00761BEC" w:rsidRPr="00B025E3" w:rsidRDefault="00761BEC" w:rsidP="00761BEC">
      <w:pPr>
        <w:autoSpaceDE w:val="0"/>
        <w:autoSpaceDN w:val="0"/>
        <w:adjustRightInd w:val="0"/>
        <w:rPr>
          <w:rFonts w:cs="Arial"/>
          <w:color w:val="FF0000"/>
        </w:rPr>
      </w:pPr>
    </w:p>
    <w:p w:rsidR="00761BEC" w:rsidRPr="00B025E3" w:rsidRDefault="00761BEC" w:rsidP="00761BEC">
      <w:pPr>
        <w:autoSpaceDE w:val="0"/>
        <w:autoSpaceDN w:val="0"/>
        <w:adjustRightInd w:val="0"/>
        <w:ind w:firstLine="360"/>
        <w:rPr>
          <w:rFonts w:cs="Arial"/>
        </w:rPr>
      </w:pPr>
    </w:p>
    <w:p w:rsidR="00761BEC" w:rsidRPr="00B025E3" w:rsidRDefault="00761BEC" w:rsidP="00761BEC">
      <w:pPr>
        <w:autoSpaceDE w:val="0"/>
        <w:autoSpaceDN w:val="0"/>
        <w:adjustRightInd w:val="0"/>
        <w:ind w:firstLine="360"/>
        <w:jc w:val="center"/>
        <w:rPr>
          <w:rFonts w:cs="Arial"/>
        </w:rPr>
      </w:pPr>
      <w:r w:rsidRPr="00B025E3">
        <w:rPr>
          <w:rFonts w:cs="Arial"/>
          <w:noProof/>
          <w:lang w:val="en-GB" w:eastAsia="en-GB"/>
        </w:rPr>
        <w:drawing>
          <wp:inline distT="0" distB="0" distL="0" distR="0">
            <wp:extent cx="4648200" cy="2886075"/>
            <wp:effectExtent l="19050" t="0" r="19050" b="0"/>
            <wp:docPr id="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61BEC" w:rsidRPr="00B025E3" w:rsidRDefault="00761BEC" w:rsidP="00761BEC">
      <w:pPr>
        <w:autoSpaceDE w:val="0"/>
        <w:autoSpaceDN w:val="0"/>
        <w:adjustRightInd w:val="0"/>
        <w:ind w:firstLine="360"/>
        <w:rPr>
          <w:rFonts w:cs="Arial"/>
          <w:noProof/>
        </w:rPr>
      </w:pPr>
    </w:p>
    <w:p w:rsidR="00761BEC" w:rsidRPr="00B025E3" w:rsidRDefault="00761BEC" w:rsidP="00761BEC">
      <w:pPr>
        <w:autoSpaceDE w:val="0"/>
        <w:autoSpaceDN w:val="0"/>
        <w:adjustRightInd w:val="0"/>
        <w:ind w:firstLine="360"/>
        <w:rPr>
          <w:rFonts w:cs="Arial"/>
        </w:rPr>
      </w:pPr>
    </w:p>
    <w:p w:rsidR="00761BEC" w:rsidRPr="00B025E3" w:rsidRDefault="00761BEC" w:rsidP="00761BEC">
      <w:pPr>
        <w:autoSpaceDE w:val="0"/>
        <w:autoSpaceDN w:val="0"/>
        <w:adjustRightInd w:val="0"/>
        <w:rPr>
          <w:rFonts w:cs="Arial"/>
        </w:rPr>
      </w:pPr>
    </w:p>
    <w:p w:rsidR="00761BEC" w:rsidRPr="00B025E3" w:rsidRDefault="00761BEC" w:rsidP="00761BEC">
      <w:pPr>
        <w:autoSpaceDE w:val="0"/>
        <w:autoSpaceDN w:val="0"/>
        <w:adjustRightInd w:val="0"/>
        <w:rPr>
          <w:rFonts w:cs="Arial"/>
        </w:rPr>
      </w:pPr>
      <w:r w:rsidRPr="00B025E3">
        <w:rPr>
          <w:rFonts w:cs="Arial"/>
        </w:rPr>
        <w:t>We have c</w:t>
      </w:r>
      <w:r w:rsidR="00F11962">
        <w:rPr>
          <w:rFonts w:cs="Arial"/>
        </w:rPr>
        <w:t>ontinued to concentrate on the health and w</w:t>
      </w:r>
      <w:r w:rsidRPr="00B025E3">
        <w:rPr>
          <w:rFonts w:cs="Arial"/>
        </w:rPr>
        <w:t xml:space="preserve">ellbeing of staff during 2014/15 with a renewed investment in our Employee Assistance Programme (EAP) </w:t>
      </w:r>
      <w:proofErr w:type="spellStart"/>
      <w:r w:rsidRPr="00F11962">
        <w:rPr>
          <w:rFonts w:cs="Arial"/>
        </w:rPr>
        <w:t>Optum</w:t>
      </w:r>
      <w:proofErr w:type="spellEnd"/>
      <w:r w:rsidRPr="00F11962">
        <w:rPr>
          <w:rFonts w:cs="Arial"/>
        </w:rPr>
        <w:t>.</w:t>
      </w:r>
      <w:r w:rsidRPr="00B025E3">
        <w:rPr>
          <w:rFonts w:cs="Arial"/>
        </w:rPr>
        <w:t xml:space="preserve">  </w:t>
      </w:r>
      <w:proofErr w:type="spellStart"/>
      <w:r w:rsidRPr="00B025E3">
        <w:rPr>
          <w:rFonts w:cs="Arial"/>
        </w:rPr>
        <w:t>Optum</w:t>
      </w:r>
      <w:proofErr w:type="spellEnd"/>
      <w:r w:rsidRPr="00B025E3">
        <w:rPr>
          <w:rFonts w:cs="Arial"/>
        </w:rPr>
        <w:t xml:space="preserve"> provide a confidential advice and information service on work and personal matters ranging from legal and financial advice to telephone and face to face counselling. We encourage our employees to access our EAP provider as soon as issues arise and feedback has been positive with counselling services receiving the highest usage during this reporting period.  </w:t>
      </w:r>
    </w:p>
    <w:p w:rsidR="00761BEC" w:rsidRPr="00B025E3" w:rsidRDefault="00761BEC" w:rsidP="00761BEC">
      <w:pPr>
        <w:autoSpaceDE w:val="0"/>
        <w:autoSpaceDN w:val="0"/>
        <w:adjustRightInd w:val="0"/>
        <w:rPr>
          <w:rFonts w:cs="Arial"/>
        </w:rPr>
      </w:pPr>
    </w:p>
    <w:p w:rsidR="00761BEC" w:rsidRPr="00B025E3" w:rsidRDefault="00761BEC" w:rsidP="00761BEC">
      <w:pPr>
        <w:autoSpaceDE w:val="0"/>
        <w:autoSpaceDN w:val="0"/>
        <w:adjustRightInd w:val="0"/>
        <w:rPr>
          <w:rFonts w:cs="Arial"/>
        </w:rPr>
      </w:pPr>
      <w:r w:rsidRPr="00B025E3">
        <w:rPr>
          <w:rFonts w:cs="Arial"/>
        </w:rPr>
        <w:lastRenderedPageBreak/>
        <w:t xml:space="preserve">The staff physiotherapy clinics have continued for a third year and during 2014/15 over 294 staff </w:t>
      </w:r>
      <w:proofErr w:type="gramStart"/>
      <w:r w:rsidRPr="00B025E3">
        <w:rPr>
          <w:rFonts w:cs="Arial"/>
        </w:rPr>
        <w:t>have</w:t>
      </w:r>
      <w:proofErr w:type="gramEnd"/>
      <w:r w:rsidRPr="00B025E3">
        <w:rPr>
          <w:rFonts w:cs="Arial"/>
        </w:rPr>
        <w:t xml:space="preserve"> accessed the service, which has increased from 2013/14.  This service helps form part of the Trusts Health and Wellbeing programme and focuses on reducing sickness and aiding staff in returning to work sooner.</w:t>
      </w:r>
    </w:p>
    <w:p w:rsidR="00761BEC" w:rsidRPr="00B025E3" w:rsidRDefault="00761BEC" w:rsidP="00761BEC">
      <w:pPr>
        <w:autoSpaceDE w:val="0"/>
        <w:autoSpaceDN w:val="0"/>
        <w:adjustRightInd w:val="0"/>
        <w:rPr>
          <w:rFonts w:cs="Arial"/>
        </w:rPr>
      </w:pPr>
    </w:p>
    <w:p w:rsidR="00761BEC" w:rsidRPr="00DD3C49" w:rsidRDefault="00761BEC" w:rsidP="00761BEC">
      <w:pPr>
        <w:pBdr>
          <w:bottom w:val="single" w:sz="8" w:space="1" w:color="4F81BD"/>
        </w:pBdr>
        <w:spacing w:before="200" w:after="80"/>
        <w:outlineLvl w:val="1"/>
        <w:rPr>
          <w:rFonts w:cs="Arial"/>
          <w:b/>
          <w:color w:val="4F81BD"/>
          <w:sz w:val="24"/>
          <w:szCs w:val="24"/>
        </w:rPr>
      </w:pPr>
      <w:r w:rsidRPr="00DD3C49">
        <w:rPr>
          <w:rFonts w:cs="Arial"/>
          <w:b/>
          <w:color w:val="4F81BD"/>
          <w:sz w:val="24"/>
          <w:szCs w:val="24"/>
        </w:rPr>
        <w:t>2.7.4 Developing the Skills of our Workforce</w:t>
      </w:r>
    </w:p>
    <w:p w:rsidR="00761BEC" w:rsidRPr="00B025E3" w:rsidRDefault="00761BEC" w:rsidP="00761BEC">
      <w:pPr>
        <w:rPr>
          <w:rFonts w:cs="Arial"/>
          <w:b/>
        </w:rPr>
      </w:pPr>
    </w:p>
    <w:p w:rsidR="00761BEC" w:rsidRPr="00B025E3" w:rsidRDefault="00761BEC" w:rsidP="00761BEC">
      <w:pPr>
        <w:rPr>
          <w:rFonts w:cs="Arial"/>
          <w:i/>
        </w:rPr>
      </w:pPr>
      <w:r w:rsidRPr="00B025E3">
        <w:rPr>
          <w:rFonts w:cs="Arial"/>
        </w:rPr>
        <w:t>The Trust is committed to providing the best possible care for our patients and that means investing in our staff to ensure that they are appropriately trained and skilled for their roles.  During 2014 we continued to make training and development a high priority, not only in meeting our statutory and mandatory obligations but also to make sure that staff had access to on-going professional development opportunities.  The success of our approach is demonstrated in the 2014 Staff Survey results where we are performing in the highest 20% of acute trusts for the ‘</w:t>
      </w:r>
      <w:r w:rsidRPr="00B025E3">
        <w:rPr>
          <w:rFonts w:cs="Arial"/>
          <w:i/>
        </w:rPr>
        <w:t>percentage of staff reporting that they had received job-relevant training, learning or development in the last 12 months’</w:t>
      </w:r>
      <w:r w:rsidRPr="00B025E3">
        <w:rPr>
          <w:rFonts w:cs="Arial"/>
        </w:rPr>
        <w:t xml:space="preserve"> and better than average in the </w:t>
      </w:r>
      <w:r w:rsidRPr="00B025E3">
        <w:rPr>
          <w:rFonts w:cs="Arial"/>
          <w:i/>
        </w:rPr>
        <w:t>‘percentage of staff receiving health and safety training in the last 12 months.’</w:t>
      </w:r>
    </w:p>
    <w:p w:rsidR="00761BEC" w:rsidRPr="00B025E3" w:rsidRDefault="00761BEC" w:rsidP="00761BEC">
      <w:pPr>
        <w:rPr>
          <w:rFonts w:cs="Arial"/>
          <w:b/>
        </w:rPr>
      </w:pPr>
    </w:p>
    <w:p w:rsidR="00761BEC" w:rsidRPr="00B025E3" w:rsidRDefault="00761BEC" w:rsidP="00761BEC">
      <w:pPr>
        <w:rPr>
          <w:rFonts w:cs="Arial"/>
          <w:b/>
        </w:rPr>
      </w:pPr>
      <w:r w:rsidRPr="00B025E3">
        <w:rPr>
          <w:rFonts w:cs="Arial"/>
          <w:b/>
        </w:rPr>
        <w:t>Apprenticeships</w:t>
      </w:r>
    </w:p>
    <w:p w:rsidR="00761BEC" w:rsidRPr="00B025E3" w:rsidRDefault="00761BEC" w:rsidP="00761BEC">
      <w:pPr>
        <w:rPr>
          <w:rFonts w:cs="Arial"/>
          <w:b/>
        </w:rPr>
      </w:pPr>
    </w:p>
    <w:p w:rsidR="00761BEC" w:rsidRPr="00B025E3" w:rsidRDefault="00761BEC" w:rsidP="00761BEC">
      <w:pPr>
        <w:rPr>
          <w:rFonts w:cs="Arial"/>
        </w:rPr>
      </w:pPr>
      <w:r w:rsidRPr="00B025E3">
        <w:rPr>
          <w:rFonts w:cs="Arial"/>
        </w:rPr>
        <w:t>The Trust is keen to support the development of its Band 1-4 workforce and in early 2015 has enrolled a further 19 existing staff of all ages on an Apprenticeship programme run through Weston College, joining the 40 staff already enrolled.  Staff can select from a range of Apprenticeship opportunities dependent on their job role.  These include Customer Services, Team Leading, Business Administration and Health and Social Care.  Completion takes between 15-18 months with a designated college assessor visiting staff on site, setting tasks to be completed and reviewing progress at subsequent meetings.  Feedback from staff tells us that achieving a nationally recognised qualification has not only improved their performance in role but has given them the confidence to go on to further NHS career opportunities.  This is reflected in the 2014 Staff Survey results where the ‘</w:t>
      </w:r>
      <w:r w:rsidRPr="00B025E3">
        <w:rPr>
          <w:rFonts w:cs="Arial"/>
          <w:i/>
        </w:rPr>
        <w:t>percentage of staff believing the trust provides equal opportunities for career progression or promotion’</w:t>
      </w:r>
      <w:r w:rsidRPr="00B025E3">
        <w:rPr>
          <w:rFonts w:cs="Arial"/>
        </w:rPr>
        <w:t xml:space="preserve"> scores in the highest (best) 20% of acute trusts.</w:t>
      </w:r>
    </w:p>
    <w:p w:rsidR="00761BEC" w:rsidRPr="00B025E3" w:rsidRDefault="00761BEC" w:rsidP="00761BEC">
      <w:pPr>
        <w:rPr>
          <w:rFonts w:cs="Arial"/>
        </w:rPr>
      </w:pPr>
    </w:p>
    <w:p w:rsidR="00761BEC" w:rsidRPr="00B025E3" w:rsidRDefault="00761BEC" w:rsidP="00761BEC">
      <w:pPr>
        <w:rPr>
          <w:rFonts w:cs="Arial"/>
        </w:rPr>
      </w:pPr>
      <w:r w:rsidRPr="00B025E3">
        <w:rPr>
          <w:rFonts w:cs="Arial"/>
        </w:rPr>
        <w:t xml:space="preserve">The Trust is also pleased to </w:t>
      </w:r>
      <w:proofErr w:type="spellStart"/>
      <w:r w:rsidRPr="00B025E3">
        <w:rPr>
          <w:rFonts w:cs="Arial"/>
        </w:rPr>
        <w:t>recognise</w:t>
      </w:r>
      <w:proofErr w:type="spellEnd"/>
      <w:r w:rsidRPr="00B025E3">
        <w:rPr>
          <w:rFonts w:cs="Arial"/>
        </w:rPr>
        <w:t xml:space="preserve"> the value of its Modern Apprentices, recruited though Weston College and offering a young and vibrant contribution to the workforce.  In 2014 we employed 13 Modern Apprentices.  Recruits typically are contracted to work 15-18 months with day release to attend college and complete the theory elements of their Apprenticeship programme.  We are very happy to say that in many cases, at the end of their fixed term contract, Modern Apprentices go on to secure permanent employment at the Trust. </w:t>
      </w:r>
    </w:p>
    <w:p w:rsidR="00761BEC" w:rsidRPr="00B025E3" w:rsidRDefault="00761BEC" w:rsidP="00761BEC">
      <w:pPr>
        <w:rPr>
          <w:rFonts w:cs="Arial"/>
        </w:rPr>
      </w:pPr>
    </w:p>
    <w:p w:rsidR="00761BEC" w:rsidRPr="00B025E3" w:rsidRDefault="00761BEC" w:rsidP="00761BEC">
      <w:pPr>
        <w:rPr>
          <w:rFonts w:cs="Arial"/>
          <w:b/>
        </w:rPr>
      </w:pPr>
      <w:r w:rsidRPr="00B025E3">
        <w:rPr>
          <w:rFonts w:cs="Arial"/>
          <w:b/>
        </w:rPr>
        <w:t>Leadership and Management Development</w:t>
      </w:r>
    </w:p>
    <w:p w:rsidR="00761BEC" w:rsidRPr="00B025E3" w:rsidRDefault="00761BEC" w:rsidP="00761BEC">
      <w:pPr>
        <w:rPr>
          <w:rFonts w:cs="Arial"/>
          <w:b/>
        </w:rPr>
      </w:pPr>
    </w:p>
    <w:p w:rsidR="00761BEC" w:rsidRPr="00B025E3" w:rsidRDefault="00761BEC" w:rsidP="00761BEC">
      <w:pPr>
        <w:rPr>
          <w:rFonts w:cs="Arial"/>
        </w:rPr>
      </w:pPr>
      <w:r w:rsidRPr="00B025E3">
        <w:rPr>
          <w:rFonts w:cs="Arial"/>
        </w:rPr>
        <w:t xml:space="preserve">Providing leadership and management development opportunities continued to be a high focus for the Trust throughout 2014.  Offered through the NHS National Leadership Academy, the Trust has taken full advantage of the opportunities available for its managers and supervisors to gain nationally recognised qualifications in Leadership.  In late 2013 and throughout 2014, we have been able to support 23 members of staff through the Mary </w:t>
      </w:r>
      <w:proofErr w:type="spellStart"/>
      <w:r w:rsidRPr="00B025E3">
        <w:rPr>
          <w:rFonts w:cs="Arial"/>
        </w:rPr>
        <w:t>Seacole</w:t>
      </w:r>
      <w:proofErr w:type="spellEnd"/>
      <w:r w:rsidRPr="00B025E3">
        <w:rPr>
          <w:rFonts w:cs="Arial"/>
        </w:rPr>
        <w:t xml:space="preserve"> programme, a Postgraduate Certificate in Leadership.  Thirteen of those staff </w:t>
      </w:r>
      <w:proofErr w:type="gramStart"/>
      <w:r w:rsidRPr="00B025E3">
        <w:rPr>
          <w:rFonts w:cs="Arial"/>
        </w:rPr>
        <w:t>have</w:t>
      </w:r>
      <w:proofErr w:type="gramEnd"/>
      <w:r w:rsidRPr="00B025E3">
        <w:rPr>
          <w:rFonts w:cs="Arial"/>
        </w:rPr>
        <w:t xml:space="preserve"> recently completed the programme successfully and of those, 6 have obtained a merit.</w:t>
      </w:r>
    </w:p>
    <w:p w:rsidR="00761BEC" w:rsidRPr="00B025E3" w:rsidRDefault="00761BEC" w:rsidP="00761BEC">
      <w:pPr>
        <w:rPr>
          <w:rFonts w:cs="Arial"/>
        </w:rPr>
      </w:pPr>
    </w:p>
    <w:p w:rsidR="00761BEC" w:rsidRPr="00B025E3" w:rsidRDefault="00761BEC" w:rsidP="00761BEC">
      <w:pPr>
        <w:rPr>
          <w:rFonts w:cs="Arial"/>
        </w:rPr>
      </w:pPr>
      <w:r w:rsidRPr="00B025E3">
        <w:rPr>
          <w:rFonts w:cs="Arial"/>
        </w:rPr>
        <w:t xml:space="preserve">In addition, 3 of our Senior Managers are continuing to undertake the 2-year Elizabeth Garrett Anderson, Masters in Leadership. </w:t>
      </w:r>
    </w:p>
    <w:p w:rsidR="00761BEC" w:rsidRPr="00B025E3" w:rsidRDefault="00761BEC" w:rsidP="00761BEC">
      <w:pPr>
        <w:rPr>
          <w:rFonts w:cs="Arial"/>
        </w:rPr>
      </w:pPr>
    </w:p>
    <w:p w:rsidR="00761BEC" w:rsidRPr="00761BEC" w:rsidRDefault="00761BEC" w:rsidP="00761BEC">
      <w:pPr>
        <w:rPr>
          <w:rFonts w:cs="Arial"/>
        </w:rPr>
      </w:pPr>
      <w:r w:rsidRPr="00B025E3">
        <w:rPr>
          <w:rFonts w:cs="Arial"/>
        </w:rPr>
        <w:t>But the Trust recognises that qualifications alone do not lead to a better performing and capable managers and further guidance and support is often required to translate theory into practice.  As such, we have been able to support many of our Senior Managers with one-to-one coaching opportunities and we aim to extend our coaching opportunities to a wider audience during 2015.</w:t>
      </w:r>
    </w:p>
    <w:p w:rsidR="00761BEC" w:rsidRDefault="00761BEC" w:rsidP="00761BEC">
      <w:pPr>
        <w:rPr>
          <w:rFonts w:cs="Arial"/>
        </w:rPr>
      </w:pPr>
    </w:p>
    <w:p w:rsidR="00564E39" w:rsidRDefault="00564E39" w:rsidP="00564E39">
      <w:pPr>
        <w:pStyle w:val="Heading2"/>
      </w:pPr>
      <w:r>
        <w:lastRenderedPageBreak/>
        <w:t>2.8 Paying Our Bills Promptly</w:t>
      </w:r>
    </w:p>
    <w:p w:rsidR="00564E39" w:rsidRDefault="00564E39" w:rsidP="00564E39"/>
    <w:p w:rsidR="00564E39" w:rsidRDefault="00564E39" w:rsidP="00564E39">
      <w:r>
        <w:t xml:space="preserve">All NHS Trusts are required to pay their creditors within 30 days of receipt of a valid invoice unless other terms have been agreed with the supplier.  This is in accordance with the Confederation of British Industry (CBI) Better Payments Practice Code. Details of compliance with this code are shown in note 11 of the annual accounts. </w:t>
      </w:r>
    </w:p>
    <w:p w:rsidR="00564E39" w:rsidRDefault="00564E39" w:rsidP="00564E39"/>
    <w:p w:rsidR="00564E39" w:rsidRDefault="00564E39" w:rsidP="00564E39">
      <w:r>
        <w:t xml:space="preserve">The Better Payment Practice Code requires the Trust to aim to pay all undisputed invoices by the due date or within 30 days of receipt of goods or a valid invoice, whichever is later. </w:t>
      </w:r>
    </w:p>
    <w:p w:rsidR="00564E39" w:rsidRDefault="00564E39" w:rsidP="00564E39"/>
    <w:p w:rsidR="00564E39" w:rsidRDefault="00564E39" w:rsidP="00564E39">
      <w:r>
        <w:t>The Trust is signed up to the Prompt Payment Code.</w:t>
      </w:r>
    </w:p>
    <w:p w:rsidR="00564E39" w:rsidRDefault="00564E39" w:rsidP="00564E39"/>
    <w:p w:rsidR="00564E39" w:rsidRDefault="00564E39" w:rsidP="00564E39">
      <w:r>
        <w:t>As at the end of the financial year, the Trust had paid 97.2% of the total number of non-NHS invoices against the Code. This compares with 95.5% in 2013/14. With 84.0% of the total number of NHS invoices paid within 30 days compared with 79.4% in 2013/14.</w:t>
      </w:r>
    </w:p>
    <w:p w:rsidR="00564E39" w:rsidRDefault="00564E39" w:rsidP="00564E39"/>
    <w:p w:rsidR="00564E39" w:rsidRPr="00A3758A" w:rsidRDefault="00564E39" w:rsidP="00564E39">
      <w:r>
        <w:t>The overall total number of invoices paid, both NHS and non NHS, was 96.7%.</w:t>
      </w:r>
    </w:p>
    <w:p w:rsidR="00564E39" w:rsidRPr="001F0C9D" w:rsidRDefault="00564E39" w:rsidP="00564E39">
      <w:pPr>
        <w:rPr>
          <w:b/>
          <w:color w:val="FF0000"/>
        </w:rPr>
      </w:pPr>
    </w:p>
    <w:p w:rsidR="00564E39" w:rsidRDefault="00564E39" w:rsidP="00564E39">
      <w:pPr>
        <w:pStyle w:val="Heading2"/>
      </w:pPr>
      <w:r w:rsidRPr="00F36E46">
        <w:t>2.</w:t>
      </w:r>
      <w:r>
        <w:t xml:space="preserve">9 </w:t>
      </w:r>
      <w:r w:rsidRPr="00F36E46">
        <w:t>Land Valuations</w:t>
      </w:r>
    </w:p>
    <w:p w:rsidR="00564E39" w:rsidRDefault="00564E39" w:rsidP="00564E39">
      <w:pPr>
        <w:rPr>
          <w:rFonts w:cs="Arial"/>
        </w:rPr>
      </w:pPr>
    </w:p>
    <w:p w:rsidR="00564E39" w:rsidRDefault="00564E39" w:rsidP="00564E39">
      <w:pPr>
        <w:rPr>
          <w:b/>
          <w:color w:val="FF0000"/>
        </w:rPr>
      </w:pPr>
      <w:r w:rsidRPr="009C7AF7">
        <w:rPr>
          <w:rFonts w:cs="Arial"/>
        </w:rPr>
        <w:t>The valuations for land have been undertaken having regards to International Financial Reporting Standards (IFRS) as applied to the United Kingdom public sector and in accordance with HM Treasury guidance. The District Valuer has estimated the land value as at 31 March 201</w:t>
      </w:r>
      <w:r>
        <w:rPr>
          <w:rFonts w:cs="Arial"/>
        </w:rPr>
        <w:t>5</w:t>
      </w:r>
      <w:r w:rsidRPr="009C7AF7">
        <w:rPr>
          <w:rFonts w:cs="Arial"/>
        </w:rPr>
        <w:t xml:space="preserve"> at £</w:t>
      </w:r>
      <w:r>
        <w:rPr>
          <w:rFonts w:cs="Arial"/>
        </w:rPr>
        <w:t>6</w:t>
      </w:r>
      <w:r w:rsidRPr="005D32C7">
        <w:rPr>
          <w:rFonts w:cs="Arial"/>
        </w:rPr>
        <w:t>,870,000.</w:t>
      </w:r>
      <w:r w:rsidRPr="009C7AF7">
        <w:rPr>
          <w:rFonts w:cs="Arial"/>
        </w:rPr>
        <w:t xml:space="preserve">  The Directors of the Trust are not aware of any material differences between the carrying values and the current market values</w:t>
      </w:r>
    </w:p>
    <w:p w:rsidR="00564E39" w:rsidRPr="001F0C9D" w:rsidRDefault="00564E39" w:rsidP="00564E39">
      <w:pPr>
        <w:rPr>
          <w:b/>
          <w:color w:val="FF0000"/>
        </w:rPr>
      </w:pPr>
    </w:p>
    <w:p w:rsidR="00564E39" w:rsidRDefault="00564E39" w:rsidP="00564E39">
      <w:pPr>
        <w:pStyle w:val="Heading2"/>
      </w:pPr>
      <w:r w:rsidRPr="00F36E46">
        <w:t>2.1</w:t>
      </w:r>
      <w:r>
        <w:t xml:space="preserve">0 </w:t>
      </w:r>
      <w:r w:rsidRPr="00F36E46">
        <w:t>Pension Liabilities</w:t>
      </w:r>
    </w:p>
    <w:p w:rsidR="00564E39" w:rsidRDefault="00564E39" w:rsidP="00564E39">
      <w:pPr>
        <w:rPr>
          <w:rFonts w:cs="Arial"/>
        </w:rPr>
      </w:pPr>
    </w:p>
    <w:p w:rsidR="00564E39" w:rsidRPr="009C7AF7" w:rsidRDefault="00564E39" w:rsidP="00564E39">
      <w:pPr>
        <w:rPr>
          <w:rFonts w:cs="Arial"/>
        </w:rPr>
      </w:pPr>
      <w:r w:rsidRPr="009C7AF7">
        <w:rPr>
          <w:rFonts w:cs="Arial"/>
        </w:rPr>
        <w:t>Past and present employees of the Trust are covered by the provisions of the NHS Pensions Scheme. Further information including how pension liabilities are treated in the accounts can be found in accounting note 1.7 of the full set of the accounts.  Pension information for Directors of the Trust is shown in the Pensions benefit table of the Remuneration Report within this annual report.</w:t>
      </w:r>
    </w:p>
    <w:p w:rsidR="00564E39" w:rsidRPr="00761BEC" w:rsidRDefault="00564E39" w:rsidP="00761BEC">
      <w:pPr>
        <w:rPr>
          <w:rFonts w:cs="Arial"/>
        </w:rPr>
      </w:pPr>
    </w:p>
    <w:p w:rsidR="009F749B" w:rsidRDefault="009F749B" w:rsidP="009F749B">
      <w:pPr>
        <w:pStyle w:val="Heading2"/>
      </w:pPr>
      <w:bookmarkStart w:id="63" w:name="_Toc293584017"/>
      <w:bookmarkStart w:id="64" w:name="_Toc325024792"/>
      <w:bookmarkStart w:id="65" w:name="_Toc326062003"/>
      <w:bookmarkStart w:id="66" w:name="_Toc386468336"/>
      <w:bookmarkStart w:id="67" w:name="_Toc387747675"/>
      <w:bookmarkEnd w:id="57"/>
      <w:bookmarkEnd w:id="58"/>
      <w:bookmarkEnd w:id="59"/>
      <w:bookmarkEnd w:id="60"/>
      <w:bookmarkEnd w:id="61"/>
      <w:r>
        <w:t>2.11 Auditors</w:t>
      </w:r>
    </w:p>
    <w:p w:rsidR="009F749B" w:rsidRDefault="009F749B" w:rsidP="009F749B">
      <w:pPr>
        <w:rPr>
          <w:rFonts w:eastAsiaTheme="minorHAnsi"/>
          <w:b/>
          <w:bCs/>
          <w:color w:val="FF0000"/>
        </w:rPr>
      </w:pPr>
    </w:p>
    <w:p w:rsidR="009F749B" w:rsidRDefault="009F749B" w:rsidP="009F749B">
      <w:r>
        <w:t xml:space="preserve">Grant Thornton </w:t>
      </w:r>
      <w:proofErr w:type="gramStart"/>
      <w:r>
        <w:t>are</w:t>
      </w:r>
      <w:proofErr w:type="gramEnd"/>
      <w:r>
        <w:t xml:space="preserve"> the auditors appointed to audit the Trust’s statutory accounts. They provide audit and related services carried out in relation to the statutory audit e.g. reporting to the Department of Health.</w:t>
      </w:r>
    </w:p>
    <w:p w:rsidR="009F749B" w:rsidRDefault="009F749B" w:rsidP="009F749B"/>
    <w:p w:rsidR="009F749B" w:rsidRDefault="009F749B" w:rsidP="009F749B">
      <w:r>
        <w:t>The audit report gives the auditor’s opinion stating whether the accounts give a ‘true and fair’ view of the Trust’s financial position for the year. This opinion includes an assessment of whether the annual report is consistent with their knowledge of the Trust.</w:t>
      </w:r>
    </w:p>
    <w:p w:rsidR="009F749B" w:rsidRDefault="009F749B" w:rsidP="009F749B"/>
    <w:p w:rsidR="009F749B" w:rsidRDefault="009F749B" w:rsidP="009F749B">
      <w:r>
        <w:t>The audit opinion, for 2014/15 was that the accounts do give a ‘true and fair’ view and have been prepared in accordance with accounting policies.</w:t>
      </w:r>
    </w:p>
    <w:p w:rsidR="009F749B" w:rsidRDefault="009F749B" w:rsidP="009F749B"/>
    <w:p w:rsidR="009F749B" w:rsidRDefault="009F749B" w:rsidP="009F749B">
      <w:pPr>
        <w:rPr>
          <w:color w:val="FF0000"/>
        </w:rPr>
      </w:pPr>
      <w:r>
        <w:t>The audit report also comments on the Trusts arrangements for securing economy, efficiency and effectiveness. The opinion states that the auditor is satisfied that in all significant respects Weston Area Health NHS Trust put in place proper arrangements to secure economy, efficiency and effectiveness in its use of resources for the year ending 31 March 2015, except for matters in relation to financial resilience</w:t>
      </w:r>
      <w:r w:rsidR="0028070C">
        <w:t>.</w:t>
      </w:r>
      <w:r>
        <w:t xml:space="preserve"> </w:t>
      </w:r>
    </w:p>
    <w:p w:rsidR="009F749B" w:rsidRDefault="009F749B" w:rsidP="009F749B">
      <w:pPr>
        <w:ind w:firstLine="360"/>
      </w:pPr>
    </w:p>
    <w:p w:rsidR="009F749B" w:rsidRDefault="009F749B" w:rsidP="009F749B">
      <w:r>
        <w:t>In 2014/15, the Trust’s external audit fees were £88,000 compared to £88,000 in 2013/14.</w:t>
      </w:r>
    </w:p>
    <w:p w:rsidR="00645A24" w:rsidRDefault="00645A24" w:rsidP="00586C16">
      <w:pPr>
        <w:pStyle w:val="Heading2"/>
      </w:pPr>
    </w:p>
    <w:p w:rsidR="00645A24" w:rsidRDefault="00645A24" w:rsidP="00645A24">
      <w:pPr>
        <w:pStyle w:val="Heading2"/>
      </w:pPr>
      <w:r w:rsidRPr="00F36E46">
        <w:t>2.1</w:t>
      </w:r>
      <w:r>
        <w:t>2</w:t>
      </w:r>
      <w:r w:rsidRPr="00F36E46">
        <w:t xml:space="preserve"> Protecting </w:t>
      </w:r>
      <w:r>
        <w:t>I</w:t>
      </w:r>
      <w:r w:rsidRPr="00F36E46">
        <w:t>nformation</w:t>
      </w:r>
    </w:p>
    <w:p w:rsidR="00645A24" w:rsidRDefault="00645A24" w:rsidP="00645A24">
      <w:pPr>
        <w:tabs>
          <w:tab w:val="left" w:pos="-720"/>
          <w:tab w:val="left" w:pos="0"/>
        </w:tabs>
        <w:suppressAutoHyphens/>
        <w:rPr>
          <w:rFonts w:cs="Arial"/>
          <w:spacing w:val="-3"/>
        </w:rPr>
      </w:pPr>
    </w:p>
    <w:p w:rsidR="00645A24" w:rsidRPr="009C7AF7" w:rsidRDefault="00645A24" w:rsidP="00645A24">
      <w:pPr>
        <w:tabs>
          <w:tab w:val="left" w:pos="-720"/>
          <w:tab w:val="left" w:pos="0"/>
        </w:tabs>
        <w:suppressAutoHyphens/>
        <w:rPr>
          <w:rFonts w:cs="Arial"/>
          <w:spacing w:val="-3"/>
        </w:rPr>
      </w:pPr>
      <w:r w:rsidRPr="009C7AF7">
        <w:rPr>
          <w:rFonts w:cs="Arial"/>
          <w:spacing w:val="-3"/>
        </w:rPr>
        <w:t>The role of Senior Risk Information Owner is performed by the Director of Finance</w:t>
      </w:r>
      <w:r>
        <w:rPr>
          <w:rFonts w:cs="Arial"/>
          <w:spacing w:val="-3"/>
        </w:rPr>
        <w:t xml:space="preserve">. </w:t>
      </w:r>
      <w:r w:rsidRPr="009C7AF7">
        <w:rPr>
          <w:rFonts w:cs="Arial"/>
          <w:spacing w:val="-3"/>
        </w:rPr>
        <w:t>Information risks are managed and controlled through the Trust’s programme of compliance with the Information Governance Toolkit, the Health Informatics Committee and through the implementation of the Information Governance assurance programme.</w:t>
      </w:r>
    </w:p>
    <w:p w:rsidR="00645A24" w:rsidRPr="009C7AF7" w:rsidRDefault="00645A24" w:rsidP="00645A24">
      <w:pPr>
        <w:tabs>
          <w:tab w:val="left" w:pos="-720"/>
          <w:tab w:val="left" w:pos="0"/>
        </w:tabs>
        <w:suppressAutoHyphens/>
        <w:rPr>
          <w:rFonts w:cs="Arial"/>
          <w:spacing w:val="-3"/>
        </w:rPr>
      </w:pPr>
    </w:p>
    <w:p w:rsidR="00645A24" w:rsidRDefault="00645A24" w:rsidP="00645A24">
      <w:pPr>
        <w:rPr>
          <w:rFonts w:cs="Arial"/>
        </w:rPr>
      </w:pPr>
      <w:r>
        <w:rPr>
          <w:rFonts w:cs="Arial"/>
        </w:rPr>
        <w:t>There were no serious</w:t>
      </w:r>
      <w:r w:rsidRPr="009C7AF7">
        <w:rPr>
          <w:rFonts w:cs="Arial"/>
        </w:rPr>
        <w:t xml:space="preserve"> incidents involving data loss in 201</w:t>
      </w:r>
      <w:r>
        <w:rPr>
          <w:rFonts w:cs="Arial"/>
        </w:rPr>
        <w:t>4</w:t>
      </w:r>
      <w:r w:rsidRPr="009C7AF7">
        <w:rPr>
          <w:rFonts w:cs="Arial"/>
        </w:rPr>
        <w:t>/1</w:t>
      </w:r>
      <w:r>
        <w:rPr>
          <w:rFonts w:cs="Arial"/>
        </w:rPr>
        <w:t>5</w:t>
      </w:r>
      <w:r w:rsidRPr="009C7AF7">
        <w:rPr>
          <w:rFonts w:cs="Arial"/>
        </w:rPr>
        <w:t>.</w:t>
      </w:r>
    </w:p>
    <w:p w:rsidR="00645A24" w:rsidRPr="009C7AF7" w:rsidRDefault="00645A24" w:rsidP="00645A24">
      <w:pPr>
        <w:rPr>
          <w:rFonts w:cs="Arial"/>
        </w:rPr>
      </w:pPr>
    </w:p>
    <w:p w:rsidR="00645A24" w:rsidRDefault="00645A24" w:rsidP="00645A24">
      <w:pPr>
        <w:pStyle w:val="Heading2"/>
      </w:pPr>
      <w:r w:rsidRPr="00F36E46">
        <w:t>2.1</w:t>
      </w:r>
      <w:r>
        <w:t>3 Compliance with Charges for I</w:t>
      </w:r>
      <w:r w:rsidRPr="00F36E46">
        <w:t>nformation</w:t>
      </w:r>
    </w:p>
    <w:p w:rsidR="00645A24" w:rsidRPr="001F0C9D" w:rsidRDefault="00645A24" w:rsidP="00645A24">
      <w:pPr>
        <w:rPr>
          <w:b/>
          <w:color w:val="FF0000"/>
        </w:rPr>
      </w:pPr>
    </w:p>
    <w:p w:rsidR="00645A24" w:rsidRDefault="00645A24" w:rsidP="00645A24">
      <w:pPr>
        <w:pStyle w:val="Heading2"/>
        <w:pBdr>
          <w:bottom w:val="none" w:sz="0" w:space="0" w:color="auto"/>
        </w:pBdr>
        <w:rPr>
          <w:rFonts w:cs="Arial"/>
          <w:b w:val="0"/>
          <w:color w:val="auto"/>
          <w:sz w:val="22"/>
          <w:szCs w:val="22"/>
        </w:rPr>
      </w:pPr>
      <w:r w:rsidRPr="00645A24">
        <w:rPr>
          <w:rFonts w:cs="Arial"/>
          <w:b w:val="0"/>
          <w:color w:val="auto"/>
          <w:sz w:val="22"/>
          <w:szCs w:val="22"/>
        </w:rPr>
        <w:t>The Trust has complied with the Treasury’s guidance on setting charges for information as required.</w:t>
      </w:r>
      <w:bookmarkEnd w:id="63"/>
      <w:bookmarkEnd w:id="64"/>
      <w:bookmarkEnd w:id="65"/>
      <w:bookmarkEnd w:id="66"/>
      <w:bookmarkEnd w:id="67"/>
    </w:p>
    <w:p w:rsidR="00645A24" w:rsidRDefault="00645A24" w:rsidP="00645A24">
      <w:pPr>
        <w:pStyle w:val="Heading2"/>
        <w:pBdr>
          <w:bottom w:val="none" w:sz="0" w:space="0" w:color="auto"/>
        </w:pBdr>
        <w:rPr>
          <w:rFonts w:cs="Arial"/>
          <w:b w:val="0"/>
          <w:color w:val="auto"/>
          <w:sz w:val="22"/>
          <w:szCs w:val="22"/>
        </w:rPr>
      </w:pPr>
    </w:p>
    <w:p w:rsidR="00F93ABB" w:rsidRPr="00645A24" w:rsidRDefault="00F93ABB" w:rsidP="00645A24">
      <w:pPr>
        <w:pStyle w:val="Heading2"/>
        <w:pBdr>
          <w:bottom w:val="none" w:sz="0" w:space="0" w:color="auto"/>
        </w:pBdr>
        <w:rPr>
          <w:rFonts w:cs="Arial"/>
          <w:b w:val="0"/>
          <w:color w:val="auto"/>
          <w:sz w:val="22"/>
          <w:szCs w:val="22"/>
        </w:rPr>
      </w:pPr>
      <w:r w:rsidRPr="00645A24">
        <w:rPr>
          <w:rFonts w:cs="Arial"/>
          <w:b w:val="0"/>
          <w:color w:val="auto"/>
          <w:sz w:val="22"/>
          <w:szCs w:val="22"/>
        </w:rPr>
        <w:br w:type="page"/>
      </w:r>
    </w:p>
    <w:p w:rsidR="00F93ABB" w:rsidRPr="00D31C09" w:rsidRDefault="00F93ABB" w:rsidP="00636EB5">
      <w:pPr>
        <w:pStyle w:val="Title"/>
        <w:rPr>
          <w:color w:val="auto"/>
        </w:rPr>
      </w:pPr>
      <w:bookmarkStart w:id="68" w:name="_Toc325024794"/>
      <w:r>
        <w:lastRenderedPageBreak/>
        <w:t xml:space="preserve">Section 3: </w:t>
      </w:r>
      <w:r w:rsidRPr="00551E08">
        <w:t>R</w:t>
      </w:r>
      <w:r>
        <w:t>emuneration Report</w:t>
      </w:r>
      <w:r w:rsidRPr="00551E08">
        <w:t xml:space="preserve"> </w:t>
      </w:r>
      <w:r w:rsidRPr="00D31C09">
        <w:rPr>
          <w:color w:val="auto"/>
        </w:rPr>
        <w:t>201</w:t>
      </w:r>
      <w:r w:rsidR="00F16BC0">
        <w:rPr>
          <w:color w:val="auto"/>
        </w:rPr>
        <w:t>4</w:t>
      </w:r>
      <w:r w:rsidRPr="00D31C09">
        <w:rPr>
          <w:color w:val="auto"/>
        </w:rPr>
        <w:t>/1</w:t>
      </w:r>
      <w:bookmarkEnd w:id="68"/>
      <w:r w:rsidR="00F16BC0">
        <w:rPr>
          <w:color w:val="auto"/>
        </w:rPr>
        <w:t>5</w:t>
      </w:r>
    </w:p>
    <w:p w:rsidR="00E03B20" w:rsidRPr="00DD3C49" w:rsidRDefault="00E03B20" w:rsidP="00E03B20">
      <w:pPr>
        <w:pStyle w:val="Heading1"/>
        <w:rPr>
          <w:color w:val="0070C0"/>
        </w:rPr>
      </w:pPr>
      <w:r w:rsidRPr="00DD3C49">
        <w:rPr>
          <w:color w:val="0070C0"/>
        </w:rPr>
        <w:t>3.1 Remuneration Report 2014/15</w:t>
      </w:r>
    </w:p>
    <w:p w:rsidR="00E03B20" w:rsidRDefault="00E03B20" w:rsidP="00E03B20">
      <w:pPr>
        <w:rPr>
          <w:rFonts w:cs="Arial"/>
        </w:rPr>
      </w:pPr>
    </w:p>
    <w:p w:rsidR="00E03B20" w:rsidRDefault="00E03B20" w:rsidP="00E03B20">
      <w:pPr>
        <w:pStyle w:val="BodyText"/>
        <w:rPr>
          <w:rFonts w:cs="Arial"/>
        </w:rPr>
      </w:pPr>
      <w:r w:rsidRPr="00D92DBC">
        <w:rPr>
          <w:rFonts w:cs="Arial"/>
        </w:rPr>
        <w:t>The C</w:t>
      </w:r>
      <w:r>
        <w:rPr>
          <w:rFonts w:cs="Arial"/>
        </w:rPr>
        <w:t>hair and all Non-Executive Directors of the Trust form the R</w:t>
      </w:r>
      <w:r w:rsidRPr="00D92DBC">
        <w:rPr>
          <w:rFonts w:cs="Arial"/>
        </w:rPr>
        <w:t>emuneration</w:t>
      </w:r>
      <w:r>
        <w:rPr>
          <w:rFonts w:cs="Arial"/>
        </w:rPr>
        <w:t xml:space="preserve"> and Terms of Service C</w:t>
      </w:r>
      <w:r w:rsidRPr="00D92DBC">
        <w:rPr>
          <w:rFonts w:cs="Arial"/>
        </w:rPr>
        <w:t>ommittee with the Chair of the</w:t>
      </w:r>
      <w:r>
        <w:rPr>
          <w:rFonts w:cs="Arial"/>
        </w:rPr>
        <w:t xml:space="preserve"> Trust also being Chair of the C</w:t>
      </w:r>
      <w:r w:rsidRPr="00D92DBC">
        <w:rPr>
          <w:rFonts w:cs="Arial"/>
        </w:rPr>
        <w:t>ommittee.</w:t>
      </w:r>
    </w:p>
    <w:p w:rsidR="00E03B20" w:rsidRPr="00D92DBC" w:rsidRDefault="00E03B20" w:rsidP="00E03B20">
      <w:pPr>
        <w:pStyle w:val="BodyText"/>
        <w:rPr>
          <w:rFonts w:cs="Arial"/>
        </w:rPr>
      </w:pPr>
    </w:p>
    <w:p w:rsidR="00E03B20" w:rsidRPr="00D92DBC" w:rsidRDefault="00E03B20" w:rsidP="00E03B20">
      <w:pPr>
        <w:pStyle w:val="BodyText"/>
        <w:rPr>
          <w:rFonts w:cs="Arial"/>
        </w:rPr>
      </w:pPr>
      <w:r>
        <w:rPr>
          <w:rFonts w:cs="Arial"/>
        </w:rPr>
        <w:t>The C</w:t>
      </w:r>
      <w:r w:rsidRPr="00D92DBC">
        <w:rPr>
          <w:rFonts w:cs="Arial"/>
        </w:rPr>
        <w:t>ommitt</w:t>
      </w:r>
      <w:r>
        <w:rPr>
          <w:rFonts w:cs="Arial"/>
        </w:rPr>
        <w:t>ee reviews the salaries of the Executive D</w:t>
      </w:r>
      <w:r w:rsidRPr="00D92DBC">
        <w:rPr>
          <w:rFonts w:cs="Arial"/>
        </w:rPr>
        <w:t xml:space="preserve">irectors of the Trust taking regard of </w:t>
      </w:r>
      <w:r w:rsidRPr="00B04E2F">
        <w:rPr>
          <w:rFonts w:cs="Arial"/>
        </w:rPr>
        <w:t>duties and responsibility, span of control and rates of pay prevalent at the time of recruitment.  The variation to this arrangement is the Executive Medical Director, who receive</w:t>
      </w:r>
      <w:r>
        <w:rPr>
          <w:rFonts w:cs="Arial"/>
        </w:rPr>
        <w:t>s</w:t>
      </w:r>
      <w:r w:rsidRPr="00B04E2F">
        <w:rPr>
          <w:rFonts w:cs="Arial"/>
        </w:rPr>
        <w:t xml:space="preserve"> remuneration for clinical duties </w:t>
      </w:r>
      <w:r>
        <w:rPr>
          <w:rFonts w:cs="Arial"/>
        </w:rPr>
        <w:t>together with remuneration for E</w:t>
      </w:r>
      <w:r w:rsidRPr="00B04E2F">
        <w:rPr>
          <w:rFonts w:cs="Arial"/>
        </w:rPr>
        <w:t>xecutive duties. Executive Directors do not receive performance related pay.</w:t>
      </w:r>
    </w:p>
    <w:p w:rsidR="00E03B20" w:rsidRPr="00D92DBC" w:rsidRDefault="00E03B20" w:rsidP="00E03B20">
      <w:pPr>
        <w:pStyle w:val="BodyText"/>
        <w:rPr>
          <w:rFonts w:cs="Arial"/>
          <w:sz w:val="18"/>
          <w:szCs w:val="18"/>
        </w:rPr>
      </w:pPr>
    </w:p>
    <w:p w:rsidR="00E03B20" w:rsidRDefault="00E03B20" w:rsidP="00E03B20">
      <w:pPr>
        <w:pStyle w:val="BodyText"/>
        <w:rPr>
          <w:rFonts w:cs="Arial"/>
        </w:rPr>
      </w:pPr>
      <w:r w:rsidRPr="00D92DBC">
        <w:rPr>
          <w:rFonts w:cs="Arial"/>
        </w:rPr>
        <w:t>The Executive Directors of the Trust with voting rights on the Board were appointed on the following dates:</w:t>
      </w:r>
    </w:p>
    <w:p w:rsidR="00E03B20" w:rsidRPr="00C60677" w:rsidRDefault="00E03B20" w:rsidP="00E03B20">
      <w:pPr>
        <w:pStyle w:val="BodyText"/>
        <w:rPr>
          <w:rFonts w:cs="Arial"/>
        </w:rPr>
      </w:pPr>
    </w:p>
    <w:p w:rsidR="00E03B20" w:rsidRPr="00C60677" w:rsidRDefault="00E03B20" w:rsidP="00E03B20">
      <w:pPr>
        <w:pStyle w:val="BodyText"/>
        <w:numPr>
          <w:ilvl w:val="0"/>
          <w:numId w:val="30"/>
        </w:numPr>
        <w:spacing w:after="0"/>
        <w:rPr>
          <w:rFonts w:cs="Arial"/>
        </w:rPr>
      </w:pPr>
      <w:r w:rsidRPr="00C60677">
        <w:rPr>
          <w:rFonts w:cs="Arial"/>
        </w:rPr>
        <w:t xml:space="preserve">N Wood, </w:t>
      </w:r>
      <w:r>
        <w:rPr>
          <w:rFonts w:cs="Arial"/>
        </w:rPr>
        <w:t xml:space="preserve">Interim </w:t>
      </w:r>
      <w:r w:rsidRPr="00C60677">
        <w:rPr>
          <w:rFonts w:cs="Arial"/>
        </w:rPr>
        <w:t>Chief Executive</w:t>
      </w:r>
      <w:r>
        <w:rPr>
          <w:rFonts w:cs="Arial"/>
        </w:rPr>
        <w:t xml:space="preserve"> (from 01/04/20</w:t>
      </w:r>
      <w:r w:rsidRPr="00C60677">
        <w:rPr>
          <w:rFonts w:cs="Arial"/>
        </w:rPr>
        <w:t>13</w:t>
      </w:r>
      <w:r>
        <w:rPr>
          <w:rFonts w:cs="Arial"/>
        </w:rPr>
        <w:t xml:space="preserve"> to 30/09/2013) Chief Executive (from 01/10/2013)</w:t>
      </w:r>
    </w:p>
    <w:p w:rsidR="00E03B20" w:rsidRPr="00C60677" w:rsidRDefault="00E03B20" w:rsidP="00E03B20">
      <w:pPr>
        <w:pStyle w:val="BodyText"/>
        <w:numPr>
          <w:ilvl w:val="0"/>
          <w:numId w:val="30"/>
        </w:numPr>
        <w:spacing w:after="0"/>
        <w:rPr>
          <w:rFonts w:cs="Arial"/>
        </w:rPr>
      </w:pPr>
      <w:r w:rsidRPr="00C60677">
        <w:rPr>
          <w:rFonts w:cs="Arial"/>
        </w:rPr>
        <w:t>R Little, Director of Finance and IM&amp;T (from 01/07/</w:t>
      </w:r>
      <w:r>
        <w:rPr>
          <w:rFonts w:cs="Arial"/>
        </w:rPr>
        <w:t>20</w:t>
      </w:r>
      <w:r w:rsidRPr="00C60677">
        <w:rPr>
          <w:rFonts w:cs="Arial"/>
        </w:rPr>
        <w:t>10)</w:t>
      </w:r>
    </w:p>
    <w:p w:rsidR="00E03B20" w:rsidRPr="006D3984" w:rsidRDefault="00E03B20" w:rsidP="00E03B20">
      <w:pPr>
        <w:pStyle w:val="BodyText"/>
        <w:numPr>
          <w:ilvl w:val="0"/>
          <w:numId w:val="30"/>
        </w:numPr>
        <w:spacing w:after="0"/>
        <w:rPr>
          <w:rFonts w:cs="Arial"/>
          <w:color w:val="FF0000"/>
        </w:rPr>
      </w:pPr>
      <w:r w:rsidRPr="00C60677">
        <w:rPr>
          <w:rFonts w:cs="Arial"/>
        </w:rPr>
        <w:t>N Gallegos, Executive Medical Director (</w:t>
      </w:r>
      <w:r w:rsidRPr="006C03D3">
        <w:rPr>
          <w:rFonts w:cs="Arial"/>
        </w:rPr>
        <w:t>from 01/05/</w:t>
      </w:r>
      <w:r>
        <w:rPr>
          <w:rFonts w:cs="Arial"/>
        </w:rPr>
        <w:t>20</w:t>
      </w:r>
      <w:r w:rsidRPr="006C03D3">
        <w:rPr>
          <w:rFonts w:cs="Arial"/>
        </w:rPr>
        <w:t>10</w:t>
      </w:r>
      <w:r>
        <w:rPr>
          <w:rFonts w:cs="Arial"/>
        </w:rPr>
        <w:t xml:space="preserve"> to 30/04/2014</w:t>
      </w:r>
      <w:r w:rsidRPr="006C03D3">
        <w:rPr>
          <w:rFonts w:cs="Arial"/>
        </w:rPr>
        <w:t>)</w:t>
      </w:r>
    </w:p>
    <w:p w:rsidR="00E03B20" w:rsidRPr="006D3984" w:rsidRDefault="00E03B20" w:rsidP="00E03B20">
      <w:pPr>
        <w:pStyle w:val="BodyText"/>
        <w:numPr>
          <w:ilvl w:val="0"/>
          <w:numId w:val="30"/>
        </w:numPr>
        <w:spacing w:after="0"/>
        <w:rPr>
          <w:rFonts w:cs="Arial"/>
          <w:color w:val="FF0000"/>
        </w:rPr>
      </w:pPr>
      <w:r>
        <w:rPr>
          <w:rFonts w:cs="Arial"/>
        </w:rPr>
        <w:t>A</w:t>
      </w:r>
      <w:r w:rsidRPr="00C60677">
        <w:rPr>
          <w:rFonts w:cs="Arial"/>
        </w:rPr>
        <w:t xml:space="preserve"> </w:t>
      </w:r>
      <w:r>
        <w:rPr>
          <w:rFonts w:cs="Arial"/>
        </w:rPr>
        <w:t>Martin</w:t>
      </w:r>
      <w:r w:rsidRPr="00C60677">
        <w:rPr>
          <w:rFonts w:cs="Arial"/>
        </w:rPr>
        <w:t xml:space="preserve">, </w:t>
      </w:r>
      <w:r>
        <w:rPr>
          <w:rFonts w:cs="Arial"/>
        </w:rPr>
        <w:t xml:space="preserve">Interim </w:t>
      </w:r>
      <w:r w:rsidRPr="00C60677">
        <w:rPr>
          <w:rFonts w:cs="Arial"/>
        </w:rPr>
        <w:t>Executive Medical Director (</w:t>
      </w:r>
      <w:r w:rsidRPr="006C03D3">
        <w:rPr>
          <w:rFonts w:cs="Arial"/>
        </w:rPr>
        <w:t>from 01/05/</w:t>
      </w:r>
      <w:r>
        <w:rPr>
          <w:rFonts w:cs="Arial"/>
        </w:rPr>
        <w:t>2014</w:t>
      </w:r>
      <w:r w:rsidRPr="006D3984">
        <w:rPr>
          <w:rFonts w:cs="Arial"/>
        </w:rPr>
        <w:t>)</w:t>
      </w:r>
    </w:p>
    <w:p w:rsidR="00E03B20" w:rsidRDefault="00E03B20" w:rsidP="00E03B20">
      <w:pPr>
        <w:pStyle w:val="BodyText"/>
        <w:numPr>
          <w:ilvl w:val="0"/>
          <w:numId w:val="30"/>
        </w:numPr>
        <w:spacing w:after="0"/>
        <w:rPr>
          <w:rFonts w:cs="Arial"/>
        </w:rPr>
      </w:pPr>
      <w:r>
        <w:rPr>
          <w:rFonts w:cs="Arial"/>
        </w:rPr>
        <w:t xml:space="preserve">C Perry, </w:t>
      </w:r>
      <w:r w:rsidRPr="00424934">
        <w:rPr>
          <w:rFonts w:cs="Arial"/>
        </w:rPr>
        <w:t>Interim Director of Nursing (from 01/04/2013 to 30/09/2013) Director of Nursing (from 01/10/</w:t>
      </w:r>
      <w:r>
        <w:rPr>
          <w:rFonts w:cs="Arial"/>
        </w:rPr>
        <w:t>20</w:t>
      </w:r>
      <w:r w:rsidRPr="00424934">
        <w:rPr>
          <w:rFonts w:cs="Arial"/>
        </w:rPr>
        <w:t>13)</w:t>
      </w:r>
    </w:p>
    <w:p w:rsidR="00E03B20" w:rsidRPr="00917830" w:rsidRDefault="00E03B20" w:rsidP="00E03B20">
      <w:pPr>
        <w:pStyle w:val="BodyText"/>
        <w:numPr>
          <w:ilvl w:val="0"/>
          <w:numId w:val="30"/>
        </w:numPr>
        <w:spacing w:after="0"/>
        <w:rPr>
          <w:rFonts w:cs="Arial"/>
          <w:sz w:val="18"/>
          <w:szCs w:val="18"/>
        </w:rPr>
      </w:pPr>
      <w:r w:rsidRPr="00917830">
        <w:rPr>
          <w:rFonts w:cs="Arial"/>
        </w:rPr>
        <w:t>B Bishop, Director of Strategic Development (from 01/10/</w:t>
      </w:r>
      <w:r>
        <w:rPr>
          <w:rFonts w:cs="Arial"/>
        </w:rPr>
        <w:t>20</w:t>
      </w:r>
      <w:r w:rsidRPr="00917830">
        <w:rPr>
          <w:rFonts w:cs="Arial"/>
        </w:rPr>
        <w:t>08)</w:t>
      </w:r>
    </w:p>
    <w:p w:rsidR="00E03B20" w:rsidRPr="00917830" w:rsidRDefault="00E03B20" w:rsidP="00E03B20">
      <w:pPr>
        <w:pStyle w:val="BodyText"/>
        <w:ind w:left="360"/>
        <w:rPr>
          <w:rFonts w:cs="Arial"/>
          <w:sz w:val="18"/>
          <w:szCs w:val="18"/>
        </w:rPr>
      </w:pPr>
    </w:p>
    <w:p w:rsidR="00E03B20" w:rsidRDefault="00E03B20" w:rsidP="00E03B20">
      <w:pPr>
        <w:pStyle w:val="BodyText"/>
        <w:rPr>
          <w:rFonts w:cs="Arial"/>
        </w:rPr>
      </w:pPr>
      <w:r w:rsidRPr="00D92DBC">
        <w:rPr>
          <w:rFonts w:cs="Arial"/>
        </w:rPr>
        <w:t>The Executive Directors of the Trust without voting rights on the Board were appointed on the following dates:</w:t>
      </w:r>
    </w:p>
    <w:p w:rsidR="00E03B20" w:rsidRDefault="00E03B20" w:rsidP="00E03B20">
      <w:pPr>
        <w:pStyle w:val="BodyText"/>
        <w:rPr>
          <w:rFonts w:cs="Arial"/>
        </w:rPr>
      </w:pPr>
    </w:p>
    <w:p w:rsidR="00E03B20" w:rsidRDefault="00E03B20" w:rsidP="00E03B20">
      <w:pPr>
        <w:pStyle w:val="BodyText"/>
        <w:numPr>
          <w:ilvl w:val="0"/>
          <w:numId w:val="30"/>
        </w:numPr>
        <w:spacing w:after="0"/>
        <w:rPr>
          <w:rFonts w:cs="Arial"/>
        </w:rPr>
      </w:pPr>
      <w:r w:rsidRPr="00424934">
        <w:rPr>
          <w:rFonts w:cs="Arial"/>
          <w:lang w:eastAsia="en-GB"/>
        </w:rPr>
        <w:t>K Croker, Interim Director of Operati</w:t>
      </w:r>
      <w:r>
        <w:rPr>
          <w:rFonts w:cs="Arial"/>
          <w:lang w:eastAsia="en-GB"/>
        </w:rPr>
        <w:t>ons (from 02/04/2013 to 30/09/20</w:t>
      </w:r>
      <w:r w:rsidRPr="00424934">
        <w:rPr>
          <w:rFonts w:cs="Arial"/>
          <w:lang w:eastAsia="en-GB"/>
        </w:rPr>
        <w:t>13) Director of Operations (from 01/10/</w:t>
      </w:r>
      <w:r>
        <w:rPr>
          <w:rFonts w:cs="Arial"/>
          <w:lang w:eastAsia="en-GB"/>
        </w:rPr>
        <w:t>20</w:t>
      </w:r>
      <w:r w:rsidRPr="00424934">
        <w:rPr>
          <w:rFonts w:cs="Arial"/>
          <w:lang w:eastAsia="en-GB"/>
        </w:rPr>
        <w:t>13)</w:t>
      </w:r>
    </w:p>
    <w:p w:rsidR="00E03B20" w:rsidRPr="00EA2F2E" w:rsidRDefault="00E03B20" w:rsidP="00E03B20">
      <w:pPr>
        <w:pStyle w:val="BodyText"/>
        <w:numPr>
          <w:ilvl w:val="0"/>
          <w:numId w:val="30"/>
        </w:numPr>
        <w:spacing w:after="0"/>
        <w:rPr>
          <w:rFonts w:cs="Arial"/>
        </w:rPr>
      </w:pPr>
      <w:r w:rsidRPr="00EA2F2E">
        <w:rPr>
          <w:rFonts w:cs="Arial"/>
          <w:lang w:eastAsia="en-GB"/>
        </w:rPr>
        <w:t>S Flavin, Interim Director of H</w:t>
      </w:r>
      <w:r>
        <w:rPr>
          <w:rFonts w:cs="Arial"/>
          <w:lang w:eastAsia="en-GB"/>
        </w:rPr>
        <w:t xml:space="preserve">uman </w:t>
      </w:r>
      <w:r w:rsidRPr="00EA2F2E">
        <w:rPr>
          <w:rFonts w:cs="Arial"/>
          <w:lang w:eastAsia="en-GB"/>
        </w:rPr>
        <w:t>R</w:t>
      </w:r>
      <w:r>
        <w:rPr>
          <w:rFonts w:cs="Arial"/>
          <w:lang w:eastAsia="en-GB"/>
        </w:rPr>
        <w:t>esources (from 01/10/2012 to 30/09/20</w:t>
      </w:r>
      <w:r w:rsidRPr="00EA2F2E">
        <w:rPr>
          <w:rFonts w:cs="Arial"/>
          <w:lang w:eastAsia="en-GB"/>
        </w:rPr>
        <w:t>13) Director of H</w:t>
      </w:r>
      <w:r>
        <w:rPr>
          <w:rFonts w:cs="Arial"/>
          <w:lang w:eastAsia="en-GB"/>
        </w:rPr>
        <w:t xml:space="preserve">uman </w:t>
      </w:r>
      <w:r w:rsidRPr="00EA2F2E">
        <w:rPr>
          <w:rFonts w:cs="Arial"/>
          <w:lang w:eastAsia="en-GB"/>
        </w:rPr>
        <w:t>R</w:t>
      </w:r>
      <w:r>
        <w:rPr>
          <w:rFonts w:cs="Arial"/>
          <w:lang w:eastAsia="en-GB"/>
        </w:rPr>
        <w:t>esources</w:t>
      </w:r>
      <w:r w:rsidRPr="00EA2F2E">
        <w:rPr>
          <w:rFonts w:cs="Arial"/>
          <w:lang w:eastAsia="en-GB"/>
        </w:rPr>
        <w:t xml:space="preserve"> (from 01/10/2013)</w:t>
      </w:r>
    </w:p>
    <w:p w:rsidR="00E03B20" w:rsidRPr="00EA2F2E" w:rsidRDefault="00E03B20" w:rsidP="00E03B20">
      <w:pPr>
        <w:pStyle w:val="BodyText"/>
        <w:rPr>
          <w:rFonts w:cs="Arial"/>
        </w:rPr>
      </w:pPr>
    </w:p>
    <w:p w:rsidR="00E03B20" w:rsidRPr="00EA2F2E" w:rsidRDefault="00E03B20" w:rsidP="00E03B20">
      <w:pPr>
        <w:pStyle w:val="BodyText"/>
        <w:rPr>
          <w:rFonts w:cs="Arial"/>
        </w:rPr>
      </w:pPr>
      <w:proofErr w:type="spellStart"/>
      <w:r>
        <w:rPr>
          <w:rFonts w:cs="Arial"/>
        </w:rPr>
        <w:t>Mr</w:t>
      </w:r>
      <w:proofErr w:type="spellEnd"/>
      <w:r>
        <w:rPr>
          <w:rFonts w:cs="Arial"/>
        </w:rPr>
        <w:t xml:space="preserve"> N Gallegos was the only Executive Director to stand down from his Director duties during the year 2014/15 but continued his Consultant General Surgeon duties with the Trust</w:t>
      </w:r>
      <w:r w:rsidRPr="00EA2F2E">
        <w:rPr>
          <w:rFonts w:cs="Arial"/>
        </w:rPr>
        <w:t>.</w:t>
      </w:r>
    </w:p>
    <w:p w:rsidR="00E03B20" w:rsidRPr="00EA2F2E" w:rsidRDefault="00E03B20" w:rsidP="00E03B20">
      <w:pPr>
        <w:pStyle w:val="BodyText"/>
        <w:rPr>
          <w:rFonts w:cs="Arial"/>
          <w:sz w:val="18"/>
          <w:szCs w:val="18"/>
        </w:rPr>
      </w:pPr>
    </w:p>
    <w:p w:rsidR="00E03B20" w:rsidRPr="00EA2F2E" w:rsidRDefault="00E03B20" w:rsidP="00E03B20">
      <w:pPr>
        <w:pStyle w:val="BodyText"/>
        <w:rPr>
          <w:rFonts w:cs="Arial"/>
        </w:rPr>
      </w:pPr>
      <w:r w:rsidRPr="00EA2F2E">
        <w:rPr>
          <w:rFonts w:cs="Arial"/>
        </w:rPr>
        <w:t xml:space="preserve">Executive Directors are employed on permanent contracts and are required to give six months notice of termination to the Trust with the Trust being required to give six months notice to individuals.  No payments are awarded for the early termination of a contract. </w:t>
      </w:r>
    </w:p>
    <w:p w:rsidR="00E03B20" w:rsidRPr="00EA2F2E" w:rsidRDefault="00E03B20" w:rsidP="00E03B20">
      <w:pPr>
        <w:pStyle w:val="BodyText"/>
        <w:rPr>
          <w:rFonts w:cs="Arial"/>
          <w:sz w:val="18"/>
          <w:szCs w:val="18"/>
        </w:rPr>
      </w:pPr>
    </w:p>
    <w:p w:rsidR="00E03B20" w:rsidRPr="00EA2F2E" w:rsidRDefault="00E03B20" w:rsidP="00E03B20">
      <w:pPr>
        <w:pStyle w:val="BodyText"/>
        <w:rPr>
          <w:rFonts w:cs="Arial"/>
        </w:rPr>
      </w:pPr>
      <w:r w:rsidRPr="00EA2F2E">
        <w:rPr>
          <w:rFonts w:cs="Arial"/>
        </w:rPr>
        <w:t xml:space="preserve">The NHS </w:t>
      </w:r>
      <w:r>
        <w:rPr>
          <w:rFonts w:cs="Arial"/>
        </w:rPr>
        <w:t>Trust Development Authority appoints the Chair and Non-Executive D</w:t>
      </w:r>
      <w:r w:rsidRPr="00EA2F2E">
        <w:rPr>
          <w:rFonts w:cs="Arial"/>
        </w:rPr>
        <w:t>irectors whose remuneration is determined by the Secretary of State for Health. The C</w:t>
      </w:r>
      <w:r>
        <w:rPr>
          <w:rFonts w:cs="Arial"/>
        </w:rPr>
        <w:t>hair and N</w:t>
      </w:r>
      <w:r w:rsidRPr="00EA2F2E">
        <w:rPr>
          <w:rFonts w:cs="Arial"/>
        </w:rPr>
        <w:t>on-</w:t>
      </w:r>
      <w:r>
        <w:rPr>
          <w:rFonts w:cs="Arial"/>
        </w:rPr>
        <w:t>E</w:t>
      </w:r>
      <w:r w:rsidRPr="00EA2F2E">
        <w:rPr>
          <w:rFonts w:cs="Arial"/>
        </w:rPr>
        <w:t>xecutive positions are appointed for a fixed period as determined by the Secretary of State and with immediate notice of termination.</w:t>
      </w:r>
    </w:p>
    <w:p w:rsidR="00E03B20" w:rsidRPr="00EA2F2E" w:rsidRDefault="00E03B20" w:rsidP="00E03B20">
      <w:pPr>
        <w:rPr>
          <w:rFonts w:cs="Arial"/>
          <w:sz w:val="18"/>
          <w:szCs w:val="18"/>
        </w:rPr>
      </w:pPr>
      <w:r w:rsidRPr="00EA2F2E">
        <w:rPr>
          <w:rFonts w:cs="Arial"/>
        </w:rPr>
        <w:t xml:space="preserve"> </w:t>
      </w:r>
    </w:p>
    <w:p w:rsidR="00E03B20" w:rsidRPr="00EA2F2E" w:rsidRDefault="00E03B20" w:rsidP="00E03B20">
      <w:pPr>
        <w:rPr>
          <w:rFonts w:cs="Arial"/>
        </w:rPr>
      </w:pPr>
      <w:proofErr w:type="spellStart"/>
      <w:r w:rsidRPr="00EA2F2E">
        <w:rPr>
          <w:rFonts w:cs="Arial"/>
        </w:rPr>
        <w:lastRenderedPageBreak/>
        <w:t>Mr</w:t>
      </w:r>
      <w:proofErr w:type="spellEnd"/>
      <w:r w:rsidRPr="00EA2F2E">
        <w:rPr>
          <w:rFonts w:cs="Arial"/>
        </w:rPr>
        <w:t xml:space="preserve"> P Carr was appointed to </w:t>
      </w:r>
      <w:r>
        <w:rPr>
          <w:rFonts w:cs="Arial"/>
        </w:rPr>
        <w:t>the post of</w:t>
      </w:r>
      <w:r w:rsidRPr="00EA2F2E">
        <w:rPr>
          <w:rFonts w:cs="Arial"/>
        </w:rPr>
        <w:t xml:space="preserve"> Chair from 01</w:t>
      </w:r>
      <w:r>
        <w:rPr>
          <w:rFonts w:cs="Arial"/>
        </w:rPr>
        <w:t>/08/</w:t>
      </w:r>
      <w:r w:rsidRPr="00EA2F2E">
        <w:rPr>
          <w:rFonts w:cs="Arial"/>
        </w:rPr>
        <w:t>2013 for a two year term.</w:t>
      </w:r>
    </w:p>
    <w:p w:rsidR="00E03B20" w:rsidRPr="00EA2F2E" w:rsidRDefault="00E03B20" w:rsidP="00E03B20">
      <w:pPr>
        <w:rPr>
          <w:rFonts w:cs="Arial"/>
        </w:rPr>
      </w:pPr>
    </w:p>
    <w:p w:rsidR="00E03B20" w:rsidRPr="00EA2F2E" w:rsidRDefault="00E03B20" w:rsidP="00E03B20">
      <w:pPr>
        <w:rPr>
          <w:rFonts w:cs="Arial"/>
        </w:rPr>
      </w:pPr>
      <w:r>
        <w:rPr>
          <w:rFonts w:cs="Arial"/>
        </w:rPr>
        <w:t>Other N</w:t>
      </w:r>
      <w:r w:rsidRPr="00EA2F2E">
        <w:rPr>
          <w:rFonts w:cs="Arial"/>
        </w:rPr>
        <w:t>on-</w:t>
      </w:r>
      <w:r>
        <w:rPr>
          <w:rFonts w:cs="Arial"/>
        </w:rPr>
        <w:t>Executive D</w:t>
      </w:r>
      <w:r w:rsidRPr="00EA2F2E">
        <w:rPr>
          <w:rFonts w:cs="Arial"/>
        </w:rPr>
        <w:t>irectors were appointed, or reappointed on four year appointments from the following dates:</w:t>
      </w:r>
    </w:p>
    <w:p w:rsidR="00E03B20" w:rsidRPr="00EA2F2E" w:rsidRDefault="00E03B20" w:rsidP="00E03B20">
      <w:pPr>
        <w:rPr>
          <w:rFonts w:cs="Arial"/>
        </w:rPr>
      </w:pPr>
    </w:p>
    <w:p w:rsidR="00E03B20" w:rsidRPr="00EA2F2E" w:rsidRDefault="00E03B20" w:rsidP="00E03B20">
      <w:pPr>
        <w:numPr>
          <w:ilvl w:val="0"/>
          <w:numId w:val="30"/>
        </w:numPr>
        <w:rPr>
          <w:rFonts w:cs="Arial"/>
        </w:rPr>
      </w:pPr>
      <w:r w:rsidRPr="00EA2F2E">
        <w:rPr>
          <w:rFonts w:cs="Arial"/>
        </w:rPr>
        <w:t>Ms J Ferguson</w:t>
      </w:r>
      <w:r w:rsidRPr="00EA2F2E">
        <w:rPr>
          <w:rFonts w:cs="Arial"/>
        </w:rPr>
        <w:tab/>
        <w:t>January 2013 (reappointment) resigned July 2013</w:t>
      </w:r>
    </w:p>
    <w:p w:rsidR="00E03B20" w:rsidRPr="00EA2F2E" w:rsidRDefault="00E03B20" w:rsidP="00E03B20">
      <w:pPr>
        <w:numPr>
          <w:ilvl w:val="0"/>
          <w:numId w:val="30"/>
        </w:numPr>
        <w:rPr>
          <w:rFonts w:cs="Arial"/>
        </w:rPr>
      </w:pPr>
      <w:proofErr w:type="spellStart"/>
      <w:r w:rsidRPr="00EA2F2E">
        <w:rPr>
          <w:rFonts w:cs="Arial"/>
        </w:rPr>
        <w:t>Mr</w:t>
      </w:r>
      <w:proofErr w:type="spellEnd"/>
      <w:r w:rsidRPr="00EA2F2E">
        <w:rPr>
          <w:rFonts w:cs="Arial"/>
        </w:rPr>
        <w:t xml:space="preserve"> I Turner</w:t>
      </w:r>
      <w:r w:rsidRPr="00EA2F2E">
        <w:rPr>
          <w:rFonts w:cs="Arial"/>
        </w:rPr>
        <w:tab/>
      </w:r>
      <w:r w:rsidRPr="00EA2F2E">
        <w:rPr>
          <w:rFonts w:cs="Arial"/>
        </w:rPr>
        <w:tab/>
        <w:t>August 2011 (reappointment)</w:t>
      </w:r>
    </w:p>
    <w:p w:rsidR="00E03B20" w:rsidRPr="00EA2F2E" w:rsidRDefault="00E03B20" w:rsidP="00E03B20">
      <w:pPr>
        <w:numPr>
          <w:ilvl w:val="0"/>
          <w:numId w:val="30"/>
        </w:numPr>
        <w:rPr>
          <w:rFonts w:cs="Arial"/>
        </w:rPr>
      </w:pPr>
      <w:r>
        <w:rPr>
          <w:rFonts w:cs="Arial"/>
        </w:rPr>
        <w:t>D</w:t>
      </w:r>
      <w:r w:rsidRPr="00EA2F2E">
        <w:rPr>
          <w:rFonts w:cs="Arial"/>
        </w:rPr>
        <w:t>r G Reah</w:t>
      </w:r>
      <w:r w:rsidRPr="00EA2F2E">
        <w:rPr>
          <w:rFonts w:cs="Arial"/>
        </w:rPr>
        <w:tab/>
      </w:r>
      <w:r w:rsidRPr="00EA2F2E">
        <w:rPr>
          <w:rFonts w:cs="Arial"/>
        </w:rPr>
        <w:tab/>
        <w:t>February 2012 (reappointment)</w:t>
      </w:r>
    </w:p>
    <w:p w:rsidR="00E03B20" w:rsidRPr="00EA2F2E" w:rsidRDefault="00E03B20" w:rsidP="00E03B20">
      <w:pPr>
        <w:numPr>
          <w:ilvl w:val="0"/>
          <w:numId w:val="30"/>
        </w:numPr>
        <w:rPr>
          <w:rFonts w:cs="Arial"/>
        </w:rPr>
      </w:pPr>
      <w:proofErr w:type="spellStart"/>
      <w:r w:rsidRPr="00EA2F2E">
        <w:rPr>
          <w:rFonts w:cs="Arial"/>
        </w:rPr>
        <w:t>Mr</w:t>
      </w:r>
      <w:proofErr w:type="spellEnd"/>
      <w:r w:rsidRPr="00EA2F2E">
        <w:rPr>
          <w:rFonts w:cs="Arial"/>
        </w:rPr>
        <w:t xml:space="preserve"> G Paine</w:t>
      </w:r>
      <w:r w:rsidRPr="00EA2F2E">
        <w:rPr>
          <w:rFonts w:cs="Arial"/>
        </w:rPr>
        <w:tab/>
      </w:r>
      <w:r w:rsidRPr="00EA2F2E">
        <w:rPr>
          <w:rFonts w:cs="Arial"/>
        </w:rPr>
        <w:tab/>
        <w:t>March 2012 (reappointment)</w:t>
      </w:r>
    </w:p>
    <w:p w:rsidR="00E03B20" w:rsidRPr="00EA2F2E" w:rsidRDefault="00E03B20" w:rsidP="00E03B20">
      <w:pPr>
        <w:numPr>
          <w:ilvl w:val="0"/>
          <w:numId w:val="30"/>
        </w:numPr>
        <w:rPr>
          <w:rFonts w:cs="Arial"/>
        </w:rPr>
      </w:pPr>
      <w:proofErr w:type="spellStart"/>
      <w:r w:rsidRPr="00EA2F2E">
        <w:rPr>
          <w:rFonts w:cs="Arial"/>
        </w:rPr>
        <w:t>Mr</w:t>
      </w:r>
      <w:proofErr w:type="spellEnd"/>
      <w:r w:rsidRPr="00EA2F2E">
        <w:rPr>
          <w:rFonts w:cs="Arial"/>
        </w:rPr>
        <w:t xml:space="preserve"> R Lloyd</w:t>
      </w:r>
      <w:r w:rsidRPr="00EA2F2E">
        <w:rPr>
          <w:rFonts w:cs="Arial"/>
        </w:rPr>
        <w:tab/>
      </w:r>
      <w:r w:rsidRPr="00EA2F2E">
        <w:rPr>
          <w:rFonts w:cs="Arial"/>
        </w:rPr>
        <w:tab/>
        <w:t>September 2011</w:t>
      </w:r>
      <w:r>
        <w:rPr>
          <w:rFonts w:cs="Arial"/>
        </w:rPr>
        <w:t xml:space="preserve"> (resigned April 2014)</w:t>
      </w:r>
    </w:p>
    <w:p w:rsidR="00E03B20" w:rsidRDefault="00E03B20" w:rsidP="00E03B20">
      <w:pPr>
        <w:numPr>
          <w:ilvl w:val="0"/>
          <w:numId w:val="30"/>
        </w:numPr>
        <w:rPr>
          <w:rFonts w:cs="Arial"/>
        </w:rPr>
      </w:pPr>
      <w:r w:rsidRPr="00EA2F2E">
        <w:rPr>
          <w:rFonts w:cs="Arial"/>
        </w:rPr>
        <w:t>Mrs B Musselwhite</w:t>
      </w:r>
      <w:r w:rsidRPr="00EA2F2E">
        <w:rPr>
          <w:rFonts w:cs="Arial"/>
        </w:rPr>
        <w:tab/>
        <w:t>October 2013</w:t>
      </w:r>
    </w:p>
    <w:p w:rsidR="00E03B20" w:rsidRDefault="00E03B20" w:rsidP="00E03B20">
      <w:pPr>
        <w:rPr>
          <w:rFonts w:cs="Arial"/>
        </w:rPr>
      </w:pPr>
    </w:p>
    <w:p w:rsidR="00E03B20" w:rsidRPr="00EA2F2E" w:rsidRDefault="00E03B20" w:rsidP="00E03B20">
      <w:pPr>
        <w:rPr>
          <w:rFonts w:cs="Arial"/>
        </w:rPr>
      </w:pPr>
      <w:r>
        <w:rPr>
          <w:rFonts w:cs="Arial"/>
        </w:rPr>
        <w:t xml:space="preserve">Following consultation with the NHS Trust Development Authority is was decided that due to the Trusts intended acquisition by Taunton &amp; Somerset NHS Foundation Trust that a Non-Executive Director would not be appointed into the vacancy created following the resignation of </w:t>
      </w:r>
      <w:proofErr w:type="spellStart"/>
      <w:r>
        <w:rPr>
          <w:rFonts w:cs="Arial"/>
        </w:rPr>
        <w:t>Mr</w:t>
      </w:r>
      <w:proofErr w:type="spellEnd"/>
      <w:r>
        <w:rPr>
          <w:rFonts w:cs="Arial"/>
        </w:rPr>
        <w:t xml:space="preserve"> R Lloyd in April 2014.</w:t>
      </w:r>
    </w:p>
    <w:p w:rsidR="00E03B20" w:rsidRPr="00EA2F2E" w:rsidRDefault="00E03B20" w:rsidP="00E03B20">
      <w:pPr>
        <w:rPr>
          <w:rFonts w:cs="Arial"/>
          <w:sz w:val="18"/>
          <w:szCs w:val="18"/>
        </w:rPr>
      </w:pPr>
    </w:p>
    <w:p w:rsidR="00E03B20" w:rsidRPr="00EA2F2E" w:rsidRDefault="00E03B20" w:rsidP="00E03B20">
      <w:pPr>
        <w:pStyle w:val="BodyText"/>
        <w:rPr>
          <w:rFonts w:cs="Arial"/>
        </w:rPr>
      </w:pPr>
      <w:r w:rsidRPr="00EA2F2E">
        <w:rPr>
          <w:rFonts w:cs="Arial"/>
        </w:rPr>
        <w:t>No</w:t>
      </w:r>
      <w:r>
        <w:rPr>
          <w:rFonts w:cs="Arial"/>
        </w:rPr>
        <w:t xml:space="preserve"> awards have been made to past Se</w:t>
      </w:r>
      <w:r w:rsidRPr="00EA2F2E">
        <w:rPr>
          <w:rFonts w:cs="Arial"/>
        </w:rPr>
        <w:t>n</w:t>
      </w:r>
      <w:r>
        <w:rPr>
          <w:rFonts w:cs="Arial"/>
        </w:rPr>
        <w:t>ior M</w:t>
      </w:r>
      <w:r w:rsidRPr="00EA2F2E">
        <w:rPr>
          <w:rFonts w:cs="Arial"/>
        </w:rPr>
        <w:t>anagers of the Trust.</w:t>
      </w:r>
    </w:p>
    <w:p w:rsidR="00E03B20" w:rsidRPr="00EA2F2E" w:rsidRDefault="00E03B20" w:rsidP="00E03B20">
      <w:pPr>
        <w:pStyle w:val="BodyText"/>
        <w:rPr>
          <w:rFonts w:cs="Arial"/>
          <w:sz w:val="18"/>
          <w:szCs w:val="18"/>
        </w:rPr>
      </w:pPr>
    </w:p>
    <w:p w:rsidR="00E03B20" w:rsidRPr="00D92DBC" w:rsidRDefault="00E03B20" w:rsidP="00E03B20">
      <w:pPr>
        <w:pStyle w:val="BodyText"/>
        <w:rPr>
          <w:rFonts w:cs="Arial"/>
        </w:rPr>
      </w:pPr>
      <w:r w:rsidRPr="00BD78A0">
        <w:rPr>
          <w:rFonts w:cs="Arial"/>
        </w:rPr>
        <w:t xml:space="preserve">The salaries and allowances and pension benefits for the Trust’s Senior Managers are detailed on page </w:t>
      </w:r>
      <w:r w:rsidR="00A140F4">
        <w:rPr>
          <w:rFonts w:cs="Arial"/>
        </w:rPr>
        <w:t>45</w:t>
      </w:r>
      <w:r w:rsidRPr="00BD78A0">
        <w:rPr>
          <w:rFonts w:cs="Arial"/>
        </w:rPr>
        <w:t xml:space="preserve"> to </w:t>
      </w:r>
      <w:r w:rsidR="00A140F4">
        <w:rPr>
          <w:rFonts w:cs="Arial"/>
        </w:rPr>
        <w:t>46</w:t>
      </w:r>
      <w:r w:rsidRPr="00BD78A0">
        <w:rPr>
          <w:rFonts w:cs="Arial"/>
        </w:rPr>
        <w:t xml:space="preserve"> and have</w:t>
      </w:r>
      <w:r w:rsidRPr="00D92DBC">
        <w:rPr>
          <w:rFonts w:cs="Arial"/>
        </w:rPr>
        <w:t xml:space="preserve"> been audited by Grant Thornton.</w:t>
      </w:r>
    </w:p>
    <w:p w:rsidR="00E03B20" w:rsidRPr="00D92DBC" w:rsidRDefault="00E03B20" w:rsidP="00E03B20">
      <w:pPr>
        <w:pStyle w:val="BodyText"/>
        <w:rPr>
          <w:rFonts w:cs="Arial"/>
        </w:rPr>
      </w:pPr>
    </w:p>
    <w:p w:rsidR="00E03B20" w:rsidRPr="00D92DBC" w:rsidRDefault="00E03B20" w:rsidP="00E03B20">
      <w:pPr>
        <w:pStyle w:val="BodyText"/>
        <w:rPr>
          <w:rFonts w:cs="Arial"/>
        </w:rPr>
      </w:pPr>
      <w:r w:rsidRPr="00D92DBC">
        <w:rPr>
          <w:rFonts w:cs="Arial"/>
        </w:rPr>
        <w:t>Reporting bodies are required to disclose the relationship between the remuneration of the highest-paid Director and the median remuneration of the organisation</w:t>
      </w:r>
      <w:r>
        <w:rPr>
          <w:rFonts w:cs="Arial"/>
        </w:rPr>
        <w:t>’</w:t>
      </w:r>
      <w:r w:rsidRPr="00D92DBC">
        <w:rPr>
          <w:rFonts w:cs="Arial"/>
        </w:rPr>
        <w:t xml:space="preserve">s workforce. The median employee has been calculated based </w:t>
      </w:r>
      <w:r>
        <w:rPr>
          <w:rFonts w:cs="Arial"/>
        </w:rPr>
        <w:t>on staff</w:t>
      </w:r>
      <w:r w:rsidRPr="00D92DBC">
        <w:rPr>
          <w:rFonts w:cs="Arial"/>
        </w:rPr>
        <w:t xml:space="preserve"> d</w:t>
      </w:r>
      <w:r>
        <w:rPr>
          <w:rFonts w:cs="Arial"/>
        </w:rPr>
        <w:t>irectly contracted to the Trust and also agency and bank employees.</w:t>
      </w:r>
    </w:p>
    <w:p w:rsidR="00E03B20" w:rsidRPr="00D92DBC" w:rsidRDefault="00E03B20" w:rsidP="00E03B20">
      <w:pPr>
        <w:pStyle w:val="BodyText"/>
        <w:rPr>
          <w:rFonts w:cs="Arial"/>
        </w:rPr>
      </w:pPr>
    </w:p>
    <w:p w:rsidR="00E03B20" w:rsidRDefault="00E03B20" w:rsidP="00E03B20">
      <w:pPr>
        <w:pStyle w:val="BodyText"/>
        <w:rPr>
          <w:rFonts w:cs="Arial"/>
        </w:rPr>
      </w:pPr>
      <w:r w:rsidRPr="009775DD">
        <w:rPr>
          <w:rFonts w:cs="Arial"/>
        </w:rPr>
        <w:t>The banded remunerat</w:t>
      </w:r>
      <w:r>
        <w:rPr>
          <w:rFonts w:cs="Arial"/>
        </w:rPr>
        <w:t>ion of the highest paid D</w:t>
      </w:r>
      <w:r w:rsidRPr="009775DD">
        <w:rPr>
          <w:rFonts w:cs="Arial"/>
        </w:rPr>
        <w:t xml:space="preserve">irector in Weston Area Health NHS Trust in the financial </w:t>
      </w:r>
      <w:r w:rsidRPr="00372523">
        <w:rPr>
          <w:rFonts w:cs="Arial"/>
        </w:rPr>
        <w:t>year 2014/15 was £155k - £159.9k (2013</w:t>
      </w:r>
      <w:r>
        <w:rPr>
          <w:rFonts w:cs="Arial"/>
        </w:rPr>
        <w:t>/14</w:t>
      </w:r>
      <w:r w:rsidRPr="009775DD">
        <w:rPr>
          <w:rFonts w:cs="Arial"/>
        </w:rPr>
        <w:t>, £</w:t>
      </w:r>
      <w:r>
        <w:rPr>
          <w:rFonts w:cs="Arial"/>
        </w:rPr>
        <w:t>170k - £174.9</w:t>
      </w:r>
      <w:r w:rsidRPr="009775DD">
        <w:rPr>
          <w:rFonts w:cs="Arial"/>
        </w:rPr>
        <w:t xml:space="preserve">k). This was </w:t>
      </w:r>
      <w:r>
        <w:rPr>
          <w:rFonts w:cs="Arial"/>
        </w:rPr>
        <w:t>6</w:t>
      </w:r>
      <w:r w:rsidRPr="009775DD">
        <w:rPr>
          <w:rFonts w:cs="Arial"/>
        </w:rPr>
        <w:t>.</w:t>
      </w:r>
      <w:r>
        <w:rPr>
          <w:rFonts w:cs="Arial"/>
        </w:rPr>
        <w:t>5</w:t>
      </w:r>
      <w:r w:rsidRPr="009775DD">
        <w:rPr>
          <w:rFonts w:cs="Arial"/>
        </w:rPr>
        <w:t xml:space="preserve"> times (20</w:t>
      </w:r>
      <w:r>
        <w:rPr>
          <w:rFonts w:cs="Arial"/>
        </w:rPr>
        <w:t>13/14</w:t>
      </w:r>
      <w:r w:rsidRPr="009775DD">
        <w:rPr>
          <w:rFonts w:cs="Arial"/>
        </w:rPr>
        <w:t xml:space="preserve">, </w:t>
      </w:r>
      <w:r>
        <w:rPr>
          <w:rFonts w:cs="Arial"/>
        </w:rPr>
        <w:t>7.8</w:t>
      </w:r>
      <w:r w:rsidRPr="009775DD">
        <w:rPr>
          <w:rFonts w:cs="Arial"/>
        </w:rPr>
        <w:t xml:space="preserve"> times) the median remuneration of the workforce, which </w:t>
      </w:r>
      <w:r w:rsidRPr="002D225C">
        <w:rPr>
          <w:rFonts w:cs="Arial"/>
        </w:rPr>
        <w:t>was £24,293</w:t>
      </w:r>
      <w:r w:rsidRPr="009775DD">
        <w:rPr>
          <w:rFonts w:cs="Arial"/>
        </w:rPr>
        <w:t xml:space="preserve"> (201</w:t>
      </w:r>
      <w:r>
        <w:rPr>
          <w:rFonts w:cs="Arial"/>
        </w:rPr>
        <w:t>3/14</w:t>
      </w:r>
      <w:r w:rsidRPr="009775DD">
        <w:rPr>
          <w:rFonts w:cs="Arial"/>
        </w:rPr>
        <w:t>, £</w:t>
      </w:r>
      <w:r>
        <w:rPr>
          <w:rFonts w:cs="Arial"/>
        </w:rPr>
        <w:t>22,024</w:t>
      </w:r>
      <w:r w:rsidRPr="009775DD">
        <w:rPr>
          <w:rFonts w:cs="Arial"/>
        </w:rPr>
        <w:t>)</w:t>
      </w:r>
      <w:r>
        <w:rPr>
          <w:rFonts w:cs="Arial"/>
        </w:rPr>
        <w:t xml:space="preserve">. This reduction is due to a change in the responsibilities held by the highest paid director resulting in reduced remuneration and the median remuneration increasing due to the increased use of costly agency staff. </w:t>
      </w:r>
    </w:p>
    <w:p w:rsidR="00E03B20" w:rsidRPr="00CC631B" w:rsidRDefault="00E03B20" w:rsidP="00E03B20">
      <w:pPr>
        <w:pStyle w:val="BodyText"/>
        <w:rPr>
          <w:rFonts w:cs="Arial"/>
          <w:color w:val="FF0000"/>
        </w:rPr>
      </w:pPr>
    </w:p>
    <w:p w:rsidR="00E03B20" w:rsidRDefault="00E03B20" w:rsidP="00E03B20">
      <w:pPr>
        <w:pStyle w:val="BodyText"/>
        <w:rPr>
          <w:rFonts w:cs="Arial"/>
        </w:rPr>
      </w:pPr>
      <w:r>
        <w:rPr>
          <w:rFonts w:cs="Arial"/>
        </w:rPr>
        <w:t>In 2014/15</w:t>
      </w:r>
      <w:r w:rsidRPr="009775DD">
        <w:rPr>
          <w:rFonts w:cs="Arial"/>
        </w:rPr>
        <w:t xml:space="preserve">, </w:t>
      </w:r>
      <w:r>
        <w:rPr>
          <w:rFonts w:cs="Arial"/>
        </w:rPr>
        <w:t>two</w:t>
      </w:r>
      <w:r w:rsidRPr="009775DD">
        <w:rPr>
          <w:rFonts w:cs="Arial"/>
        </w:rPr>
        <w:t xml:space="preserve"> (20</w:t>
      </w:r>
      <w:r>
        <w:rPr>
          <w:rFonts w:cs="Arial"/>
        </w:rPr>
        <w:t>13/14</w:t>
      </w:r>
      <w:r w:rsidRPr="009775DD">
        <w:rPr>
          <w:rFonts w:cs="Arial"/>
        </w:rPr>
        <w:t xml:space="preserve">, </w:t>
      </w:r>
      <w:r>
        <w:rPr>
          <w:rFonts w:cs="Arial"/>
        </w:rPr>
        <w:t>one</w:t>
      </w:r>
      <w:r w:rsidRPr="009775DD">
        <w:rPr>
          <w:rFonts w:cs="Arial"/>
        </w:rPr>
        <w:t>) Trust employees received remuneration</w:t>
      </w:r>
      <w:r>
        <w:rPr>
          <w:rFonts w:cs="Arial"/>
        </w:rPr>
        <w:t xml:space="preserve"> in excess of the highest-paid Director. Trust employees r</w:t>
      </w:r>
      <w:r w:rsidRPr="009775DD">
        <w:rPr>
          <w:rFonts w:cs="Arial"/>
        </w:rPr>
        <w:t xml:space="preserve">emuneration ranged </w:t>
      </w:r>
      <w:r w:rsidRPr="002D225C">
        <w:rPr>
          <w:rFonts w:cs="Arial"/>
        </w:rPr>
        <w:t>from £6k to £175k (2013</w:t>
      </w:r>
      <w:r w:rsidRPr="009775DD">
        <w:rPr>
          <w:rFonts w:cs="Arial"/>
        </w:rPr>
        <w:t>/1</w:t>
      </w:r>
      <w:r>
        <w:rPr>
          <w:rFonts w:cs="Arial"/>
        </w:rPr>
        <w:t>4</w:t>
      </w:r>
      <w:r w:rsidRPr="009775DD">
        <w:rPr>
          <w:rFonts w:cs="Arial"/>
        </w:rPr>
        <w:t xml:space="preserve"> £6k to £18</w:t>
      </w:r>
      <w:r>
        <w:rPr>
          <w:rFonts w:cs="Arial"/>
        </w:rPr>
        <w:t>5</w:t>
      </w:r>
      <w:r w:rsidRPr="009775DD">
        <w:rPr>
          <w:rFonts w:cs="Arial"/>
        </w:rPr>
        <w:t xml:space="preserve">k). </w:t>
      </w:r>
    </w:p>
    <w:p w:rsidR="00E03B20" w:rsidRPr="00D92DBC" w:rsidRDefault="00E03B20" w:rsidP="00E03B20">
      <w:pPr>
        <w:pStyle w:val="BodyText"/>
        <w:rPr>
          <w:rFonts w:cs="Arial"/>
        </w:rPr>
      </w:pPr>
    </w:p>
    <w:p w:rsidR="00E03B20" w:rsidRPr="00D92DBC" w:rsidRDefault="00E03B20" w:rsidP="00E03B20">
      <w:pPr>
        <w:pStyle w:val="BodyText"/>
        <w:rPr>
          <w:rFonts w:cs="Arial"/>
        </w:rPr>
      </w:pPr>
      <w:r w:rsidRPr="00D92DBC">
        <w:rPr>
          <w:rFonts w:cs="Arial"/>
        </w:rPr>
        <w:t>Total remuneration includes salary, non-consolidated payments-related pay, benefits-in-kind as well as severance payments. It does not include employer</w:t>
      </w:r>
      <w:r>
        <w:rPr>
          <w:rFonts w:cs="Arial"/>
        </w:rPr>
        <w:t xml:space="preserve">’s pension contributions or </w:t>
      </w:r>
      <w:r w:rsidRPr="00D92DBC">
        <w:rPr>
          <w:rFonts w:cs="Arial"/>
        </w:rPr>
        <w:t>the cash equiva</w:t>
      </w:r>
      <w:r>
        <w:rPr>
          <w:rFonts w:cs="Arial"/>
        </w:rPr>
        <w:t xml:space="preserve">lent transfer value of pensions. </w:t>
      </w:r>
    </w:p>
    <w:p w:rsidR="00E03B20" w:rsidRPr="009C7AF7" w:rsidRDefault="00E03B20" w:rsidP="00E03B20">
      <w:pPr>
        <w:pStyle w:val="BodyText"/>
        <w:rPr>
          <w:rFonts w:cs="Arial"/>
          <w:sz w:val="20"/>
        </w:rPr>
      </w:pPr>
    </w:p>
    <w:p w:rsidR="00C74C4E" w:rsidRDefault="00E03B20" w:rsidP="00C74C4E">
      <w:pPr>
        <w:jc w:val="left"/>
        <w:rPr>
          <w:rFonts w:cs="Arial"/>
          <w:sz w:val="20"/>
        </w:rPr>
      </w:pPr>
      <w:r w:rsidRPr="009C7AF7">
        <w:rPr>
          <w:rFonts w:cs="Arial"/>
          <w:sz w:val="20"/>
        </w:rPr>
        <w:t xml:space="preserve">Signed by: ..........................................................................  Chief Executive  </w:t>
      </w:r>
      <w:bookmarkStart w:id="69" w:name="_Toc325024796"/>
      <w:bookmarkStart w:id="70" w:name="_Toc326062006"/>
      <w:bookmarkStart w:id="71" w:name="_Toc386705306"/>
      <w:bookmarkStart w:id="72" w:name="_Toc387747678"/>
      <w:bookmarkStart w:id="73" w:name="_Toc325024797"/>
    </w:p>
    <w:p w:rsidR="00C74C4E" w:rsidRDefault="00C74C4E" w:rsidP="00C74C4E">
      <w:pPr>
        <w:jc w:val="left"/>
        <w:rPr>
          <w:rFonts w:cs="Arial"/>
          <w:sz w:val="20"/>
        </w:rPr>
        <w:sectPr w:rsidR="00C74C4E" w:rsidSect="00C74C4E">
          <w:headerReference w:type="default" r:id="rId38"/>
          <w:footerReference w:type="even" r:id="rId39"/>
          <w:footerReference w:type="default" r:id="rId40"/>
          <w:pgSz w:w="12242" w:h="15842" w:code="1"/>
          <w:pgMar w:top="709" w:right="851" w:bottom="1440" w:left="851" w:header="708" w:footer="708" w:gutter="0"/>
          <w:cols w:space="708"/>
          <w:rtlGutter/>
          <w:docGrid w:linePitch="360"/>
        </w:sectPr>
      </w:pPr>
    </w:p>
    <w:p w:rsidR="00AE0660" w:rsidRPr="00042766" w:rsidRDefault="00AE0660" w:rsidP="00C74C4E">
      <w:pPr>
        <w:pStyle w:val="Heading1"/>
        <w:rPr>
          <w:color w:val="FF0000"/>
        </w:rPr>
      </w:pPr>
      <w:r w:rsidRPr="00EF567C">
        <w:lastRenderedPageBreak/>
        <w:t>3.2 Salaries and Allowances</w:t>
      </w:r>
      <w:r>
        <w:t xml:space="preserve"> </w:t>
      </w:r>
    </w:p>
    <w:p w:rsidR="00AE0660" w:rsidRDefault="00AE0660" w:rsidP="00AE0660">
      <w:pPr>
        <w:rPr>
          <w:b/>
          <w:color w:val="FF0000"/>
        </w:rPr>
      </w:pPr>
    </w:p>
    <w:p w:rsidR="00AE0660" w:rsidRDefault="00AE0660" w:rsidP="00AE0660">
      <w:pPr>
        <w:rPr>
          <w:sz w:val="20"/>
          <w:szCs w:val="20"/>
        </w:rPr>
      </w:pPr>
      <w:r w:rsidRPr="008E6009">
        <w:rPr>
          <w:noProof/>
          <w:szCs w:val="20"/>
          <w:lang w:val="en-GB" w:eastAsia="en-GB"/>
        </w:rPr>
        <w:drawing>
          <wp:inline distT="0" distB="0" distL="0" distR="0">
            <wp:extent cx="8806815" cy="4283966"/>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8806815" cy="4283966"/>
                    </a:xfrm>
                    <a:prstGeom prst="rect">
                      <a:avLst/>
                    </a:prstGeom>
                    <a:noFill/>
                    <a:ln w="9525">
                      <a:noFill/>
                      <a:miter lim="800000"/>
                      <a:headEnd/>
                      <a:tailEnd/>
                    </a:ln>
                  </pic:spPr>
                </pic:pic>
              </a:graphicData>
            </a:graphic>
          </wp:inline>
        </w:drawing>
      </w:r>
    </w:p>
    <w:p w:rsidR="00AE0660" w:rsidRDefault="00AE0660" w:rsidP="00AE0660">
      <w:pPr>
        <w:rPr>
          <w:sz w:val="20"/>
          <w:szCs w:val="20"/>
        </w:rPr>
      </w:pPr>
    </w:p>
    <w:p w:rsidR="00FA6212" w:rsidRDefault="00FA6212" w:rsidP="00AE0660">
      <w:pPr>
        <w:rPr>
          <w:sz w:val="20"/>
          <w:szCs w:val="20"/>
        </w:rPr>
      </w:pPr>
    </w:p>
    <w:p w:rsidR="00FA6212" w:rsidRDefault="00FA6212" w:rsidP="00AE0660">
      <w:pPr>
        <w:rPr>
          <w:sz w:val="20"/>
          <w:szCs w:val="20"/>
        </w:rPr>
      </w:pPr>
    </w:p>
    <w:p w:rsidR="00FA6212" w:rsidRDefault="00FA6212" w:rsidP="00AE0660">
      <w:pPr>
        <w:rPr>
          <w:sz w:val="20"/>
          <w:szCs w:val="20"/>
        </w:rPr>
      </w:pPr>
    </w:p>
    <w:p w:rsidR="00FA6212" w:rsidRDefault="00FA6212" w:rsidP="00AE0660">
      <w:pPr>
        <w:rPr>
          <w:sz w:val="20"/>
          <w:szCs w:val="20"/>
        </w:rPr>
      </w:pPr>
    </w:p>
    <w:p w:rsidR="00FA6212" w:rsidRDefault="00FA6212" w:rsidP="00AE0660">
      <w:pPr>
        <w:rPr>
          <w:sz w:val="20"/>
          <w:szCs w:val="20"/>
        </w:rPr>
      </w:pPr>
    </w:p>
    <w:p w:rsidR="00FA6212" w:rsidRDefault="00FA6212" w:rsidP="00AE0660">
      <w:pPr>
        <w:rPr>
          <w:sz w:val="20"/>
          <w:szCs w:val="20"/>
        </w:rPr>
      </w:pPr>
    </w:p>
    <w:p w:rsidR="00AE0660" w:rsidRPr="00EF567C" w:rsidRDefault="00AE0660" w:rsidP="00AE0660">
      <w:pPr>
        <w:pStyle w:val="Heading1"/>
      </w:pPr>
      <w:r w:rsidRPr="00EF567C">
        <w:lastRenderedPageBreak/>
        <w:t>3.2</w:t>
      </w:r>
      <w:r w:rsidR="00DD3C49">
        <w:t>.1</w:t>
      </w:r>
      <w:r w:rsidRPr="00EF567C">
        <w:t xml:space="preserve"> Salaries and Allowances</w:t>
      </w:r>
      <w:r>
        <w:t xml:space="preserve"> Comparative Year</w:t>
      </w:r>
    </w:p>
    <w:p w:rsidR="00AE0660" w:rsidRPr="001F0C9D" w:rsidRDefault="00AE0660" w:rsidP="00AE0660">
      <w:pPr>
        <w:rPr>
          <w:b/>
          <w:color w:val="FF0000"/>
        </w:rPr>
      </w:pPr>
      <w:r w:rsidRPr="001F0C9D">
        <w:rPr>
          <w:b/>
          <w:color w:val="FF0000"/>
        </w:rPr>
        <w:t xml:space="preserve"> </w:t>
      </w:r>
    </w:p>
    <w:p w:rsidR="00AE0660" w:rsidRDefault="00AE0660" w:rsidP="00AE0660">
      <w:pPr>
        <w:rPr>
          <w:sz w:val="20"/>
          <w:szCs w:val="20"/>
        </w:rPr>
      </w:pPr>
      <w:r w:rsidRPr="008E6009">
        <w:rPr>
          <w:noProof/>
          <w:sz w:val="20"/>
          <w:szCs w:val="20"/>
          <w:lang w:val="en-GB" w:eastAsia="en-GB"/>
        </w:rPr>
        <w:drawing>
          <wp:inline distT="0" distB="0" distL="0" distR="0">
            <wp:extent cx="8806815" cy="4283966"/>
            <wp:effectExtent l="1905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srcRect/>
                    <a:stretch>
                      <a:fillRect/>
                    </a:stretch>
                  </pic:blipFill>
                  <pic:spPr bwMode="auto">
                    <a:xfrm>
                      <a:off x="0" y="0"/>
                      <a:ext cx="8806815" cy="4283966"/>
                    </a:xfrm>
                    <a:prstGeom prst="rect">
                      <a:avLst/>
                    </a:prstGeom>
                    <a:noFill/>
                    <a:ln w="9525">
                      <a:noFill/>
                      <a:miter lim="800000"/>
                      <a:headEnd/>
                      <a:tailEnd/>
                    </a:ln>
                  </pic:spPr>
                </pic:pic>
              </a:graphicData>
            </a:graphic>
          </wp:inline>
        </w:drawing>
      </w:r>
    </w:p>
    <w:p w:rsidR="00FA6212" w:rsidRDefault="00FA6212" w:rsidP="00AE0660">
      <w:pPr>
        <w:pStyle w:val="Heading1"/>
      </w:pPr>
    </w:p>
    <w:p w:rsidR="00FA6212" w:rsidRDefault="00FA6212" w:rsidP="00AE0660">
      <w:pPr>
        <w:pStyle w:val="Heading1"/>
      </w:pPr>
    </w:p>
    <w:p w:rsidR="00FA6212" w:rsidRDefault="00FA6212" w:rsidP="00AE0660">
      <w:pPr>
        <w:pStyle w:val="Heading1"/>
      </w:pPr>
    </w:p>
    <w:p w:rsidR="00AE0660" w:rsidRPr="00EF567C" w:rsidRDefault="00AE0660" w:rsidP="00AE0660">
      <w:pPr>
        <w:pStyle w:val="Heading1"/>
      </w:pPr>
      <w:r>
        <w:lastRenderedPageBreak/>
        <w:t>3</w:t>
      </w:r>
      <w:r w:rsidRPr="00EF567C">
        <w:t>.2</w:t>
      </w:r>
      <w:r w:rsidR="00DD3C49">
        <w:t>.2</w:t>
      </w:r>
      <w:r w:rsidRPr="00EF567C">
        <w:t xml:space="preserve"> Salaries and Allowances</w:t>
      </w:r>
      <w:r>
        <w:t xml:space="preserve"> Notes</w:t>
      </w:r>
    </w:p>
    <w:p w:rsidR="00AE0660" w:rsidRDefault="00AE0660" w:rsidP="00AE0660">
      <w:pPr>
        <w:rPr>
          <w:sz w:val="20"/>
          <w:szCs w:val="20"/>
        </w:rPr>
      </w:pPr>
    </w:p>
    <w:p w:rsidR="00AE0660" w:rsidRPr="008E6009" w:rsidRDefault="00AE0660" w:rsidP="00AE0660">
      <w:pPr>
        <w:rPr>
          <w:sz w:val="20"/>
          <w:szCs w:val="20"/>
        </w:rPr>
      </w:pPr>
      <w:r w:rsidRPr="008E6009">
        <w:rPr>
          <w:sz w:val="20"/>
          <w:szCs w:val="20"/>
        </w:rPr>
        <w:t xml:space="preserve">* Both N Gallegos and A Martin were contracted to carry out clinical duties as well as their Director's duties during the year. </w:t>
      </w:r>
      <w:proofErr w:type="spellStart"/>
      <w:proofErr w:type="gramStart"/>
      <w:r w:rsidRPr="008E6009">
        <w:rPr>
          <w:sz w:val="20"/>
          <w:szCs w:val="20"/>
        </w:rPr>
        <w:t>Mr</w:t>
      </w:r>
      <w:proofErr w:type="spellEnd"/>
      <w:r w:rsidRPr="008E6009">
        <w:rPr>
          <w:sz w:val="20"/>
          <w:szCs w:val="20"/>
        </w:rPr>
        <w:t xml:space="preserve"> Gallegos as a Consultant General Surgeon and Miss Martin as a Consultant Vascular Surgeon.</w:t>
      </w:r>
      <w:proofErr w:type="gramEnd"/>
      <w:r w:rsidRPr="008E6009">
        <w:rPr>
          <w:sz w:val="20"/>
          <w:szCs w:val="20"/>
        </w:rPr>
        <w:tab/>
      </w:r>
      <w:r w:rsidRPr="008E6009">
        <w:rPr>
          <w:sz w:val="20"/>
          <w:szCs w:val="20"/>
        </w:rPr>
        <w:tab/>
      </w:r>
      <w:r w:rsidRPr="008E6009">
        <w:rPr>
          <w:sz w:val="20"/>
          <w:szCs w:val="20"/>
        </w:rPr>
        <w:tab/>
      </w:r>
      <w:r w:rsidRPr="008E6009">
        <w:rPr>
          <w:sz w:val="20"/>
          <w:szCs w:val="20"/>
        </w:rPr>
        <w:tab/>
      </w:r>
      <w:r w:rsidRPr="008E6009">
        <w:rPr>
          <w:sz w:val="20"/>
          <w:szCs w:val="20"/>
        </w:rPr>
        <w:tab/>
      </w:r>
    </w:p>
    <w:p w:rsidR="00AE0660" w:rsidRPr="008E6009" w:rsidRDefault="00AE0660" w:rsidP="00AE0660">
      <w:pPr>
        <w:rPr>
          <w:sz w:val="20"/>
          <w:szCs w:val="20"/>
        </w:rPr>
      </w:pPr>
      <w:r w:rsidRPr="008E6009">
        <w:rPr>
          <w:sz w:val="20"/>
          <w:szCs w:val="20"/>
        </w:rPr>
        <w:t xml:space="preserve">** Mrs Perry holds responsibilities at </w:t>
      </w:r>
      <w:proofErr w:type="spellStart"/>
      <w:r w:rsidRPr="008E6009">
        <w:rPr>
          <w:sz w:val="20"/>
          <w:szCs w:val="20"/>
        </w:rPr>
        <w:t>Swindon</w:t>
      </w:r>
      <w:proofErr w:type="spellEnd"/>
      <w:r w:rsidRPr="008E6009">
        <w:rPr>
          <w:sz w:val="20"/>
          <w:szCs w:val="20"/>
        </w:rPr>
        <w:t xml:space="preserve"> CCG for which the Trust has invoiced £11.9k (£11.6k in 2013-14)</w:t>
      </w:r>
      <w:proofErr w:type="gramStart"/>
      <w:r w:rsidRPr="008E6009">
        <w:rPr>
          <w:sz w:val="20"/>
          <w:szCs w:val="20"/>
        </w:rPr>
        <w:t>,</w:t>
      </w:r>
      <w:proofErr w:type="gramEnd"/>
      <w:r w:rsidRPr="008E6009">
        <w:rPr>
          <w:sz w:val="20"/>
          <w:szCs w:val="20"/>
        </w:rPr>
        <w:t xml:space="preserve"> the value disclosed above is the full cost to the Trust prior to receiving this income.</w:t>
      </w:r>
      <w:r w:rsidRPr="008E6009">
        <w:rPr>
          <w:sz w:val="20"/>
          <w:szCs w:val="20"/>
        </w:rPr>
        <w:tab/>
      </w:r>
      <w:r w:rsidRPr="008E6009">
        <w:rPr>
          <w:sz w:val="20"/>
          <w:szCs w:val="20"/>
        </w:rPr>
        <w:tab/>
      </w:r>
      <w:r w:rsidRPr="008E6009">
        <w:rPr>
          <w:sz w:val="20"/>
          <w:szCs w:val="20"/>
        </w:rPr>
        <w:tab/>
      </w:r>
      <w:r w:rsidRPr="008E6009">
        <w:rPr>
          <w:sz w:val="20"/>
          <w:szCs w:val="20"/>
        </w:rPr>
        <w:tab/>
      </w:r>
      <w:r w:rsidRPr="008E6009">
        <w:rPr>
          <w:sz w:val="20"/>
          <w:szCs w:val="20"/>
        </w:rPr>
        <w:tab/>
      </w:r>
    </w:p>
    <w:p w:rsidR="00AE0660" w:rsidRPr="008E6009" w:rsidRDefault="00AE0660" w:rsidP="00AE0660">
      <w:pPr>
        <w:rPr>
          <w:sz w:val="20"/>
          <w:szCs w:val="20"/>
        </w:rPr>
      </w:pPr>
      <w:r w:rsidRPr="008E6009">
        <w:rPr>
          <w:sz w:val="20"/>
          <w:szCs w:val="20"/>
        </w:rPr>
        <w:t xml:space="preserve">*** B Musselwhite also had an off payroll engagement with the Trust during 2014/15 and 2013/14. This was due to her undertaking consultancy work relating to the Trust's ongoing Procurement process </w:t>
      </w:r>
      <w:r w:rsidRPr="008E6009">
        <w:rPr>
          <w:sz w:val="20"/>
          <w:szCs w:val="20"/>
        </w:rPr>
        <w:tab/>
      </w:r>
      <w:r w:rsidRPr="008E6009">
        <w:rPr>
          <w:sz w:val="20"/>
          <w:szCs w:val="20"/>
        </w:rPr>
        <w:tab/>
      </w:r>
      <w:r w:rsidRPr="008E6009">
        <w:rPr>
          <w:sz w:val="20"/>
          <w:szCs w:val="20"/>
        </w:rPr>
        <w:tab/>
      </w:r>
      <w:r w:rsidRPr="008E6009">
        <w:rPr>
          <w:sz w:val="20"/>
          <w:szCs w:val="20"/>
        </w:rPr>
        <w:tab/>
      </w:r>
      <w:r w:rsidRPr="008E6009">
        <w:rPr>
          <w:sz w:val="20"/>
          <w:szCs w:val="20"/>
        </w:rPr>
        <w:tab/>
      </w:r>
    </w:p>
    <w:p w:rsidR="00AE0660" w:rsidRPr="008E6009" w:rsidRDefault="00AE0660" w:rsidP="00AE0660">
      <w:pPr>
        <w:rPr>
          <w:sz w:val="20"/>
          <w:szCs w:val="20"/>
        </w:rPr>
      </w:pPr>
      <w:r w:rsidRPr="008E6009">
        <w:rPr>
          <w:sz w:val="20"/>
          <w:szCs w:val="20"/>
        </w:rPr>
        <w:t xml:space="preserve">**** K Croker was seconded from </w:t>
      </w:r>
      <w:proofErr w:type="spellStart"/>
      <w:r w:rsidRPr="008E6009">
        <w:rPr>
          <w:sz w:val="20"/>
          <w:szCs w:val="20"/>
        </w:rPr>
        <w:t>Yeovil</w:t>
      </w:r>
      <w:proofErr w:type="spellEnd"/>
      <w:r w:rsidRPr="008E6009">
        <w:rPr>
          <w:sz w:val="20"/>
          <w:szCs w:val="20"/>
        </w:rPr>
        <w:t xml:space="preserve"> District Hospital NHS Foundation Trust for the first two months of 2013/14 before becoming an employee of the Trust. There were two invoices from </w:t>
      </w:r>
      <w:proofErr w:type="spellStart"/>
      <w:r w:rsidRPr="008E6009">
        <w:rPr>
          <w:sz w:val="20"/>
          <w:szCs w:val="20"/>
        </w:rPr>
        <w:t>Yeovil</w:t>
      </w:r>
      <w:proofErr w:type="spellEnd"/>
      <w:r w:rsidRPr="008E6009">
        <w:rPr>
          <w:sz w:val="20"/>
          <w:szCs w:val="20"/>
        </w:rPr>
        <w:t xml:space="preserve"> </w:t>
      </w:r>
      <w:proofErr w:type="spellStart"/>
      <w:r w:rsidRPr="008E6009">
        <w:rPr>
          <w:sz w:val="20"/>
          <w:szCs w:val="20"/>
        </w:rPr>
        <w:t>totalling</w:t>
      </w:r>
      <w:proofErr w:type="spellEnd"/>
      <w:r w:rsidRPr="008E6009">
        <w:rPr>
          <w:sz w:val="20"/>
          <w:szCs w:val="20"/>
        </w:rPr>
        <w:t xml:space="preserve"> £16.6k, which have been included in full within Mrs Croker's salary.</w:t>
      </w:r>
      <w:r w:rsidRPr="008E6009">
        <w:rPr>
          <w:sz w:val="20"/>
          <w:szCs w:val="20"/>
        </w:rPr>
        <w:tab/>
      </w:r>
      <w:r w:rsidRPr="008E6009">
        <w:rPr>
          <w:sz w:val="20"/>
          <w:szCs w:val="20"/>
        </w:rPr>
        <w:tab/>
      </w:r>
      <w:r w:rsidRPr="008E6009">
        <w:rPr>
          <w:sz w:val="20"/>
          <w:szCs w:val="20"/>
        </w:rPr>
        <w:tab/>
      </w:r>
      <w:r w:rsidRPr="008E6009">
        <w:rPr>
          <w:sz w:val="20"/>
          <w:szCs w:val="20"/>
        </w:rPr>
        <w:tab/>
      </w:r>
      <w:r w:rsidRPr="008E6009">
        <w:rPr>
          <w:sz w:val="20"/>
          <w:szCs w:val="20"/>
        </w:rPr>
        <w:tab/>
      </w:r>
    </w:p>
    <w:p w:rsidR="00AE0660" w:rsidRPr="008E6009" w:rsidRDefault="00AE0660" w:rsidP="00AE0660">
      <w:pPr>
        <w:rPr>
          <w:sz w:val="20"/>
          <w:szCs w:val="20"/>
        </w:rPr>
      </w:pPr>
      <w:r w:rsidRPr="008E6009">
        <w:rPr>
          <w:sz w:val="20"/>
          <w:szCs w:val="20"/>
        </w:rPr>
        <w:t>The amounts shown in the Expense payment (taxable) column of the table all relate to Travel expenses agreed paid to senior managers for work to home mileage.</w:t>
      </w:r>
      <w:r w:rsidRPr="008E6009">
        <w:rPr>
          <w:sz w:val="20"/>
          <w:szCs w:val="20"/>
        </w:rPr>
        <w:tab/>
      </w:r>
      <w:r w:rsidRPr="008E6009">
        <w:rPr>
          <w:sz w:val="20"/>
          <w:szCs w:val="20"/>
        </w:rPr>
        <w:tab/>
      </w:r>
      <w:r w:rsidRPr="008E6009">
        <w:rPr>
          <w:sz w:val="20"/>
          <w:szCs w:val="20"/>
        </w:rPr>
        <w:tab/>
      </w:r>
      <w:r w:rsidRPr="008E6009">
        <w:rPr>
          <w:sz w:val="20"/>
          <w:szCs w:val="20"/>
        </w:rPr>
        <w:tab/>
      </w:r>
      <w:r w:rsidRPr="008E6009">
        <w:rPr>
          <w:sz w:val="20"/>
          <w:szCs w:val="20"/>
        </w:rPr>
        <w:tab/>
      </w:r>
    </w:p>
    <w:p w:rsidR="00AE0660" w:rsidRDefault="00AE0660" w:rsidP="00AE0660">
      <w:pPr>
        <w:rPr>
          <w:sz w:val="20"/>
          <w:szCs w:val="20"/>
        </w:rPr>
      </w:pPr>
      <w:r w:rsidRPr="008E6009">
        <w:rPr>
          <w:sz w:val="20"/>
          <w:szCs w:val="20"/>
        </w:rPr>
        <w:t xml:space="preserve">The amounts shown in the All pension-related benefits column of the table are calculated according to the Manual for Accounts 2014/15 guidance: The annual pension increase, adjusted for inflation, is expressed over an expected 20 year payment period </w:t>
      </w:r>
      <w:proofErr w:type="spellStart"/>
      <w:r w:rsidRPr="008E6009">
        <w:rPr>
          <w:sz w:val="20"/>
          <w:szCs w:val="20"/>
        </w:rPr>
        <w:t>ie</w:t>
      </w:r>
      <w:proofErr w:type="spellEnd"/>
      <w:r w:rsidRPr="008E6009">
        <w:rPr>
          <w:sz w:val="20"/>
          <w:szCs w:val="20"/>
        </w:rPr>
        <w:t xml:space="preserve">. </w:t>
      </w:r>
      <w:proofErr w:type="gramStart"/>
      <w:r w:rsidRPr="008E6009">
        <w:rPr>
          <w:sz w:val="20"/>
          <w:szCs w:val="20"/>
        </w:rPr>
        <w:t>An annual increase of £10k = £200k.</w:t>
      </w:r>
      <w:proofErr w:type="gramEnd"/>
      <w:r w:rsidRPr="008E6009">
        <w:rPr>
          <w:sz w:val="20"/>
          <w:szCs w:val="20"/>
        </w:rPr>
        <w:tab/>
      </w:r>
    </w:p>
    <w:p w:rsidR="00AE0660" w:rsidRDefault="00AE0660" w:rsidP="00AE0660">
      <w:pPr>
        <w:rPr>
          <w:sz w:val="20"/>
          <w:szCs w:val="20"/>
        </w:rPr>
      </w:pPr>
    </w:p>
    <w:p w:rsidR="00AE0660" w:rsidRDefault="00AE0660" w:rsidP="00AE0660">
      <w:pPr>
        <w:pStyle w:val="Heading1"/>
      </w:pPr>
      <w:r w:rsidRPr="00EF567C">
        <w:t>3.</w:t>
      </w:r>
      <w:r>
        <w:t>3 Pension Benefits</w:t>
      </w:r>
    </w:p>
    <w:p w:rsidR="00AE0660" w:rsidRPr="001F0C9D" w:rsidRDefault="00AE0660" w:rsidP="00AE0660">
      <w:pPr>
        <w:rPr>
          <w:b/>
          <w:color w:val="FF0000"/>
        </w:rPr>
      </w:pPr>
    </w:p>
    <w:p w:rsidR="00AE0660" w:rsidRPr="00BF3A62" w:rsidRDefault="00AE0660" w:rsidP="00AE0660">
      <w:r w:rsidRPr="00F92D88">
        <w:rPr>
          <w:noProof/>
          <w:lang w:val="en-GB" w:eastAsia="en-GB"/>
        </w:rPr>
        <w:drawing>
          <wp:inline distT="0" distB="0" distL="0" distR="0">
            <wp:extent cx="8806815" cy="2183987"/>
            <wp:effectExtent l="19050" t="0" r="0"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srcRect/>
                    <a:stretch>
                      <a:fillRect/>
                    </a:stretch>
                  </pic:blipFill>
                  <pic:spPr bwMode="auto">
                    <a:xfrm>
                      <a:off x="0" y="0"/>
                      <a:ext cx="8806815" cy="2183987"/>
                    </a:xfrm>
                    <a:prstGeom prst="rect">
                      <a:avLst/>
                    </a:prstGeom>
                    <a:noFill/>
                    <a:ln w="9525">
                      <a:noFill/>
                      <a:miter lim="800000"/>
                      <a:headEnd/>
                      <a:tailEnd/>
                    </a:ln>
                  </pic:spPr>
                </pic:pic>
              </a:graphicData>
            </a:graphic>
          </wp:inline>
        </w:drawing>
      </w:r>
    </w:p>
    <w:p w:rsidR="00EE0196" w:rsidRDefault="00EE0196" w:rsidP="00AE0660">
      <w:pPr>
        <w:pStyle w:val="Heading1"/>
        <w:jc w:val="left"/>
      </w:pPr>
    </w:p>
    <w:p w:rsidR="00C74C4E" w:rsidRDefault="00EE0196">
      <w:pPr>
        <w:jc w:val="left"/>
        <w:sectPr w:rsidR="00C74C4E" w:rsidSect="00C74C4E">
          <w:pgSz w:w="15842" w:h="12242" w:orient="landscape" w:code="1"/>
          <w:pgMar w:top="851" w:right="709" w:bottom="851" w:left="1440" w:header="708" w:footer="708" w:gutter="0"/>
          <w:cols w:space="708"/>
          <w:rtlGutter/>
          <w:docGrid w:linePitch="360"/>
        </w:sectPr>
      </w:pPr>
      <w:r>
        <w:br w:type="page"/>
      </w:r>
    </w:p>
    <w:p w:rsidR="00EE0196" w:rsidRPr="00EE0196" w:rsidRDefault="00EE0196">
      <w:pPr>
        <w:jc w:val="left"/>
      </w:pPr>
    </w:p>
    <w:p w:rsidR="00AE0660" w:rsidRPr="00EF567C" w:rsidRDefault="00AE0660" w:rsidP="00AE0660">
      <w:pPr>
        <w:pStyle w:val="Heading1"/>
        <w:jc w:val="left"/>
      </w:pPr>
      <w:r w:rsidRPr="00EF567C">
        <w:t>3.</w:t>
      </w:r>
      <w:r>
        <w:t>3</w:t>
      </w:r>
      <w:r w:rsidR="00DD3C49">
        <w:t>.1</w:t>
      </w:r>
      <w:r>
        <w:t xml:space="preserve"> Guide to Pension Benefits</w:t>
      </w:r>
    </w:p>
    <w:p w:rsidR="00AE0660" w:rsidRDefault="00AE0660" w:rsidP="00AE0660">
      <w:pPr>
        <w:rPr>
          <w:b/>
          <w:color w:val="FF0000"/>
        </w:rPr>
      </w:pPr>
    </w:p>
    <w:p w:rsidR="00AE0660" w:rsidRPr="00F92D88" w:rsidRDefault="00AE0660" w:rsidP="00AE0660">
      <w:pPr>
        <w:rPr>
          <w:sz w:val="20"/>
          <w:szCs w:val="20"/>
        </w:rPr>
      </w:pPr>
      <w:r w:rsidRPr="00F92D88">
        <w:rPr>
          <w:sz w:val="20"/>
          <w:szCs w:val="20"/>
        </w:rPr>
        <w:t xml:space="preserve">* As </w:t>
      </w:r>
      <w:proofErr w:type="spellStart"/>
      <w:r w:rsidRPr="00F92D88">
        <w:rPr>
          <w:sz w:val="20"/>
          <w:szCs w:val="20"/>
        </w:rPr>
        <w:t>Mr</w:t>
      </w:r>
      <w:proofErr w:type="spellEnd"/>
      <w:r w:rsidRPr="00F92D88">
        <w:rPr>
          <w:sz w:val="20"/>
          <w:szCs w:val="20"/>
        </w:rPr>
        <w:t xml:space="preserve"> </w:t>
      </w:r>
      <w:proofErr w:type="gramStart"/>
      <w:r w:rsidRPr="00F92D88">
        <w:rPr>
          <w:sz w:val="20"/>
          <w:szCs w:val="20"/>
        </w:rPr>
        <w:t>Little</w:t>
      </w:r>
      <w:proofErr w:type="gramEnd"/>
      <w:r w:rsidRPr="00F92D88">
        <w:rPr>
          <w:sz w:val="20"/>
          <w:szCs w:val="20"/>
        </w:rPr>
        <w:t xml:space="preserve"> is over the age of 60 CETV is no longer applicable.</w:t>
      </w:r>
      <w:r w:rsidRPr="00F92D88">
        <w:rPr>
          <w:sz w:val="20"/>
          <w:szCs w:val="20"/>
        </w:rPr>
        <w:tab/>
      </w:r>
      <w:r w:rsidRPr="00F92D88">
        <w:rPr>
          <w:sz w:val="20"/>
          <w:szCs w:val="20"/>
        </w:rPr>
        <w:tab/>
      </w:r>
      <w:r w:rsidRPr="00F92D88">
        <w:rPr>
          <w:sz w:val="20"/>
          <w:szCs w:val="20"/>
        </w:rPr>
        <w:tab/>
      </w:r>
      <w:r w:rsidRPr="00F92D88">
        <w:rPr>
          <w:sz w:val="20"/>
          <w:szCs w:val="20"/>
        </w:rPr>
        <w:tab/>
      </w:r>
      <w:r w:rsidRPr="00F92D88">
        <w:rPr>
          <w:sz w:val="20"/>
          <w:szCs w:val="20"/>
        </w:rPr>
        <w:tab/>
      </w:r>
      <w:r w:rsidRPr="00F92D88">
        <w:rPr>
          <w:sz w:val="20"/>
          <w:szCs w:val="20"/>
        </w:rPr>
        <w:tab/>
      </w:r>
      <w:r w:rsidRPr="00F92D88">
        <w:rPr>
          <w:sz w:val="20"/>
          <w:szCs w:val="20"/>
        </w:rPr>
        <w:tab/>
      </w:r>
    </w:p>
    <w:p w:rsidR="00AE0660" w:rsidRPr="00F92D88" w:rsidRDefault="00AE0660" w:rsidP="00AE0660">
      <w:pPr>
        <w:rPr>
          <w:sz w:val="20"/>
          <w:szCs w:val="20"/>
        </w:rPr>
      </w:pPr>
      <w:r w:rsidRPr="00F92D88">
        <w:rPr>
          <w:sz w:val="20"/>
          <w:szCs w:val="20"/>
        </w:rPr>
        <w:tab/>
      </w:r>
      <w:r w:rsidRPr="00F92D88">
        <w:rPr>
          <w:sz w:val="20"/>
          <w:szCs w:val="20"/>
        </w:rPr>
        <w:tab/>
      </w:r>
      <w:r w:rsidRPr="00F92D88">
        <w:rPr>
          <w:sz w:val="20"/>
          <w:szCs w:val="20"/>
        </w:rPr>
        <w:tab/>
      </w:r>
      <w:r w:rsidRPr="00F92D88">
        <w:rPr>
          <w:sz w:val="20"/>
          <w:szCs w:val="20"/>
        </w:rPr>
        <w:tab/>
      </w:r>
      <w:r w:rsidRPr="00F92D88">
        <w:rPr>
          <w:sz w:val="20"/>
          <w:szCs w:val="20"/>
        </w:rPr>
        <w:tab/>
      </w:r>
      <w:r w:rsidRPr="00F92D88">
        <w:rPr>
          <w:sz w:val="20"/>
          <w:szCs w:val="20"/>
        </w:rPr>
        <w:tab/>
      </w:r>
      <w:r w:rsidRPr="00F92D88">
        <w:rPr>
          <w:sz w:val="20"/>
          <w:szCs w:val="20"/>
        </w:rPr>
        <w:tab/>
      </w:r>
    </w:p>
    <w:p w:rsidR="00AE0660" w:rsidRPr="00F92D88" w:rsidRDefault="00AE0660" w:rsidP="00AE0660">
      <w:pPr>
        <w:rPr>
          <w:sz w:val="20"/>
          <w:szCs w:val="20"/>
        </w:rPr>
      </w:pPr>
      <w:r w:rsidRPr="00F92D88">
        <w:rPr>
          <w:sz w:val="20"/>
          <w:szCs w:val="20"/>
        </w:rPr>
        <w:t>Fi</w:t>
      </w:r>
      <w:r>
        <w:rPr>
          <w:sz w:val="20"/>
          <w:szCs w:val="20"/>
        </w:rPr>
        <w:t>g</w:t>
      </w:r>
      <w:r w:rsidRPr="00F92D88">
        <w:rPr>
          <w:sz w:val="20"/>
          <w:szCs w:val="20"/>
        </w:rPr>
        <w:t>ures are adjusted for the time in post where this has been less than the whole year.</w:t>
      </w:r>
      <w:r w:rsidRPr="00F92D88">
        <w:rPr>
          <w:sz w:val="20"/>
          <w:szCs w:val="20"/>
        </w:rPr>
        <w:tab/>
      </w:r>
      <w:r w:rsidRPr="00F92D88">
        <w:rPr>
          <w:sz w:val="20"/>
          <w:szCs w:val="20"/>
        </w:rPr>
        <w:tab/>
      </w:r>
      <w:r w:rsidRPr="00F92D88">
        <w:rPr>
          <w:sz w:val="20"/>
          <w:szCs w:val="20"/>
        </w:rPr>
        <w:tab/>
      </w:r>
      <w:r w:rsidRPr="00F92D88">
        <w:rPr>
          <w:sz w:val="20"/>
          <w:szCs w:val="20"/>
        </w:rPr>
        <w:tab/>
      </w:r>
      <w:r w:rsidRPr="00F92D88">
        <w:rPr>
          <w:sz w:val="20"/>
          <w:szCs w:val="20"/>
        </w:rPr>
        <w:tab/>
      </w:r>
      <w:r w:rsidRPr="00F92D88">
        <w:rPr>
          <w:sz w:val="20"/>
          <w:szCs w:val="20"/>
        </w:rPr>
        <w:tab/>
      </w:r>
      <w:r w:rsidRPr="00F92D88">
        <w:rPr>
          <w:sz w:val="20"/>
          <w:szCs w:val="20"/>
        </w:rPr>
        <w:tab/>
      </w:r>
    </w:p>
    <w:p w:rsidR="00AE0660" w:rsidRPr="00F92D88" w:rsidRDefault="00AE0660" w:rsidP="00AE0660">
      <w:pPr>
        <w:rPr>
          <w:sz w:val="20"/>
          <w:szCs w:val="20"/>
        </w:rPr>
      </w:pPr>
      <w:r w:rsidRPr="00F92D88">
        <w:rPr>
          <w:sz w:val="20"/>
          <w:szCs w:val="20"/>
        </w:rPr>
        <w:tab/>
      </w:r>
      <w:r w:rsidRPr="00F92D88">
        <w:rPr>
          <w:sz w:val="20"/>
          <w:szCs w:val="20"/>
        </w:rPr>
        <w:tab/>
      </w:r>
      <w:r w:rsidRPr="00F92D88">
        <w:rPr>
          <w:sz w:val="20"/>
          <w:szCs w:val="20"/>
        </w:rPr>
        <w:tab/>
      </w:r>
      <w:r w:rsidRPr="00F92D88">
        <w:rPr>
          <w:sz w:val="20"/>
          <w:szCs w:val="20"/>
        </w:rPr>
        <w:tab/>
      </w:r>
      <w:r w:rsidRPr="00F92D88">
        <w:rPr>
          <w:sz w:val="20"/>
          <w:szCs w:val="20"/>
        </w:rPr>
        <w:tab/>
      </w:r>
      <w:r w:rsidRPr="00F92D88">
        <w:rPr>
          <w:sz w:val="20"/>
          <w:szCs w:val="20"/>
        </w:rPr>
        <w:tab/>
      </w:r>
      <w:r w:rsidRPr="00F92D88">
        <w:rPr>
          <w:sz w:val="20"/>
          <w:szCs w:val="20"/>
        </w:rPr>
        <w:tab/>
      </w:r>
    </w:p>
    <w:p w:rsidR="00AE0660" w:rsidRPr="00F92D88" w:rsidRDefault="00AE0660" w:rsidP="00AE0660">
      <w:pPr>
        <w:rPr>
          <w:sz w:val="20"/>
          <w:szCs w:val="20"/>
        </w:rPr>
      </w:pPr>
      <w:r w:rsidRPr="00F92D88">
        <w:rPr>
          <w:sz w:val="20"/>
          <w:szCs w:val="20"/>
        </w:rPr>
        <w:t>Figures in (brackets) indicate a decrease</w:t>
      </w:r>
      <w:r w:rsidRPr="00F92D88">
        <w:rPr>
          <w:sz w:val="20"/>
          <w:szCs w:val="20"/>
        </w:rPr>
        <w:tab/>
      </w:r>
      <w:r w:rsidRPr="00F92D88">
        <w:rPr>
          <w:sz w:val="20"/>
          <w:szCs w:val="20"/>
        </w:rPr>
        <w:tab/>
      </w:r>
      <w:r w:rsidRPr="00F92D88">
        <w:rPr>
          <w:sz w:val="20"/>
          <w:szCs w:val="20"/>
        </w:rPr>
        <w:tab/>
      </w:r>
      <w:r w:rsidRPr="00F92D88">
        <w:rPr>
          <w:sz w:val="20"/>
          <w:szCs w:val="20"/>
        </w:rPr>
        <w:tab/>
      </w:r>
      <w:r w:rsidRPr="00F92D88">
        <w:rPr>
          <w:sz w:val="20"/>
          <w:szCs w:val="20"/>
        </w:rPr>
        <w:tab/>
      </w:r>
      <w:r w:rsidRPr="00F92D88">
        <w:rPr>
          <w:sz w:val="20"/>
          <w:szCs w:val="20"/>
        </w:rPr>
        <w:tab/>
      </w:r>
      <w:r w:rsidRPr="00F92D88">
        <w:rPr>
          <w:sz w:val="20"/>
          <w:szCs w:val="20"/>
        </w:rPr>
        <w:tab/>
      </w:r>
    </w:p>
    <w:p w:rsidR="00AE0660" w:rsidRPr="00F92D88" w:rsidRDefault="00AE0660" w:rsidP="00AE0660">
      <w:pPr>
        <w:rPr>
          <w:sz w:val="20"/>
          <w:szCs w:val="20"/>
        </w:rPr>
      </w:pPr>
      <w:r w:rsidRPr="00F92D88">
        <w:rPr>
          <w:sz w:val="20"/>
          <w:szCs w:val="20"/>
        </w:rPr>
        <w:tab/>
      </w:r>
      <w:r w:rsidRPr="00F92D88">
        <w:rPr>
          <w:sz w:val="20"/>
          <w:szCs w:val="20"/>
        </w:rPr>
        <w:tab/>
      </w:r>
      <w:r w:rsidRPr="00F92D88">
        <w:rPr>
          <w:sz w:val="20"/>
          <w:szCs w:val="20"/>
        </w:rPr>
        <w:tab/>
      </w:r>
      <w:r w:rsidRPr="00F92D88">
        <w:rPr>
          <w:sz w:val="20"/>
          <w:szCs w:val="20"/>
        </w:rPr>
        <w:tab/>
      </w:r>
      <w:r w:rsidRPr="00F92D88">
        <w:rPr>
          <w:sz w:val="20"/>
          <w:szCs w:val="20"/>
        </w:rPr>
        <w:tab/>
      </w:r>
      <w:r w:rsidRPr="00F92D88">
        <w:rPr>
          <w:sz w:val="20"/>
          <w:szCs w:val="20"/>
        </w:rPr>
        <w:tab/>
      </w:r>
      <w:r w:rsidRPr="00F92D88">
        <w:rPr>
          <w:sz w:val="20"/>
          <w:szCs w:val="20"/>
        </w:rPr>
        <w:tab/>
      </w:r>
    </w:p>
    <w:p w:rsidR="00AE0660" w:rsidRPr="00F92D88" w:rsidRDefault="00AE0660" w:rsidP="00AE0660">
      <w:pPr>
        <w:rPr>
          <w:sz w:val="20"/>
          <w:szCs w:val="20"/>
        </w:rPr>
      </w:pPr>
      <w:r w:rsidRPr="00F92D88">
        <w:rPr>
          <w:sz w:val="20"/>
          <w:szCs w:val="20"/>
        </w:rPr>
        <w:t>As Non-Executive members do not receive pensionable remuneration, there will be no entries in respect of pensions for Non-Executive members.</w:t>
      </w:r>
      <w:r w:rsidRPr="00F92D88">
        <w:rPr>
          <w:sz w:val="20"/>
          <w:szCs w:val="20"/>
        </w:rPr>
        <w:tab/>
      </w:r>
      <w:r w:rsidRPr="00F92D88">
        <w:rPr>
          <w:sz w:val="20"/>
          <w:szCs w:val="20"/>
        </w:rPr>
        <w:tab/>
      </w:r>
      <w:r w:rsidRPr="00F92D88">
        <w:rPr>
          <w:sz w:val="20"/>
          <w:szCs w:val="20"/>
        </w:rPr>
        <w:tab/>
      </w:r>
      <w:r w:rsidRPr="00F92D88">
        <w:rPr>
          <w:sz w:val="20"/>
          <w:szCs w:val="20"/>
        </w:rPr>
        <w:tab/>
      </w:r>
      <w:r w:rsidRPr="00F92D88">
        <w:rPr>
          <w:sz w:val="20"/>
          <w:szCs w:val="20"/>
        </w:rPr>
        <w:tab/>
      </w:r>
      <w:r w:rsidRPr="00F92D88">
        <w:rPr>
          <w:sz w:val="20"/>
          <w:szCs w:val="20"/>
        </w:rPr>
        <w:tab/>
      </w:r>
      <w:r w:rsidRPr="00F92D88">
        <w:rPr>
          <w:sz w:val="20"/>
          <w:szCs w:val="20"/>
        </w:rPr>
        <w:tab/>
      </w:r>
    </w:p>
    <w:p w:rsidR="00AE0660" w:rsidRPr="00F92D88" w:rsidRDefault="00AE0660" w:rsidP="00AE0660">
      <w:pPr>
        <w:rPr>
          <w:sz w:val="20"/>
          <w:szCs w:val="20"/>
        </w:rPr>
      </w:pPr>
      <w:r w:rsidRPr="00F92D88">
        <w:rPr>
          <w:sz w:val="20"/>
          <w:szCs w:val="20"/>
        </w:rPr>
        <w:tab/>
      </w:r>
      <w:r w:rsidRPr="00F92D88">
        <w:rPr>
          <w:sz w:val="20"/>
          <w:szCs w:val="20"/>
        </w:rPr>
        <w:tab/>
      </w:r>
      <w:r w:rsidRPr="00F92D88">
        <w:rPr>
          <w:sz w:val="20"/>
          <w:szCs w:val="20"/>
        </w:rPr>
        <w:tab/>
      </w:r>
      <w:r w:rsidRPr="00F92D88">
        <w:rPr>
          <w:sz w:val="20"/>
          <w:szCs w:val="20"/>
        </w:rPr>
        <w:tab/>
      </w:r>
      <w:r w:rsidRPr="00F92D88">
        <w:rPr>
          <w:sz w:val="20"/>
          <w:szCs w:val="20"/>
        </w:rPr>
        <w:tab/>
      </w:r>
      <w:r w:rsidRPr="00F92D88">
        <w:rPr>
          <w:sz w:val="20"/>
          <w:szCs w:val="20"/>
        </w:rPr>
        <w:tab/>
      </w:r>
      <w:r w:rsidRPr="00F92D88">
        <w:rPr>
          <w:sz w:val="20"/>
          <w:szCs w:val="20"/>
        </w:rPr>
        <w:tab/>
      </w:r>
    </w:p>
    <w:p w:rsidR="00AE0660" w:rsidRPr="00F92D88" w:rsidRDefault="00AE0660" w:rsidP="00AE0660">
      <w:pPr>
        <w:rPr>
          <w:sz w:val="20"/>
          <w:szCs w:val="20"/>
        </w:rPr>
      </w:pPr>
      <w:r w:rsidRPr="00F92D88">
        <w:rPr>
          <w:sz w:val="20"/>
          <w:szCs w:val="20"/>
        </w:rPr>
        <w:t xml:space="preserve">A Cash Equivalent Transfer Value (CETV) is the actuarially assessed capital value of the pension scheme benefits accrued by a member at a particular point in time.  The benefits valued are the member’s accrued benefits and any contingent spouse’s pension payable from the scheme.  A CETV is a payment made by a pension scheme or arrangement to secure pension benefits in another pension scheme or arrangement when the member leaves a scheme and chooses to transfer the benefits accrued in their former scheme.  The pension figures shown relate to the benefits that the individual has accrued as a consequence of their total membership of the pension scheme, not just their service in a senior capacity to which disclosure applies.  The CETV figures and the other pension details include the value of any pension benefits in another scheme or arrangement which the individual has transferred to the NHS pension scheme.  They also include any additional pension benefit accrued to the member as a result of their purchasing additional years of pension service in the scheme at their own cost.  CETVs are calculated within the guidelines and </w:t>
      </w:r>
      <w:proofErr w:type="gramStart"/>
      <w:r w:rsidRPr="00F92D88">
        <w:rPr>
          <w:sz w:val="20"/>
          <w:szCs w:val="20"/>
        </w:rPr>
        <w:t>framework prescribed by the Institute and Faculty of Actuaries and are</w:t>
      </w:r>
      <w:proofErr w:type="gramEnd"/>
      <w:r w:rsidRPr="00F92D88">
        <w:rPr>
          <w:sz w:val="20"/>
          <w:szCs w:val="20"/>
        </w:rPr>
        <w:t xml:space="preserve"> provided by the NHS Pensions Department. </w:t>
      </w:r>
      <w:r w:rsidRPr="00F92D88">
        <w:rPr>
          <w:sz w:val="20"/>
          <w:szCs w:val="20"/>
        </w:rPr>
        <w:tab/>
      </w:r>
      <w:r w:rsidRPr="00F92D88">
        <w:rPr>
          <w:sz w:val="20"/>
          <w:szCs w:val="20"/>
        </w:rPr>
        <w:tab/>
      </w:r>
      <w:r w:rsidRPr="00F92D88">
        <w:rPr>
          <w:sz w:val="20"/>
          <w:szCs w:val="20"/>
        </w:rPr>
        <w:tab/>
      </w:r>
      <w:r w:rsidRPr="00F92D88">
        <w:rPr>
          <w:sz w:val="20"/>
          <w:szCs w:val="20"/>
        </w:rPr>
        <w:tab/>
      </w:r>
      <w:r w:rsidRPr="00F92D88">
        <w:rPr>
          <w:sz w:val="20"/>
          <w:szCs w:val="20"/>
        </w:rPr>
        <w:tab/>
      </w:r>
      <w:r w:rsidRPr="00F92D88">
        <w:rPr>
          <w:sz w:val="20"/>
          <w:szCs w:val="20"/>
        </w:rPr>
        <w:tab/>
      </w:r>
      <w:r w:rsidRPr="00F92D88">
        <w:rPr>
          <w:sz w:val="20"/>
          <w:szCs w:val="20"/>
        </w:rPr>
        <w:tab/>
      </w:r>
    </w:p>
    <w:p w:rsidR="00AE0660" w:rsidRPr="00F92D88" w:rsidRDefault="00AE0660" w:rsidP="00AE0660">
      <w:pPr>
        <w:rPr>
          <w:sz w:val="20"/>
          <w:szCs w:val="20"/>
        </w:rPr>
      </w:pPr>
      <w:r w:rsidRPr="00F92D88">
        <w:rPr>
          <w:sz w:val="20"/>
          <w:szCs w:val="20"/>
        </w:rPr>
        <w:tab/>
      </w:r>
      <w:r w:rsidRPr="00F92D88">
        <w:rPr>
          <w:sz w:val="20"/>
          <w:szCs w:val="20"/>
        </w:rPr>
        <w:tab/>
      </w:r>
      <w:r w:rsidRPr="00F92D88">
        <w:rPr>
          <w:sz w:val="20"/>
          <w:szCs w:val="20"/>
        </w:rPr>
        <w:tab/>
      </w:r>
      <w:r w:rsidRPr="00F92D88">
        <w:rPr>
          <w:sz w:val="20"/>
          <w:szCs w:val="20"/>
        </w:rPr>
        <w:tab/>
      </w:r>
      <w:r w:rsidRPr="00F92D88">
        <w:rPr>
          <w:sz w:val="20"/>
          <w:szCs w:val="20"/>
        </w:rPr>
        <w:tab/>
      </w:r>
      <w:r w:rsidRPr="00F92D88">
        <w:rPr>
          <w:sz w:val="20"/>
          <w:szCs w:val="20"/>
        </w:rPr>
        <w:tab/>
      </w:r>
      <w:r w:rsidRPr="00F92D88">
        <w:rPr>
          <w:sz w:val="20"/>
          <w:szCs w:val="20"/>
        </w:rPr>
        <w:tab/>
      </w:r>
    </w:p>
    <w:p w:rsidR="00AE0660" w:rsidRPr="00F92D88" w:rsidRDefault="00AE0660" w:rsidP="00AE0660">
      <w:pPr>
        <w:rPr>
          <w:sz w:val="20"/>
          <w:szCs w:val="20"/>
        </w:rPr>
      </w:pPr>
      <w:r w:rsidRPr="00F92D88">
        <w:rPr>
          <w:sz w:val="20"/>
          <w:szCs w:val="20"/>
        </w:rPr>
        <w:t>Column H in the guidance for 'Employer's contribution to stakeholder pension' does not apply here as all Directors are part of the Defined Benefit Scheme only.</w:t>
      </w:r>
      <w:r w:rsidRPr="00F92D88">
        <w:rPr>
          <w:sz w:val="20"/>
          <w:szCs w:val="20"/>
        </w:rPr>
        <w:tab/>
      </w:r>
      <w:r w:rsidRPr="00F92D88">
        <w:rPr>
          <w:sz w:val="20"/>
          <w:szCs w:val="20"/>
        </w:rPr>
        <w:tab/>
      </w:r>
      <w:r w:rsidRPr="00F92D88">
        <w:rPr>
          <w:sz w:val="20"/>
          <w:szCs w:val="20"/>
        </w:rPr>
        <w:tab/>
      </w:r>
      <w:r w:rsidRPr="00F92D88">
        <w:rPr>
          <w:sz w:val="20"/>
          <w:szCs w:val="20"/>
        </w:rPr>
        <w:tab/>
      </w:r>
      <w:r w:rsidRPr="00F92D88">
        <w:rPr>
          <w:sz w:val="20"/>
          <w:szCs w:val="20"/>
        </w:rPr>
        <w:tab/>
      </w:r>
      <w:r w:rsidRPr="00F92D88">
        <w:rPr>
          <w:sz w:val="20"/>
          <w:szCs w:val="20"/>
        </w:rPr>
        <w:tab/>
      </w:r>
      <w:r w:rsidRPr="00F92D88">
        <w:rPr>
          <w:sz w:val="20"/>
          <w:szCs w:val="20"/>
        </w:rPr>
        <w:tab/>
      </w:r>
    </w:p>
    <w:tbl>
      <w:tblPr>
        <w:tblW w:w="10642" w:type="dxa"/>
        <w:tblInd w:w="98" w:type="dxa"/>
        <w:tblLook w:val="04A0"/>
      </w:tblPr>
      <w:tblGrid>
        <w:gridCol w:w="10642"/>
      </w:tblGrid>
      <w:tr w:rsidR="00AE0660" w:rsidRPr="008270E0" w:rsidTr="000C3F45">
        <w:trPr>
          <w:trHeight w:val="570"/>
        </w:trPr>
        <w:tc>
          <w:tcPr>
            <w:tcW w:w="10642" w:type="dxa"/>
            <w:tcBorders>
              <w:top w:val="nil"/>
              <w:left w:val="nil"/>
              <w:bottom w:val="nil"/>
              <w:right w:val="nil"/>
            </w:tcBorders>
            <w:vAlign w:val="bottom"/>
            <w:hideMark/>
          </w:tcPr>
          <w:p w:rsidR="00AE0660" w:rsidRPr="00F63510" w:rsidRDefault="00AE0660" w:rsidP="000C3F45">
            <w:pPr>
              <w:pStyle w:val="Heading1"/>
              <w:rPr>
                <w:lang w:val="en-GB" w:eastAsia="en-GB"/>
              </w:rPr>
            </w:pPr>
            <w:r>
              <w:rPr>
                <w:b w:val="0"/>
                <w:bCs w:val="0"/>
              </w:rPr>
              <w:br w:type="page"/>
            </w:r>
            <w:r>
              <w:br w:type="page"/>
            </w:r>
            <w:r>
              <w:rPr>
                <w:lang w:val="en-GB" w:eastAsia="en-GB"/>
              </w:rPr>
              <w:t>3</w:t>
            </w:r>
            <w:r w:rsidRPr="008270E0">
              <w:rPr>
                <w:lang w:val="en-GB" w:eastAsia="en-GB"/>
              </w:rPr>
              <w:t xml:space="preserve">.4 </w:t>
            </w:r>
            <w:r w:rsidRPr="00F63510">
              <w:rPr>
                <w:lang w:val="en-GB" w:eastAsia="en-GB"/>
              </w:rPr>
              <w:t>For all off-payroll engagements as of 31 March 201</w:t>
            </w:r>
            <w:r>
              <w:rPr>
                <w:lang w:val="en-GB" w:eastAsia="en-GB"/>
              </w:rPr>
              <w:t>5</w:t>
            </w:r>
            <w:r w:rsidRPr="00F63510">
              <w:rPr>
                <w:lang w:val="en-GB" w:eastAsia="en-GB"/>
              </w:rPr>
              <w:t>, for more than £220 per day and that last longer than six months:</w:t>
            </w:r>
          </w:p>
        </w:tc>
      </w:tr>
    </w:tbl>
    <w:p w:rsidR="00AE0660" w:rsidRDefault="00AE0660" w:rsidP="00AE0660">
      <w:pPr>
        <w:rPr>
          <w:b/>
          <w:color w:val="FF0000"/>
        </w:rPr>
      </w:pPr>
      <w:r w:rsidRPr="001F0C9D">
        <w:rPr>
          <w:b/>
          <w:color w:val="FF0000"/>
        </w:rP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11"/>
        <w:gridCol w:w="851"/>
        <w:gridCol w:w="1843"/>
      </w:tblGrid>
      <w:tr w:rsidR="00AE0660" w:rsidTr="000C5939">
        <w:tc>
          <w:tcPr>
            <w:tcW w:w="5811" w:type="dxa"/>
          </w:tcPr>
          <w:p w:rsidR="00AE0660" w:rsidRDefault="00AE0660" w:rsidP="000C3F45">
            <w:pPr>
              <w:pStyle w:val="Paragraphtext"/>
            </w:pPr>
          </w:p>
        </w:tc>
        <w:tc>
          <w:tcPr>
            <w:tcW w:w="2694" w:type="dxa"/>
            <w:gridSpan w:val="2"/>
          </w:tcPr>
          <w:p w:rsidR="00AE0660" w:rsidRDefault="00AE0660" w:rsidP="000C3F45">
            <w:pPr>
              <w:pStyle w:val="Paragraphtext"/>
              <w:jc w:val="center"/>
            </w:pPr>
            <w:r>
              <w:t>Number</w:t>
            </w:r>
          </w:p>
        </w:tc>
      </w:tr>
      <w:tr w:rsidR="00AE0660" w:rsidRPr="00647DD2" w:rsidTr="000C5939">
        <w:tc>
          <w:tcPr>
            <w:tcW w:w="5811" w:type="dxa"/>
          </w:tcPr>
          <w:p w:rsidR="00AE0660" w:rsidRPr="00F63510" w:rsidRDefault="00AE0660" w:rsidP="000C3F45">
            <w:pPr>
              <w:pStyle w:val="Paragraphtext"/>
              <w:rPr>
                <w:sz w:val="20"/>
              </w:rPr>
            </w:pPr>
            <w:r w:rsidRPr="00F63510">
              <w:rPr>
                <w:sz w:val="20"/>
              </w:rPr>
              <w:t>Number of existing engagements as of 31 March 201</w:t>
            </w:r>
            <w:r>
              <w:rPr>
                <w:sz w:val="20"/>
              </w:rPr>
              <w:t>5</w:t>
            </w:r>
          </w:p>
        </w:tc>
        <w:tc>
          <w:tcPr>
            <w:tcW w:w="2694" w:type="dxa"/>
            <w:gridSpan w:val="2"/>
          </w:tcPr>
          <w:p w:rsidR="00AE0660" w:rsidRPr="00F63510" w:rsidRDefault="00AE0660" w:rsidP="000C3F45">
            <w:pPr>
              <w:pStyle w:val="Paragraphtext"/>
              <w:jc w:val="center"/>
              <w:rPr>
                <w:sz w:val="20"/>
              </w:rPr>
            </w:pPr>
            <w:r>
              <w:rPr>
                <w:sz w:val="20"/>
              </w:rPr>
              <w:t>0</w:t>
            </w:r>
          </w:p>
        </w:tc>
      </w:tr>
      <w:tr w:rsidR="00AE0660" w:rsidTr="000C5939">
        <w:tc>
          <w:tcPr>
            <w:tcW w:w="8505" w:type="dxa"/>
            <w:gridSpan w:val="3"/>
            <w:shd w:val="clear" w:color="auto" w:fill="D9D9D9"/>
          </w:tcPr>
          <w:p w:rsidR="00AE0660" w:rsidRPr="00F63510" w:rsidRDefault="00AE0660" w:rsidP="000C3F45">
            <w:pPr>
              <w:pStyle w:val="Paragraphtext"/>
              <w:jc w:val="center"/>
              <w:rPr>
                <w:i/>
                <w:sz w:val="20"/>
              </w:rPr>
            </w:pPr>
            <w:r w:rsidRPr="00F63510">
              <w:rPr>
                <w:i/>
                <w:sz w:val="20"/>
              </w:rPr>
              <w:t>Of which, the number that have existed:</w:t>
            </w:r>
          </w:p>
        </w:tc>
      </w:tr>
      <w:tr w:rsidR="00AE0660" w:rsidTr="000C5939">
        <w:tc>
          <w:tcPr>
            <w:tcW w:w="6662" w:type="dxa"/>
            <w:gridSpan w:val="2"/>
          </w:tcPr>
          <w:p w:rsidR="00AE0660" w:rsidRPr="00F63510" w:rsidRDefault="00AE0660" w:rsidP="000C3F45">
            <w:pPr>
              <w:pStyle w:val="Paragraphtext"/>
              <w:rPr>
                <w:sz w:val="20"/>
              </w:rPr>
            </w:pPr>
            <w:r w:rsidRPr="00F63510">
              <w:rPr>
                <w:sz w:val="20"/>
              </w:rPr>
              <w:t xml:space="preserve">    for less than one year at the time of reporting</w:t>
            </w:r>
          </w:p>
        </w:tc>
        <w:tc>
          <w:tcPr>
            <w:tcW w:w="1843" w:type="dxa"/>
          </w:tcPr>
          <w:p w:rsidR="00AE0660" w:rsidRPr="00F63510" w:rsidRDefault="00AE0660" w:rsidP="000C3F45">
            <w:pPr>
              <w:pStyle w:val="Paragraphtext"/>
              <w:jc w:val="center"/>
              <w:rPr>
                <w:sz w:val="20"/>
              </w:rPr>
            </w:pPr>
            <w:r>
              <w:rPr>
                <w:sz w:val="20"/>
              </w:rPr>
              <w:t>0</w:t>
            </w:r>
          </w:p>
        </w:tc>
      </w:tr>
      <w:tr w:rsidR="00AE0660" w:rsidTr="000C5939">
        <w:tc>
          <w:tcPr>
            <w:tcW w:w="6662" w:type="dxa"/>
            <w:gridSpan w:val="2"/>
          </w:tcPr>
          <w:p w:rsidR="00AE0660" w:rsidRPr="00F63510" w:rsidRDefault="00AE0660" w:rsidP="000C3F45">
            <w:pPr>
              <w:pStyle w:val="Paragraphtext"/>
              <w:rPr>
                <w:sz w:val="20"/>
              </w:rPr>
            </w:pPr>
            <w:r w:rsidRPr="00F63510">
              <w:rPr>
                <w:sz w:val="20"/>
              </w:rPr>
              <w:t xml:space="preserve">    for between one and two years at the time of reporting</w:t>
            </w:r>
          </w:p>
        </w:tc>
        <w:tc>
          <w:tcPr>
            <w:tcW w:w="1843" w:type="dxa"/>
          </w:tcPr>
          <w:p w:rsidR="00AE0660" w:rsidRPr="00F63510" w:rsidRDefault="00AE0660" w:rsidP="000C3F45">
            <w:pPr>
              <w:pStyle w:val="Paragraphtext"/>
              <w:jc w:val="center"/>
              <w:rPr>
                <w:sz w:val="20"/>
              </w:rPr>
            </w:pPr>
            <w:r>
              <w:rPr>
                <w:sz w:val="20"/>
              </w:rPr>
              <w:t>0</w:t>
            </w:r>
          </w:p>
        </w:tc>
      </w:tr>
      <w:tr w:rsidR="00AE0660" w:rsidTr="000C5939">
        <w:tc>
          <w:tcPr>
            <w:tcW w:w="6662" w:type="dxa"/>
            <w:gridSpan w:val="2"/>
          </w:tcPr>
          <w:p w:rsidR="00AE0660" w:rsidRPr="00F63510" w:rsidRDefault="00AE0660" w:rsidP="000C3F45">
            <w:pPr>
              <w:pStyle w:val="Paragraphtext"/>
              <w:rPr>
                <w:sz w:val="20"/>
              </w:rPr>
            </w:pPr>
            <w:r w:rsidRPr="00F63510">
              <w:rPr>
                <w:sz w:val="20"/>
              </w:rPr>
              <w:t xml:space="preserve">    for between 2 and 3 years at the time of reporting</w:t>
            </w:r>
          </w:p>
        </w:tc>
        <w:tc>
          <w:tcPr>
            <w:tcW w:w="1843" w:type="dxa"/>
          </w:tcPr>
          <w:p w:rsidR="00AE0660" w:rsidRPr="00F63510" w:rsidRDefault="00AE0660" w:rsidP="000C3F45">
            <w:pPr>
              <w:pStyle w:val="Paragraphtext"/>
              <w:jc w:val="center"/>
              <w:rPr>
                <w:sz w:val="20"/>
              </w:rPr>
            </w:pPr>
            <w:r>
              <w:rPr>
                <w:sz w:val="20"/>
              </w:rPr>
              <w:t>0</w:t>
            </w:r>
          </w:p>
        </w:tc>
      </w:tr>
      <w:tr w:rsidR="00AE0660" w:rsidTr="000C5939">
        <w:tc>
          <w:tcPr>
            <w:tcW w:w="6662" w:type="dxa"/>
            <w:gridSpan w:val="2"/>
          </w:tcPr>
          <w:p w:rsidR="00AE0660" w:rsidRPr="00F63510" w:rsidRDefault="00AE0660" w:rsidP="000C3F45">
            <w:pPr>
              <w:pStyle w:val="Paragraphtext"/>
              <w:rPr>
                <w:sz w:val="20"/>
              </w:rPr>
            </w:pPr>
            <w:r w:rsidRPr="00F63510">
              <w:rPr>
                <w:sz w:val="20"/>
              </w:rPr>
              <w:t xml:space="preserve">    for between 3 and 4 years at the time of reporting</w:t>
            </w:r>
          </w:p>
        </w:tc>
        <w:tc>
          <w:tcPr>
            <w:tcW w:w="1843" w:type="dxa"/>
          </w:tcPr>
          <w:p w:rsidR="00AE0660" w:rsidRPr="00F63510" w:rsidRDefault="00AE0660" w:rsidP="000C3F45">
            <w:pPr>
              <w:pStyle w:val="Paragraphtext"/>
              <w:jc w:val="center"/>
              <w:rPr>
                <w:sz w:val="20"/>
              </w:rPr>
            </w:pPr>
            <w:r>
              <w:rPr>
                <w:sz w:val="20"/>
              </w:rPr>
              <w:t>0</w:t>
            </w:r>
          </w:p>
        </w:tc>
      </w:tr>
    </w:tbl>
    <w:p w:rsidR="00AE0660" w:rsidRDefault="00AE0660" w:rsidP="00AE0660">
      <w:pPr>
        <w:rPr>
          <w:b/>
        </w:rPr>
      </w:pPr>
    </w:p>
    <w:p w:rsidR="00AE0660" w:rsidRPr="00952FC3" w:rsidRDefault="00AE0660" w:rsidP="00AE0660">
      <w:pPr>
        <w:rPr>
          <w:sz w:val="20"/>
          <w:szCs w:val="20"/>
        </w:rPr>
      </w:pPr>
      <w:r w:rsidRPr="00952FC3">
        <w:rPr>
          <w:sz w:val="20"/>
          <w:szCs w:val="20"/>
        </w:rPr>
        <w:t>There were two off-payroll engagements for more than £220 a day that lasted longer than six months in year however both of these engagements had finished as at 31st March 2015.</w:t>
      </w:r>
      <w:r w:rsidRPr="00952FC3">
        <w:rPr>
          <w:sz w:val="20"/>
          <w:szCs w:val="20"/>
        </w:rPr>
        <w:tab/>
      </w:r>
    </w:p>
    <w:p w:rsidR="00AE0660" w:rsidRPr="00952FC3" w:rsidRDefault="00AE0660" w:rsidP="00AE0660">
      <w:pPr>
        <w:rPr>
          <w:sz w:val="20"/>
          <w:szCs w:val="20"/>
        </w:rPr>
      </w:pPr>
      <w:r w:rsidRPr="00952FC3">
        <w:rPr>
          <w:sz w:val="20"/>
          <w:szCs w:val="20"/>
        </w:rPr>
        <w:t>These engagements were subject to a risk based assessment as to whether assura</w:t>
      </w:r>
      <w:r>
        <w:rPr>
          <w:sz w:val="20"/>
          <w:szCs w:val="20"/>
        </w:rPr>
        <w:t>nce i</w:t>
      </w:r>
      <w:r w:rsidRPr="00952FC3">
        <w:rPr>
          <w:sz w:val="20"/>
          <w:szCs w:val="20"/>
        </w:rPr>
        <w:t>s required that the individual is paying the right amount of tax and, where necessary, that assurance has been sought</w:t>
      </w:r>
      <w:r>
        <w:rPr>
          <w:sz w:val="20"/>
          <w:szCs w:val="20"/>
        </w:rPr>
        <w:t>.</w:t>
      </w:r>
      <w:r w:rsidRPr="00952FC3">
        <w:rPr>
          <w:sz w:val="20"/>
          <w:szCs w:val="20"/>
        </w:rPr>
        <w:tab/>
      </w:r>
    </w:p>
    <w:p w:rsidR="001159B9" w:rsidRDefault="000C5939" w:rsidP="001159B9">
      <w:pPr>
        <w:pStyle w:val="Heading1"/>
      </w:pPr>
      <w:r>
        <w:lastRenderedPageBreak/>
        <w:t>3.4.1</w:t>
      </w:r>
      <w:r w:rsidR="001159B9" w:rsidRPr="00CF46BB">
        <w:t xml:space="preserve"> For all new off-payroll engagements between 1 April 201</w:t>
      </w:r>
      <w:r w:rsidR="001159B9">
        <w:t>4</w:t>
      </w:r>
      <w:r w:rsidR="001159B9" w:rsidRPr="00CF46BB">
        <w:t xml:space="preserve"> and 31 March 201</w:t>
      </w:r>
      <w:r w:rsidR="001159B9">
        <w:t>5</w:t>
      </w:r>
      <w:r w:rsidR="001159B9" w:rsidRPr="00CF46BB">
        <w:t>, for more than £220 per day and that last longer than six months</w:t>
      </w:r>
      <w:r w:rsidR="001159B9" w:rsidRPr="002930F9">
        <w:t>:</w:t>
      </w:r>
    </w:p>
    <w:p w:rsidR="001159B9" w:rsidRDefault="001159B9" w:rsidP="001159B9"/>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71"/>
        <w:gridCol w:w="2515"/>
      </w:tblGrid>
      <w:tr w:rsidR="001159B9" w:rsidTr="000C5939">
        <w:tc>
          <w:tcPr>
            <w:tcW w:w="7371" w:type="dxa"/>
          </w:tcPr>
          <w:p w:rsidR="001159B9" w:rsidRDefault="001159B9" w:rsidP="001159B9">
            <w:pPr>
              <w:pStyle w:val="Paragraphtext"/>
            </w:pPr>
          </w:p>
        </w:tc>
        <w:tc>
          <w:tcPr>
            <w:tcW w:w="2515" w:type="dxa"/>
          </w:tcPr>
          <w:p w:rsidR="001159B9" w:rsidRDefault="001159B9" w:rsidP="001159B9">
            <w:pPr>
              <w:pStyle w:val="Paragraphtext"/>
              <w:jc w:val="center"/>
            </w:pPr>
            <w:r>
              <w:t>Number</w:t>
            </w:r>
          </w:p>
        </w:tc>
      </w:tr>
      <w:tr w:rsidR="001159B9" w:rsidTr="000C5939">
        <w:tc>
          <w:tcPr>
            <w:tcW w:w="7371" w:type="dxa"/>
          </w:tcPr>
          <w:p w:rsidR="001159B9" w:rsidRPr="00CF46BB" w:rsidRDefault="001159B9" w:rsidP="001159B9">
            <w:pPr>
              <w:pStyle w:val="Paragraphtext"/>
              <w:rPr>
                <w:sz w:val="20"/>
              </w:rPr>
            </w:pPr>
            <w:r w:rsidRPr="00CF46BB">
              <w:rPr>
                <w:sz w:val="20"/>
              </w:rPr>
              <w:t>Number of new engagements, or those that reached six months in duration, between 1 April 201</w:t>
            </w:r>
            <w:r>
              <w:rPr>
                <w:sz w:val="20"/>
              </w:rPr>
              <w:t>4</w:t>
            </w:r>
            <w:r w:rsidRPr="00CF46BB">
              <w:rPr>
                <w:sz w:val="20"/>
              </w:rPr>
              <w:t xml:space="preserve"> and 31 March 201</w:t>
            </w:r>
            <w:r>
              <w:rPr>
                <w:sz w:val="20"/>
              </w:rPr>
              <w:t>5</w:t>
            </w:r>
          </w:p>
        </w:tc>
        <w:tc>
          <w:tcPr>
            <w:tcW w:w="2515" w:type="dxa"/>
          </w:tcPr>
          <w:p w:rsidR="001159B9" w:rsidRDefault="001159B9" w:rsidP="001159B9">
            <w:pPr>
              <w:pStyle w:val="Paragraphtext"/>
              <w:jc w:val="center"/>
            </w:pPr>
            <w:r>
              <w:t>2</w:t>
            </w:r>
          </w:p>
        </w:tc>
      </w:tr>
      <w:tr w:rsidR="001159B9" w:rsidTr="000C5939">
        <w:tc>
          <w:tcPr>
            <w:tcW w:w="7371" w:type="dxa"/>
          </w:tcPr>
          <w:p w:rsidR="001159B9" w:rsidRPr="00CF46BB" w:rsidRDefault="001159B9" w:rsidP="001159B9">
            <w:pPr>
              <w:pStyle w:val="Paragraphtext"/>
              <w:rPr>
                <w:sz w:val="20"/>
              </w:rPr>
            </w:pPr>
            <w:r w:rsidRPr="00CF46BB">
              <w:rPr>
                <w:sz w:val="20"/>
              </w:rPr>
              <w:t xml:space="preserve">Number of new engagements which include contractual clauses giving the </w:t>
            </w:r>
            <w:r>
              <w:rPr>
                <w:sz w:val="20"/>
              </w:rPr>
              <w:t>Trust</w:t>
            </w:r>
            <w:r w:rsidRPr="00CF46BB">
              <w:rPr>
                <w:sz w:val="20"/>
              </w:rPr>
              <w:t xml:space="preserve"> the right to request assurance in relation to income tax and National Insurance obligations</w:t>
            </w:r>
          </w:p>
        </w:tc>
        <w:tc>
          <w:tcPr>
            <w:tcW w:w="2515" w:type="dxa"/>
          </w:tcPr>
          <w:p w:rsidR="001159B9" w:rsidRDefault="001159B9" w:rsidP="001159B9">
            <w:pPr>
              <w:pStyle w:val="Paragraphtext"/>
              <w:jc w:val="center"/>
            </w:pPr>
            <w:r>
              <w:t>2</w:t>
            </w:r>
          </w:p>
        </w:tc>
      </w:tr>
      <w:tr w:rsidR="001159B9" w:rsidTr="000C5939">
        <w:tc>
          <w:tcPr>
            <w:tcW w:w="7371" w:type="dxa"/>
          </w:tcPr>
          <w:p w:rsidR="001159B9" w:rsidRPr="00CF46BB" w:rsidRDefault="001159B9" w:rsidP="001159B9">
            <w:pPr>
              <w:pStyle w:val="Paragraphtext"/>
              <w:rPr>
                <w:sz w:val="20"/>
              </w:rPr>
            </w:pPr>
            <w:r w:rsidRPr="00CF46BB">
              <w:rPr>
                <w:sz w:val="20"/>
              </w:rPr>
              <w:t>Number for whom assurance has been requested</w:t>
            </w:r>
          </w:p>
        </w:tc>
        <w:tc>
          <w:tcPr>
            <w:tcW w:w="2515" w:type="dxa"/>
          </w:tcPr>
          <w:p w:rsidR="001159B9" w:rsidRDefault="001159B9" w:rsidP="001159B9">
            <w:pPr>
              <w:pStyle w:val="Paragraphtext"/>
              <w:jc w:val="center"/>
            </w:pPr>
            <w:r>
              <w:t>1</w:t>
            </w:r>
          </w:p>
        </w:tc>
      </w:tr>
      <w:tr w:rsidR="001159B9" w:rsidTr="000C5939">
        <w:tc>
          <w:tcPr>
            <w:tcW w:w="9886" w:type="dxa"/>
            <w:gridSpan w:val="2"/>
            <w:shd w:val="clear" w:color="auto" w:fill="D9D9D9"/>
          </w:tcPr>
          <w:p w:rsidR="001159B9" w:rsidRPr="00CF46BB" w:rsidRDefault="001159B9" w:rsidP="001159B9">
            <w:pPr>
              <w:pStyle w:val="Paragraphtext"/>
              <w:jc w:val="center"/>
              <w:rPr>
                <w:i/>
                <w:sz w:val="20"/>
              </w:rPr>
            </w:pPr>
            <w:r w:rsidRPr="00CF46BB">
              <w:rPr>
                <w:i/>
                <w:sz w:val="20"/>
              </w:rPr>
              <w:t>Of which:</w:t>
            </w:r>
          </w:p>
        </w:tc>
      </w:tr>
      <w:tr w:rsidR="001159B9" w:rsidTr="000C5939">
        <w:tc>
          <w:tcPr>
            <w:tcW w:w="7371" w:type="dxa"/>
          </w:tcPr>
          <w:p w:rsidR="001159B9" w:rsidRPr="00CF46BB" w:rsidRDefault="001159B9" w:rsidP="001159B9">
            <w:pPr>
              <w:pStyle w:val="Paragraphtext"/>
              <w:rPr>
                <w:sz w:val="20"/>
              </w:rPr>
            </w:pPr>
            <w:r w:rsidRPr="00CF46BB">
              <w:rPr>
                <w:sz w:val="20"/>
              </w:rPr>
              <w:t xml:space="preserve">   assurance has been received</w:t>
            </w:r>
          </w:p>
        </w:tc>
        <w:tc>
          <w:tcPr>
            <w:tcW w:w="2515" w:type="dxa"/>
          </w:tcPr>
          <w:p w:rsidR="001159B9" w:rsidRDefault="001159B9" w:rsidP="001159B9">
            <w:pPr>
              <w:pStyle w:val="Paragraphtext"/>
              <w:jc w:val="center"/>
            </w:pPr>
            <w:r>
              <w:t>1</w:t>
            </w:r>
          </w:p>
        </w:tc>
      </w:tr>
      <w:tr w:rsidR="001159B9" w:rsidTr="000C5939">
        <w:tc>
          <w:tcPr>
            <w:tcW w:w="7371" w:type="dxa"/>
          </w:tcPr>
          <w:p w:rsidR="001159B9" w:rsidRPr="00CF46BB" w:rsidRDefault="001159B9" w:rsidP="001159B9">
            <w:pPr>
              <w:pStyle w:val="Paragraphtext"/>
              <w:rPr>
                <w:sz w:val="20"/>
              </w:rPr>
            </w:pPr>
            <w:r w:rsidRPr="00CF46BB">
              <w:rPr>
                <w:sz w:val="20"/>
              </w:rPr>
              <w:t xml:space="preserve">   assurance has not been received</w:t>
            </w:r>
          </w:p>
        </w:tc>
        <w:tc>
          <w:tcPr>
            <w:tcW w:w="2515" w:type="dxa"/>
          </w:tcPr>
          <w:p w:rsidR="001159B9" w:rsidRDefault="001159B9" w:rsidP="001159B9">
            <w:pPr>
              <w:pStyle w:val="Paragraphtext"/>
              <w:jc w:val="center"/>
            </w:pPr>
            <w:r>
              <w:t>0</w:t>
            </w:r>
          </w:p>
        </w:tc>
      </w:tr>
      <w:tr w:rsidR="001159B9" w:rsidTr="000C5939">
        <w:tc>
          <w:tcPr>
            <w:tcW w:w="7371" w:type="dxa"/>
          </w:tcPr>
          <w:p w:rsidR="001159B9" w:rsidRPr="00CF46BB" w:rsidRDefault="001159B9" w:rsidP="001159B9">
            <w:pPr>
              <w:pStyle w:val="Paragraphtext"/>
              <w:rPr>
                <w:sz w:val="20"/>
              </w:rPr>
            </w:pPr>
            <w:r w:rsidRPr="00CF46BB">
              <w:rPr>
                <w:sz w:val="20"/>
              </w:rPr>
              <w:t xml:space="preserve">   engagements terminated as a result of assurance not being received</w:t>
            </w:r>
          </w:p>
        </w:tc>
        <w:tc>
          <w:tcPr>
            <w:tcW w:w="2515" w:type="dxa"/>
          </w:tcPr>
          <w:p w:rsidR="001159B9" w:rsidRDefault="001159B9" w:rsidP="001159B9">
            <w:pPr>
              <w:pStyle w:val="Paragraphtext"/>
              <w:jc w:val="center"/>
            </w:pPr>
            <w:r>
              <w:t>0</w:t>
            </w:r>
          </w:p>
        </w:tc>
      </w:tr>
      <w:tr w:rsidR="001159B9" w:rsidTr="000C5939">
        <w:tc>
          <w:tcPr>
            <w:tcW w:w="7371" w:type="dxa"/>
          </w:tcPr>
          <w:p w:rsidR="001159B9" w:rsidRDefault="001159B9" w:rsidP="001159B9">
            <w:pPr>
              <w:pStyle w:val="Paragraphtext"/>
            </w:pPr>
            <w:r w:rsidRPr="00CF46BB">
              <w:rPr>
                <w:sz w:val="20"/>
              </w:rPr>
              <w:t>Number of off-payroll engagements of board members, and/or senior officers with significant financial responsibility, during the year</w:t>
            </w:r>
          </w:p>
        </w:tc>
        <w:tc>
          <w:tcPr>
            <w:tcW w:w="2515" w:type="dxa"/>
          </w:tcPr>
          <w:p w:rsidR="001159B9" w:rsidRDefault="001159B9" w:rsidP="001159B9">
            <w:pPr>
              <w:pStyle w:val="Paragraphtext"/>
              <w:jc w:val="center"/>
            </w:pPr>
            <w:r>
              <w:t>1</w:t>
            </w:r>
          </w:p>
        </w:tc>
      </w:tr>
      <w:tr w:rsidR="001159B9" w:rsidTr="000C5939">
        <w:tc>
          <w:tcPr>
            <w:tcW w:w="7371" w:type="dxa"/>
          </w:tcPr>
          <w:p w:rsidR="001159B9" w:rsidRDefault="001159B9" w:rsidP="001159B9">
            <w:pPr>
              <w:pStyle w:val="Paragraphtext"/>
            </w:pPr>
            <w:r w:rsidRPr="00CF46BB">
              <w:rPr>
                <w:sz w:val="20"/>
              </w:rPr>
              <w:t>Number of individuals that have been deemed “board members, and/or senior officers with significant financial responsibility” during the financial year.  This figure includes both off-payroll and on-payroll engagements</w:t>
            </w:r>
          </w:p>
        </w:tc>
        <w:tc>
          <w:tcPr>
            <w:tcW w:w="2515" w:type="dxa"/>
          </w:tcPr>
          <w:p w:rsidR="001159B9" w:rsidRDefault="001159B9" w:rsidP="001159B9">
            <w:pPr>
              <w:pStyle w:val="Paragraphtext"/>
              <w:jc w:val="center"/>
            </w:pPr>
            <w:r>
              <w:t>8</w:t>
            </w:r>
          </w:p>
        </w:tc>
      </w:tr>
    </w:tbl>
    <w:p w:rsidR="001159B9" w:rsidRDefault="001159B9" w:rsidP="001159B9"/>
    <w:p w:rsidR="001159B9" w:rsidRDefault="001159B9" w:rsidP="001159B9">
      <w:pPr>
        <w:rPr>
          <w:sz w:val="20"/>
          <w:szCs w:val="20"/>
        </w:rPr>
      </w:pPr>
      <w:r w:rsidRPr="00952FC3">
        <w:rPr>
          <w:sz w:val="20"/>
          <w:szCs w:val="20"/>
        </w:rPr>
        <w:t>The one off-payroll engagement for a Board member is not included in the number of new engagements as it was for a period of 6.5 days on a strategic project re the future of the Trust.</w:t>
      </w:r>
      <w:r w:rsidRPr="00952FC3">
        <w:rPr>
          <w:sz w:val="20"/>
          <w:szCs w:val="20"/>
        </w:rPr>
        <w:tab/>
      </w:r>
    </w:p>
    <w:p w:rsidR="001159B9" w:rsidRDefault="001159B9" w:rsidP="001159B9">
      <w:pPr>
        <w:rPr>
          <w:sz w:val="20"/>
          <w:szCs w:val="20"/>
        </w:rPr>
      </w:pPr>
    </w:p>
    <w:p w:rsidR="001159B9" w:rsidRDefault="001159B9" w:rsidP="001159B9">
      <w:pPr>
        <w:rPr>
          <w:sz w:val="20"/>
          <w:szCs w:val="20"/>
        </w:rPr>
      </w:pPr>
      <w:r w:rsidRPr="005F79A9">
        <w:rPr>
          <w:sz w:val="20"/>
          <w:szCs w:val="20"/>
        </w:rPr>
        <w:t>The Chief Executive and six Executive Directors, on payroll engagements, are deemed to have significant financial responsibility. The post of Medical Director has been occupied by two individuals in year bringing the total individuals to eight.</w:t>
      </w:r>
      <w:r w:rsidRPr="005F79A9">
        <w:rPr>
          <w:sz w:val="20"/>
          <w:szCs w:val="20"/>
        </w:rPr>
        <w:tab/>
      </w:r>
    </w:p>
    <w:p w:rsidR="001159B9" w:rsidRPr="00952FC3" w:rsidRDefault="001159B9" w:rsidP="001159B9">
      <w:pPr>
        <w:rPr>
          <w:sz w:val="20"/>
          <w:szCs w:val="20"/>
        </w:rPr>
      </w:pPr>
    </w:p>
    <w:p w:rsidR="001159B9" w:rsidRPr="00952FC3" w:rsidRDefault="001159B9" w:rsidP="001159B9">
      <w:pPr>
        <w:rPr>
          <w:sz w:val="20"/>
          <w:szCs w:val="20"/>
        </w:rPr>
      </w:pPr>
    </w:p>
    <w:p w:rsidR="001159B9" w:rsidRDefault="001159B9" w:rsidP="00AE0660">
      <w:pPr>
        <w:rPr>
          <w:sz w:val="20"/>
          <w:szCs w:val="20"/>
        </w:rPr>
      </w:pPr>
    </w:p>
    <w:p w:rsidR="003B6B6A" w:rsidRDefault="003B6B6A" w:rsidP="00AE0660">
      <w:pPr>
        <w:rPr>
          <w:sz w:val="20"/>
          <w:szCs w:val="20"/>
        </w:rPr>
      </w:pPr>
    </w:p>
    <w:p w:rsidR="003B6B6A" w:rsidRDefault="003B6B6A" w:rsidP="00AE0660">
      <w:pPr>
        <w:rPr>
          <w:sz w:val="20"/>
          <w:szCs w:val="20"/>
        </w:rPr>
      </w:pPr>
    </w:p>
    <w:p w:rsidR="003B6B6A" w:rsidRDefault="003B6B6A" w:rsidP="00AE0660">
      <w:pPr>
        <w:rPr>
          <w:sz w:val="20"/>
          <w:szCs w:val="20"/>
        </w:rPr>
      </w:pPr>
    </w:p>
    <w:p w:rsidR="003B6B6A" w:rsidRDefault="003B6B6A" w:rsidP="00AE0660">
      <w:pPr>
        <w:rPr>
          <w:sz w:val="20"/>
          <w:szCs w:val="20"/>
        </w:rPr>
      </w:pPr>
    </w:p>
    <w:p w:rsidR="003B6B6A" w:rsidRDefault="003B6B6A" w:rsidP="00AE0660">
      <w:pPr>
        <w:rPr>
          <w:sz w:val="20"/>
          <w:szCs w:val="20"/>
        </w:rPr>
      </w:pPr>
    </w:p>
    <w:p w:rsidR="003B6B6A" w:rsidRDefault="003B6B6A" w:rsidP="00AE0660">
      <w:pPr>
        <w:rPr>
          <w:sz w:val="20"/>
          <w:szCs w:val="20"/>
        </w:rPr>
      </w:pPr>
    </w:p>
    <w:p w:rsidR="003B6B6A" w:rsidRDefault="003B6B6A" w:rsidP="00AE0660">
      <w:pPr>
        <w:rPr>
          <w:sz w:val="20"/>
          <w:szCs w:val="20"/>
        </w:rPr>
      </w:pPr>
    </w:p>
    <w:p w:rsidR="003B6B6A" w:rsidRDefault="003B6B6A" w:rsidP="00AE0660">
      <w:pPr>
        <w:rPr>
          <w:sz w:val="20"/>
          <w:szCs w:val="20"/>
        </w:rPr>
      </w:pPr>
    </w:p>
    <w:p w:rsidR="003B6B6A" w:rsidRDefault="003B6B6A" w:rsidP="00AE0660">
      <w:pPr>
        <w:rPr>
          <w:sz w:val="20"/>
          <w:szCs w:val="20"/>
        </w:rPr>
      </w:pPr>
    </w:p>
    <w:p w:rsidR="003B6B6A" w:rsidRPr="00952FC3" w:rsidRDefault="003B6B6A" w:rsidP="00AE0660">
      <w:pPr>
        <w:rPr>
          <w:sz w:val="20"/>
          <w:szCs w:val="20"/>
        </w:rPr>
      </w:pPr>
    </w:p>
    <w:bookmarkEnd w:id="69"/>
    <w:bookmarkEnd w:id="70"/>
    <w:bookmarkEnd w:id="71"/>
    <w:bookmarkEnd w:id="72"/>
    <w:p w:rsidR="00BF3A62" w:rsidRDefault="00BF3A62" w:rsidP="00AE0660">
      <w:pPr>
        <w:pStyle w:val="Heading1"/>
        <w:jc w:val="left"/>
        <w:rPr>
          <w:b w:val="0"/>
          <w:color w:val="FF0000"/>
        </w:rPr>
      </w:pPr>
    </w:p>
    <w:bookmarkEnd w:id="73"/>
    <w:p w:rsidR="00F93ABB" w:rsidRDefault="00F93ABB" w:rsidP="00636EB5">
      <w:pPr>
        <w:pStyle w:val="Title"/>
      </w:pPr>
      <w:r>
        <w:t>Section 4: Annual Governance Statement</w:t>
      </w:r>
    </w:p>
    <w:p w:rsidR="007F6845" w:rsidRPr="008D708C" w:rsidRDefault="007F6845" w:rsidP="007F6845">
      <w:pPr>
        <w:pStyle w:val="Heading1"/>
      </w:pPr>
      <w:r w:rsidRPr="00504473">
        <w:t>4.</w:t>
      </w:r>
      <w:r>
        <w:rPr>
          <w:sz w:val="18"/>
          <w:szCs w:val="18"/>
        </w:rPr>
        <w:t xml:space="preserve"> </w:t>
      </w:r>
      <w:r w:rsidRPr="008D708C">
        <w:t>Annual Governance Statement 201</w:t>
      </w:r>
      <w:r>
        <w:t>4</w:t>
      </w:r>
      <w:r w:rsidRPr="008D708C">
        <w:t>/1</w:t>
      </w:r>
      <w:r>
        <w:t>5</w:t>
      </w:r>
    </w:p>
    <w:p w:rsidR="007F6845" w:rsidRPr="00912025" w:rsidRDefault="007F6845" w:rsidP="007F6845">
      <w:pPr>
        <w:rPr>
          <w:rFonts w:cs="Arial"/>
          <w:b/>
          <w:color w:val="0070C0"/>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992"/>
      </w:tblGrid>
      <w:tr w:rsidR="007F6845" w:rsidRPr="00C52316" w:rsidTr="007615AB">
        <w:trPr>
          <w:trHeight w:val="699"/>
        </w:trPr>
        <w:tc>
          <w:tcPr>
            <w:tcW w:w="8992" w:type="dxa"/>
            <w:tcBorders>
              <w:top w:val="single" w:sz="4" w:space="0" w:color="000000"/>
              <w:left w:val="single" w:sz="4" w:space="0" w:color="000000"/>
              <w:bottom w:val="single" w:sz="4" w:space="0" w:color="000000"/>
              <w:right w:val="single" w:sz="4" w:space="0" w:color="000000"/>
            </w:tcBorders>
          </w:tcPr>
          <w:p w:rsidR="007F6845" w:rsidRPr="00A93ECA" w:rsidRDefault="007F6845" w:rsidP="007615AB">
            <w:pPr>
              <w:jc w:val="left"/>
              <w:rPr>
                <w:rFonts w:cs="Arial"/>
                <w:b/>
                <w:sz w:val="24"/>
                <w:szCs w:val="24"/>
              </w:rPr>
            </w:pPr>
            <w:r w:rsidRPr="00A93ECA">
              <w:rPr>
                <w:rFonts w:ascii="Times New Roman" w:hAnsi="Times New Roman"/>
                <w:b/>
              </w:rPr>
              <w:br w:type="page"/>
            </w:r>
          </w:p>
          <w:p w:rsidR="007F6845" w:rsidRPr="00A93ECA" w:rsidRDefault="007F6845" w:rsidP="007615AB">
            <w:pPr>
              <w:jc w:val="left"/>
              <w:rPr>
                <w:rFonts w:cs="Arial"/>
                <w:b/>
                <w:sz w:val="24"/>
                <w:szCs w:val="24"/>
                <w:u w:val="single"/>
              </w:rPr>
            </w:pPr>
            <w:r w:rsidRPr="00A93ECA">
              <w:rPr>
                <w:rFonts w:cs="Arial"/>
                <w:b/>
                <w:sz w:val="24"/>
                <w:szCs w:val="24"/>
              </w:rPr>
              <w:t>1.</w:t>
            </w:r>
            <w:r w:rsidRPr="00A93ECA">
              <w:rPr>
                <w:rFonts w:cs="Arial"/>
                <w:b/>
                <w:sz w:val="24"/>
                <w:szCs w:val="24"/>
                <w:u w:val="single"/>
              </w:rPr>
              <w:t>Scope of responsibility</w:t>
            </w:r>
          </w:p>
          <w:p w:rsidR="007F6845" w:rsidRPr="00A93ECA" w:rsidRDefault="007F6845" w:rsidP="007615AB">
            <w:pPr>
              <w:rPr>
                <w:rFonts w:cs="Arial"/>
                <w:b/>
                <w:sz w:val="24"/>
                <w:szCs w:val="24"/>
                <w:u w:val="single"/>
              </w:rPr>
            </w:pPr>
          </w:p>
          <w:p w:rsidR="007F6845" w:rsidRPr="00A93ECA" w:rsidRDefault="007F6845" w:rsidP="007615AB">
            <w:r w:rsidRPr="00A93ECA">
              <w:t>As Accountable Officer, and Chief Executive of this Board, I have responsibility for maintaining a sound system of internal control that supports the achievement of the organisation’s policies, aims and objectives. I also have responsibility for safeguarding the public funds and the organisation’s assets for which I am personally responsible, as set out in the Accountable Officer Memorandum.</w:t>
            </w:r>
          </w:p>
          <w:p w:rsidR="007F6845" w:rsidRPr="00A93ECA" w:rsidRDefault="007F6845" w:rsidP="007615AB"/>
          <w:p w:rsidR="007F6845" w:rsidRPr="00A93ECA" w:rsidRDefault="007F6845" w:rsidP="007615AB">
            <w:pPr>
              <w:pStyle w:val="NoSpacing"/>
              <w:rPr>
                <w:lang w:eastAsia="en-GB"/>
              </w:rPr>
            </w:pPr>
            <w:r w:rsidRPr="00A93ECA">
              <w:rPr>
                <w:lang w:eastAsia="en-GB"/>
              </w:rPr>
              <w:t>Scrutiny by the Non-Executive Directors in the Remuneration and Terms of Service Committee, by Non-Executive Directors and Auditors in the Audit and Assurance Committee, by Non-Executive Directors and Executive Directors in the Quality and Governance Committee and by Non-Executive Directors and Executive Directors in the Finance Committee, provides me with assurance of internal control including probity in the application of public funds and in the conduct of the organisation’s responsibilities. Reports from these Committees are received by the Board meetings and are publically available.</w:t>
            </w:r>
          </w:p>
          <w:p w:rsidR="007F6845" w:rsidRPr="00A93ECA" w:rsidRDefault="007F6845" w:rsidP="007615AB">
            <w:pPr>
              <w:autoSpaceDE w:val="0"/>
              <w:autoSpaceDN w:val="0"/>
              <w:adjustRightInd w:val="0"/>
              <w:rPr>
                <w:rFonts w:cs="Arial"/>
              </w:rPr>
            </w:pPr>
          </w:p>
          <w:p w:rsidR="007F6845" w:rsidRPr="00A93ECA" w:rsidRDefault="007F6845" w:rsidP="007615AB">
            <w:pPr>
              <w:autoSpaceDE w:val="0"/>
              <w:autoSpaceDN w:val="0"/>
            </w:pPr>
            <w:r w:rsidRPr="00A93ECA">
              <w:t xml:space="preserve">In my role as Accountable Officer I fulfill my responsibilities in close association with the Chief Executive and Senior Officers of NHS Trust Development Authority, the Chief Executive and Directors of Bristol, North Somerset, Somerset &amp; South Gloucestershire Area Team and the Leaders of the North Somerset and Somerset Clinical Commissioning Groups. </w:t>
            </w:r>
          </w:p>
          <w:p w:rsidR="007F6845" w:rsidRPr="00A93ECA" w:rsidRDefault="007F6845" w:rsidP="007615AB">
            <w:pPr>
              <w:autoSpaceDE w:val="0"/>
              <w:autoSpaceDN w:val="0"/>
              <w:adjustRightInd w:val="0"/>
              <w:rPr>
                <w:rFonts w:cs="Arial"/>
              </w:rPr>
            </w:pPr>
          </w:p>
          <w:p w:rsidR="007F6845" w:rsidRPr="00A93ECA" w:rsidRDefault="007F6845" w:rsidP="007615AB">
            <w:pPr>
              <w:autoSpaceDE w:val="0"/>
              <w:autoSpaceDN w:val="0"/>
              <w:adjustRightInd w:val="0"/>
              <w:rPr>
                <w:rFonts w:cs="Arial"/>
              </w:rPr>
            </w:pPr>
            <w:r w:rsidRPr="00A93ECA">
              <w:rPr>
                <w:rFonts w:cs="Arial"/>
              </w:rPr>
              <w:t xml:space="preserve">Governance and risk issues are regularly discussed at a variety of health economy-wide forums. </w:t>
            </w:r>
            <w:r w:rsidRPr="00A93ECA">
              <w:rPr>
                <w:rFonts w:cs="Arial"/>
                <w:lang w:eastAsia="en-GB"/>
              </w:rPr>
              <w:t xml:space="preserve">Regular meetings take place with our partners covering performance and strategy. The Trust also works </w:t>
            </w:r>
            <w:r w:rsidRPr="00A93ECA">
              <w:rPr>
                <w:rFonts w:cs="Arial"/>
              </w:rPr>
              <w:t>closely with its key partners, notably North Somerset Council, North Somerset Community Social Enterprise, Weston College and Healthwatch North Somerset. The Trust takes an active part in sector-wide networks and both I and the Executive Directors represent the Trust in key strategic alliances. These include:</w:t>
            </w:r>
          </w:p>
          <w:p w:rsidR="007F6845" w:rsidRPr="00A93ECA" w:rsidRDefault="007F6845" w:rsidP="007615AB">
            <w:pPr>
              <w:rPr>
                <w:rFonts w:cs="Arial"/>
              </w:rPr>
            </w:pPr>
          </w:p>
          <w:p w:rsidR="007F6845" w:rsidRPr="00A93ECA" w:rsidRDefault="007F6845" w:rsidP="007615AB">
            <w:pPr>
              <w:ind w:left="360"/>
              <w:rPr>
                <w:rFonts w:cs="Arial"/>
              </w:rPr>
            </w:pPr>
            <w:r w:rsidRPr="00A93ECA">
              <w:rPr>
                <w:rFonts w:cs="Arial"/>
              </w:rPr>
              <w:t xml:space="preserve">Regional meetings and forums: </w:t>
            </w:r>
          </w:p>
          <w:p w:rsidR="007F6845" w:rsidRPr="00A93ECA" w:rsidRDefault="007F6845" w:rsidP="007F6845">
            <w:pPr>
              <w:pStyle w:val="ListParagraph"/>
              <w:numPr>
                <w:ilvl w:val="0"/>
                <w:numId w:val="22"/>
              </w:numPr>
              <w:contextualSpacing w:val="0"/>
              <w:rPr>
                <w:rFonts w:cs="Arial"/>
              </w:rPr>
            </w:pPr>
            <w:r w:rsidRPr="00A93ECA">
              <w:rPr>
                <w:rFonts w:cs="Arial"/>
              </w:rPr>
              <w:t>Chairs and Chief Executives with the Trust Development Authority</w:t>
            </w:r>
          </w:p>
          <w:p w:rsidR="007F6845" w:rsidRPr="00A93ECA" w:rsidRDefault="007F6845" w:rsidP="007F6845">
            <w:pPr>
              <w:pStyle w:val="ListParagraph"/>
              <w:numPr>
                <w:ilvl w:val="0"/>
                <w:numId w:val="22"/>
              </w:numPr>
              <w:contextualSpacing w:val="0"/>
              <w:rPr>
                <w:rFonts w:cs="Arial"/>
              </w:rPr>
            </w:pPr>
            <w:r w:rsidRPr="00A93ECA">
              <w:rPr>
                <w:rFonts w:cs="Arial"/>
              </w:rPr>
              <w:t>Specialist forums for Directors of Finance, Nursing &amp; Human Resources</w:t>
            </w:r>
          </w:p>
          <w:p w:rsidR="007F6845" w:rsidRPr="00A93ECA" w:rsidRDefault="007F6845" w:rsidP="007615AB">
            <w:pPr>
              <w:rPr>
                <w:rFonts w:cs="Arial"/>
              </w:rPr>
            </w:pPr>
          </w:p>
          <w:p w:rsidR="007F6845" w:rsidRPr="00A93ECA" w:rsidRDefault="007F6845" w:rsidP="007615AB">
            <w:pPr>
              <w:ind w:left="360"/>
              <w:rPr>
                <w:rFonts w:cs="Arial"/>
              </w:rPr>
            </w:pPr>
            <w:r w:rsidRPr="00A93ECA">
              <w:rPr>
                <w:rFonts w:cs="Arial"/>
              </w:rPr>
              <w:t>Bristol, North Somerset, Somerset &amp; South Gloucestershire Area (BNSSG) meetings and forums :</w:t>
            </w:r>
          </w:p>
          <w:p w:rsidR="007F6845" w:rsidRPr="00A93ECA" w:rsidRDefault="007F6845" w:rsidP="007F6845">
            <w:pPr>
              <w:pStyle w:val="ListParagraph"/>
              <w:numPr>
                <w:ilvl w:val="0"/>
                <w:numId w:val="22"/>
              </w:numPr>
              <w:contextualSpacing w:val="0"/>
              <w:rPr>
                <w:rFonts w:cs="Arial"/>
              </w:rPr>
            </w:pPr>
            <w:r w:rsidRPr="00A93ECA">
              <w:rPr>
                <w:rFonts w:cs="Arial"/>
              </w:rPr>
              <w:t>BNSSG Quality Review meetings</w:t>
            </w:r>
          </w:p>
          <w:p w:rsidR="007F6845" w:rsidRPr="00A93ECA" w:rsidRDefault="007F6845" w:rsidP="007F6845">
            <w:pPr>
              <w:pStyle w:val="ListParagraph"/>
              <w:numPr>
                <w:ilvl w:val="0"/>
                <w:numId w:val="22"/>
              </w:numPr>
              <w:contextualSpacing w:val="0"/>
              <w:rPr>
                <w:rFonts w:cs="Arial"/>
              </w:rPr>
            </w:pPr>
            <w:r w:rsidRPr="00A93ECA">
              <w:rPr>
                <w:rFonts w:cs="Arial"/>
              </w:rPr>
              <w:t>BNSSG System Leadership meetings</w:t>
            </w:r>
          </w:p>
          <w:p w:rsidR="007F6845" w:rsidRPr="00A93ECA" w:rsidRDefault="007F6845" w:rsidP="007F6845">
            <w:pPr>
              <w:pStyle w:val="ListParagraph"/>
              <w:numPr>
                <w:ilvl w:val="0"/>
                <w:numId w:val="22"/>
              </w:numPr>
              <w:contextualSpacing w:val="0"/>
              <w:rPr>
                <w:rFonts w:cs="Arial"/>
              </w:rPr>
            </w:pPr>
            <w:r w:rsidRPr="00A93ECA">
              <w:rPr>
                <w:rFonts w:cs="Arial"/>
              </w:rPr>
              <w:t>BNSSG Strategic Resilience Group meetings</w:t>
            </w:r>
          </w:p>
          <w:p w:rsidR="007F6845" w:rsidRPr="00A93ECA" w:rsidRDefault="007F6845" w:rsidP="007F6845">
            <w:pPr>
              <w:pStyle w:val="ListParagraph"/>
              <w:numPr>
                <w:ilvl w:val="0"/>
                <w:numId w:val="22"/>
              </w:numPr>
              <w:contextualSpacing w:val="0"/>
              <w:rPr>
                <w:rFonts w:cs="Arial"/>
              </w:rPr>
            </w:pPr>
            <w:r w:rsidRPr="00A93ECA">
              <w:rPr>
                <w:rFonts w:cs="Arial"/>
              </w:rPr>
              <w:t>BNSSG Director of Finance meetings</w:t>
            </w:r>
          </w:p>
          <w:p w:rsidR="007F6845" w:rsidRPr="00A93ECA" w:rsidRDefault="007F6845" w:rsidP="007F6845">
            <w:pPr>
              <w:pStyle w:val="ListParagraph"/>
              <w:numPr>
                <w:ilvl w:val="0"/>
                <w:numId w:val="22"/>
              </w:numPr>
              <w:contextualSpacing w:val="0"/>
              <w:rPr>
                <w:rFonts w:cs="Arial"/>
              </w:rPr>
            </w:pPr>
            <w:r w:rsidRPr="00A93ECA">
              <w:rPr>
                <w:rFonts w:cs="Arial"/>
              </w:rPr>
              <w:t>North Somerset Director of Infection Prevention and Control Forum</w:t>
            </w:r>
          </w:p>
          <w:p w:rsidR="007F6845" w:rsidRPr="00A93ECA" w:rsidRDefault="007F6845" w:rsidP="007F6845">
            <w:pPr>
              <w:pStyle w:val="ListParagraph"/>
              <w:numPr>
                <w:ilvl w:val="0"/>
                <w:numId w:val="22"/>
              </w:numPr>
              <w:contextualSpacing w:val="0"/>
              <w:rPr>
                <w:rFonts w:cs="Arial"/>
              </w:rPr>
            </w:pPr>
            <w:r w:rsidRPr="00A93ECA">
              <w:rPr>
                <w:rFonts w:cs="Arial"/>
              </w:rPr>
              <w:lastRenderedPageBreak/>
              <w:t>West of England Academic Health Sciences Network</w:t>
            </w:r>
          </w:p>
          <w:p w:rsidR="007F6845" w:rsidRPr="00A93ECA" w:rsidRDefault="007F6845" w:rsidP="007615AB">
            <w:pPr>
              <w:rPr>
                <w:rFonts w:cs="Arial"/>
              </w:rPr>
            </w:pPr>
          </w:p>
          <w:p w:rsidR="007F6845" w:rsidRPr="00A93ECA" w:rsidRDefault="007F6845" w:rsidP="007615AB">
            <w:pPr>
              <w:ind w:left="360"/>
              <w:rPr>
                <w:rFonts w:cs="Arial"/>
              </w:rPr>
            </w:pPr>
            <w:r w:rsidRPr="00A93ECA">
              <w:rPr>
                <w:rFonts w:cs="Arial"/>
              </w:rPr>
              <w:t xml:space="preserve">Clinical Networking: </w:t>
            </w:r>
          </w:p>
          <w:p w:rsidR="007F6845" w:rsidRPr="00A93ECA" w:rsidRDefault="007F6845" w:rsidP="007F6845">
            <w:pPr>
              <w:pStyle w:val="ListParagraph"/>
              <w:numPr>
                <w:ilvl w:val="0"/>
                <w:numId w:val="22"/>
              </w:numPr>
              <w:contextualSpacing w:val="0"/>
              <w:rPr>
                <w:rFonts w:cs="Arial"/>
              </w:rPr>
            </w:pPr>
            <w:r w:rsidRPr="00A93ECA">
              <w:rPr>
                <w:rFonts w:cs="Arial"/>
              </w:rPr>
              <w:t>Care pathway networks including the Avon, Somerset, Gloucester and Wiltshire Cancer Network and Urgent Care Network</w:t>
            </w:r>
          </w:p>
          <w:p w:rsidR="007F6845" w:rsidRPr="00A93ECA" w:rsidRDefault="007F6845" w:rsidP="007F6845">
            <w:pPr>
              <w:pStyle w:val="ListParagraph"/>
              <w:numPr>
                <w:ilvl w:val="0"/>
                <w:numId w:val="22"/>
              </w:numPr>
              <w:contextualSpacing w:val="0"/>
              <w:rPr>
                <w:rFonts w:cs="Arial"/>
              </w:rPr>
            </w:pPr>
            <w:r w:rsidRPr="00A93ECA">
              <w:rPr>
                <w:rFonts w:cs="Arial"/>
              </w:rPr>
              <w:t>North Somerset Safeguarding Adults Board</w:t>
            </w:r>
          </w:p>
          <w:p w:rsidR="007F6845" w:rsidRPr="00A93ECA" w:rsidRDefault="007F6845" w:rsidP="007F6845">
            <w:pPr>
              <w:pStyle w:val="ListParagraph"/>
              <w:numPr>
                <w:ilvl w:val="0"/>
                <w:numId w:val="22"/>
              </w:numPr>
              <w:contextualSpacing w:val="0"/>
              <w:rPr>
                <w:rFonts w:cs="Arial"/>
              </w:rPr>
            </w:pPr>
            <w:r w:rsidRPr="00A93ECA">
              <w:rPr>
                <w:rFonts w:cs="Arial"/>
              </w:rPr>
              <w:t>North Somerset Safeguarding Children Board</w:t>
            </w:r>
          </w:p>
          <w:p w:rsidR="007F6845" w:rsidRPr="00A93ECA" w:rsidRDefault="007F6845" w:rsidP="007F6845">
            <w:pPr>
              <w:pStyle w:val="ListParagraph"/>
              <w:numPr>
                <w:ilvl w:val="0"/>
                <w:numId w:val="22"/>
              </w:numPr>
              <w:contextualSpacing w:val="0"/>
              <w:rPr>
                <w:rFonts w:cs="Arial"/>
                <w:b/>
                <w:sz w:val="24"/>
                <w:szCs w:val="24"/>
                <w:u w:val="single"/>
              </w:rPr>
            </w:pPr>
            <w:r w:rsidRPr="00A93ECA">
              <w:rPr>
                <w:rFonts w:cs="Arial"/>
              </w:rPr>
              <w:t xml:space="preserve">Avon and Somerset Local Health Resilience Partnership </w:t>
            </w:r>
          </w:p>
          <w:p w:rsidR="007F6845" w:rsidRPr="00A93ECA" w:rsidRDefault="007F6845" w:rsidP="007F6845">
            <w:pPr>
              <w:pStyle w:val="ListParagraph"/>
              <w:numPr>
                <w:ilvl w:val="0"/>
                <w:numId w:val="22"/>
              </w:numPr>
              <w:contextualSpacing w:val="0"/>
              <w:rPr>
                <w:rFonts w:cs="Arial"/>
                <w:b/>
                <w:sz w:val="24"/>
                <w:szCs w:val="24"/>
                <w:u w:val="single"/>
              </w:rPr>
            </w:pPr>
            <w:r w:rsidRPr="00A93ECA">
              <w:rPr>
                <w:rFonts w:cs="Arial"/>
              </w:rPr>
              <w:t>North Somerset Health Overview and Scrutiny Committee</w:t>
            </w:r>
          </w:p>
          <w:p w:rsidR="007F6845" w:rsidRPr="00A93ECA" w:rsidRDefault="007F6845" w:rsidP="007F6845">
            <w:pPr>
              <w:pStyle w:val="ListParagraph"/>
              <w:numPr>
                <w:ilvl w:val="0"/>
                <w:numId w:val="22"/>
              </w:numPr>
              <w:contextualSpacing w:val="0"/>
              <w:rPr>
                <w:rFonts w:cs="Arial"/>
                <w:b/>
                <w:sz w:val="24"/>
                <w:szCs w:val="24"/>
                <w:u w:val="single"/>
              </w:rPr>
            </w:pPr>
            <w:r w:rsidRPr="00A93ECA">
              <w:rPr>
                <w:rFonts w:cs="Arial"/>
              </w:rPr>
              <w:t>North Somerset Health and Wellbeing Board (People and Communities Board)</w:t>
            </w:r>
          </w:p>
          <w:p w:rsidR="007F6845" w:rsidRPr="00A93ECA" w:rsidRDefault="007F6845" w:rsidP="007615AB">
            <w:pPr>
              <w:rPr>
                <w:rFonts w:cs="Arial"/>
                <w:b/>
                <w:sz w:val="24"/>
                <w:szCs w:val="24"/>
                <w:u w:val="single"/>
              </w:rPr>
            </w:pPr>
          </w:p>
          <w:p w:rsidR="007F6845" w:rsidRPr="00A93ECA" w:rsidRDefault="007F6845" w:rsidP="007615AB">
            <w:pPr>
              <w:rPr>
                <w:rFonts w:cs="Arial"/>
                <w:b/>
                <w:sz w:val="24"/>
                <w:szCs w:val="24"/>
                <w:u w:val="single"/>
              </w:rPr>
            </w:pPr>
            <w:r w:rsidRPr="00A93ECA">
              <w:rPr>
                <w:rFonts w:cs="Arial"/>
                <w:b/>
                <w:sz w:val="24"/>
                <w:szCs w:val="24"/>
              </w:rPr>
              <w:t>2.</w:t>
            </w:r>
            <w:r w:rsidRPr="00A93ECA">
              <w:rPr>
                <w:rFonts w:cs="Arial"/>
                <w:b/>
                <w:sz w:val="24"/>
                <w:szCs w:val="24"/>
                <w:u w:val="single"/>
              </w:rPr>
              <w:t xml:space="preserve"> The Governance Framework of the Organisation</w:t>
            </w:r>
          </w:p>
          <w:p w:rsidR="007F6845" w:rsidRPr="00A93ECA" w:rsidRDefault="007F6845" w:rsidP="007615AB">
            <w:pPr>
              <w:pStyle w:val="ListParagraph"/>
              <w:ind w:left="645"/>
              <w:rPr>
                <w:rFonts w:cs="Arial"/>
                <w:b/>
                <w:sz w:val="24"/>
                <w:szCs w:val="24"/>
                <w:u w:val="single"/>
              </w:rPr>
            </w:pPr>
          </w:p>
          <w:p w:rsidR="007F6845" w:rsidRPr="00A93ECA" w:rsidRDefault="007F6845" w:rsidP="007615AB">
            <w:pPr>
              <w:pStyle w:val="BodyText2"/>
              <w:spacing w:line="240" w:lineRule="auto"/>
              <w:rPr>
                <w:rFonts w:cs="Arial"/>
              </w:rPr>
            </w:pPr>
            <w:r w:rsidRPr="00A93ECA">
              <w:rPr>
                <w:rFonts w:cs="Arial"/>
              </w:rPr>
              <w:t>The system of internal control is designed to manage risk to a reasonable level rather than to eliminate all risk of failure to achieve policies, aims and objectives. It can therefore only provide a reasonable and not absolute assurance of effectiveness. The system of internal control is based on an ongoing process designed to:</w:t>
            </w:r>
          </w:p>
          <w:p w:rsidR="007F6845" w:rsidRPr="00A93ECA" w:rsidRDefault="007F6845" w:rsidP="007F6845">
            <w:pPr>
              <w:pStyle w:val="ListParagraph"/>
              <w:numPr>
                <w:ilvl w:val="0"/>
                <w:numId w:val="21"/>
              </w:numPr>
              <w:contextualSpacing w:val="0"/>
              <w:rPr>
                <w:rFonts w:cs="Arial"/>
              </w:rPr>
            </w:pPr>
            <w:r w:rsidRPr="00A93ECA">
              <w:rPr>
                <w:rFonts w:cs="Arial"/>
              </w:rPr>
              <w:t>Identify and prioritise the risks to the achievement of the organisation’s policies, aims and objectives.</w:t>
            </w:r>
          </w:p>
          <w:p w:rsidR="007F6845" w:rsidRPr="00A93ECA" w:rsidRDefault="007F6845" w:rsidP="007F6845">
            <w:pPr>
              <w:pStyle w:val="ListParagraph"/>
              <w:numPr>
                <w:ilvl w:val="0"/>
                <w:numId w:val="21"/>
              </w:numPr>
              <w:contextualSpacing w:val="0"/>
              <w:rPr>
                <w:rFonts w:cs="Arial"/>
              </w:rPr>
            </w:pPr>
            <w:r w:rsidRPr="00A93ECA">
              <w:rPr>
                <w:rFonts w:cs="Arial"/>
              </w:rPr>
              <w:t>Evaluate the likelihood of those risks being realised and the impact should they be realised, and to manage them efficiently, effectively and economically.</w:t>
            </w:r>
          </w:p>
          <w:p w:rsidR="007F6845" w:rsidRPr="00A93ECA" w:rsidRDefault="007F6845" w:rsidP="007615AB">
            <w:pPr>
              <w:rPr>
                <w:rFonts w:cs="Arial"/>
                <w:b/>
                <w:sz w:val="24"/>
                <w:szCs w:val="24"/>
                <w:u w:val="single"/>
              </w:rPr>
            </w:pPr>
          </w:p>
          <w:p w:rsidR="007F6845" w:rsidRDefault="007F6845" w:rsidP="007615AB">
            <w:pPr>
              <w:rPr>
                <w:rFonts w:cs="Arial"/>
              </w:rPr>
            </w:pPr>
            <w:r w:rsidRPr="00147FEA">
              <w:rPr>
                <w:rFonts w:cs="Arial"/>
              </w:rPr>
              <w:t xml:space="preserve">The foundations of good governance are the means by which an NHS Trust pulls together all of the competing pressures on the Trust Board and its supporting structures to enable good governance. Good governance is a means to create greater focus, capacity and capability for NHS Boards. It allows NHS Board members to work more corporately as a team, to challenge NHS Board agendas, deliver objectives in a coherent way and review the NHS Board support structures that enable them to govern effectively. </w:t>
            </w:r>
          </w:p>
          <w:p w:rsidR="00147FEA" w:rsidRDefault="00147FEA" w:rsidP="007615AB">
            <w:pPr>
              <w:rPr>
                <w:rFonts w:cs="Arial"/>
              </w:rPr>
            </w:pPr>
          </w:p>
          <w:p w:rsidR="00147FEA" w:rsidRPr="00A93ECA" w:rsidRDefault="00147FEA" w:rsidP="00147FEA">
            <w:pPr>
              <w:rPr>
                <w:rFonts w:cs="Arial"/>
              </w:rPr>
            </w:pPr>
            <w:r w:rsidRPr="00A93ECA">
              <w:rPr>
                <w:rFonts w:cs="Arial"/>
              </w:rPr>
              <w:t xml:space="preserve">Effective corporate and clinical governance is fundamental for the success of every NHS organisation. As we embark on our journey of strategic change, it is essential that the Trust has a healthy and effective NHS Board in place which can operate to the highest of corporate governance standards. </w:t>
            </w:r>
          </w:p>
          <w:p w:rsidR="00147FEA" w:rsidRPr="00A93ECA" w:rsidRDefault="00147FEA" w:rsidP="00147FEA">
            <w:pPr>
              <w:rPr>
                <w:rFonts w:cs="Arial"/>
              </w:rPr>
            </w:pPr>
          </w:p>
          <w:p w:rsidR="00147FEA" w:rsidRPr="00A93ECA" w:rsidRDefault="00147FEA" w:rsidP="00147FEA">
            <w:pPr>
              <w:rPr>
                <w:rFonts w:cs="Arial"/>
              </w:rPr>
            </w:pPr>
            <w:r w:rsidRPr="00A93ECA">
              <w:rPr>
                <w:rFonts w:cs="Arial"/>
              </w:rPr>
              <w:t>The ‘Healthy NHS Board Principles for Good Governance’</w:t>
            </w:r>
            <w:r w:rsidRPr="00A93ECA">
              <w:rPr>
                <w:rStyle w:val="EndnoteReference"/>
                <w:rFonts w:cs="Arial"/>
              </w:rPr>
              <w:endnoteReference w:id="1"/>
            </w:r>
            <w:r w:rsidRPr="00A93ECA">
              <w:rPr>
                <w:rFonts w:cs="Arial"/>
              </w:rPr>
              <w:t xml:space="preserve"> report 2013 (published by the NHS National Leadership Council) highlights the requirement for all NHS Trust Boards to have a key role in safeguarding quality and to seek assurance that systems of control are robust and reliable. </w:t>
            </w:r>
          </w:p>
          <w:p w:rsidR="007F6845" w:rsidRPr="00147FEA" w:rsidRDefault="007F6845" w:rsidP="007615AB">
            <w:pPr>
              <w:rPr>
                <w:rFonts w:cs="Arial"/>
              </w:rPr>
            </w:pPr>
          </w:p>
          <w:p w:rsidR="007F6845" w:rsidRDefault="00147FEA" w:rsidP="007615AB">
            <w:pPr>
              <w:rPr>
                <w:rFonts w:cs="Arial"/>
              </w:rPr>
            </w:pPr>
            <w:r>
              <w:rPr>
                <w:rFonts w:cs="Arial"/>
              </w:rPr>
              <w:t xml:space="preserve">The Trust is </w:t>
            </w:r>
            <w:r w:rsidR="007F6845" w:rsidRPr="00147FEA">
              <w:rPr>
                <w:rFonts w:cs="Arial"/>
              </w:rPr>
              <w:t>committed to complying with the principles set out in ‘Governing the NHS - A guide for NHS Boards’ published by the NHS Appointments Commission in June 2003</w:t>
            </w:r>
            <w:r>
              <w:rPr>
                <w:rFonts w:cs="Arial"/>
              </w:rPr>
              <w:t>. By so doing we aim to implement</w:t>
            </w:r>
            <w:r w:rsidRPr="00147FEA">
              <w:rPr>
                <w:rFonts w:cs="Arial"/>
              </w:rPr>
              <w:t xml:space="preserve"> the principles of good governance to ensure the delivery of high quality patient-focused care that is well managed, cost-effective, and has a well trained and motivate</w:t>
            </w:r>
            <w:r>
              <w:rPr>
                <w:rFonts w:cs="Arial"/>
              </w:rPr>
              <w:t>d work force.</w:t>
            </w:r>
          </w:p>
          <w:p w:rsidR="00147FEA" w:rsidRDefault="00147FEA" w:rsidP="007615AB">
            <w:pPr>
              <w:rPr>
                <w:rFonts w:cs="Arial"/>
              </w:rPr>
            </w:pPr>
          </w:p>
          <w:p w:rsidR="007F6845" w:rsidRPr="00A93ECA" w:rsidRDefault="007F6845" w:rsidP="007615AB">
            <w:pPr>
              <w:rPr>
                <w:rFonts w:cs="Arial"/>
              </w:rPr>
            </w:pPr>
            <w:r w:rsidRPr="00A93ECA">
              <w:rPr>
                <w:rFonts w:cs="Arial"/>
              </w:rPr>
              <w:t>It is against these principles and also from guidance and best practice from the NHS Code of Governance, The Intelligent Board and Foundations of Good Governance that the Trust’s current governance arrangements were first reviewed and assessed during 2011/12 and then consolidated by the Trust Board throughout 2012/13,2013/14 and 2014/15.</w:t>
            </w:r>
          </w:p>
          <w:p w:rsidR="007F6845" w:rsidRDefault="007F6845" w:rsidP="007615AB">
            <w:pPr>
              <w:rPr>
                <w:rFonts w:cs="Arial"/>
              </w:rPr>
            </w:pPr>
          </w:p>
          <w:p w:rsidR="00520E10" w:rsidRPr="003B6B6A" w:rsidRDefault="00520E10" w:rsidP="00520E10">
            <w:pPr>
              <w:autoSpaceDE w:val="0"/>
              <w:autoSpaceDN w:val="0"/>
              <w:adjustRightInd w:val="0"/>
              <w:rPr>
                <w:rFonts w:cs="Arial"/>
              </w:rPr>
            </w:pPr>
            <w:r w:rsidRPr="003B6B6A">
              <w:rPr>
                <w:rFonts w:cs="Arial"/>
              </w:rPr>
              <w:lastRenderedPageBreak/>
              <w:t>NHS Trusts are not required to comply with the UK Corporate Governance Code. The Trust does not comply with the Code. However, we have reported on our Corporate Governance arrangements by drawing upon best practice available, including those aspects of the UK Corporate Governance Code we consider to be relevant to the Trust and best practice, to ensure the delivery of high quality patient-focused care that is well managed and cost-effective, by a well trained and motivated work force.</w:t>
            </w:r>
          </w:p>
          <w:p w:rsidR="00520E10" w:rsidRPr="00A93ECA" w:rsidRDefault="00520E10" w:rsidP="007615AB">
            <w:pPr>
              <w:rPr>
                <w:rFonts w:cs="Arial"/>
              </w:rPr>
            </w:pPr>
          </w:p>
          <w:p w:rsidR="007F6845" w:rsidRPr="00A93ECA" w:rsidRDefault="007F6845" w:rsidP="007615AB">
            <w:pPr>
              <w:autoSpaceDE w:val="0"/>
              <w:autoSpaceDN w:val="0"/>
              <w:adjustRightInd w:val="0"/>
              <w:rPr>
                <w:rFonts w:cs="Arial"/>
                <w:lang w:eastAsia="en-GB"/>
              </w:rPr>
            </w:pPr>
            <w:r w:rsidRPr="00A93ECA">
              <w:rPr>
                <w:rFonts w:cs="Arial"/>
                <w:b/>
              </w:rPr>
              <w:t>The Board Assurance Framework</w:t>
            </w:r>
            <w:r w:rsidRPr="00A93ECA">
              <w:rPr>
                <w:rFonts w:cs="Arial"/>
                <w:lang w:eastAsia="en-GB"/>
              </w:rPr>
              <w:t xml:space="preserve"> links the main elements and aims of the Trust’s internal control and governance policies, identifying the risks to the Trust’s strategic objectives, the key controls in place to manage these risks and the level of assurance with regard to the effectiveness of the controls. The framework identifies any gaps in both the controls and the assurances that the controls are effective. </w:t>
            </w:r>
          </w:p>
          <w:p w:rsidR="007F6845" w:rsidRPr="00A93ECA" w:rsidRDefault="007F6845" w:rsidP="007615AB">
            <w:pPr>
              <w:autoSpaceDE w:val="0"/>
              <w:autoSpaceDN w:val="0"/>
              <w:adjustRightInd w:val="0"/>
              <w:rPr>
                <w:rFonts w:cs="Arial"/>
                <w:lang w:eastAsia="en-GB"/>
              </w:rPr>
            </w:pPr>
          </w:p>
          <w:p w:rsidR="007F6845" w:rsidRPr="00A93ECA" w:rsidRDefault="007F6845" w:rsidP="007615AB">
            <w:pPr>
              <w:autoSpaceDE w:val="0"/>
              <w:autoSpaceDN w:val="0"/>
              <w:adjustRightInd w:val="0"/>
              <w:rPr>
                <w:rFonts w:cs="Arial"/>
                <w:lang w:eastAsia="en-GB"/>
              </w:rPr>
            </w:pPr>
            <w:r w:rsidRPr="00A93ECA">
              <w:rPr>
                <w:rFonts w:cs="Arial"/>
                <w:lang w:eastAsia="en-GB"/>
              </w:rPr>
              <w:t>In line with national guidance it is structured around the high level risks which were deemed to be the most significant risks to prevent delivery of the corporate objectives in 2014/15. It has been considered by the Audit and Assurance Committee on behalf of the Trust Board at each of the six meetings held during the year. It has also been considered by the Trust Board twice during the year at public meetings.</w:t>
            </w:r>
          </w:p>
          <w:p w:rsidR="007F6845" w:rsidRPr="00A93ECA" w:rsidRDefault="007F6845" w:rsidP="007615AB">
            <w:pPr>
              <w:autoSpaceDE w:val="0"/>
              <w:autoSpaceDN w:val="0"/>
              <w:adjustRightInd w:val="0"/>
              <w:rPr>
                <w:rFonts w:cs="Arial"/>
                <w:lang w:eastAsia="en-GB"/>
              </w:rPr>
            </w:pPr>
          </w:p>
          <w:p w:rsidR="007F6845" w:rsidRPr="00A93ECA" w:rsidRDefault="007F6845" w:rsidP="007615AB">
            <w:pPr>
              <w:autoSpaceDE w:val="0"/>
              <w:autoSpaceDN w:val="0"/>
              <w:adjustRightInd w:val="0"/>
              <w:rPr>
                <w:rFonts w:cs="Arial"/>
                <w:lang w:eastAsia="en-GB"/>
              </w:rPr>
            </w:pPr>
            <w:r w:rsidRPr="00A93ECA">
              <w:rPr>
                <w:rFonts w:cs="Arial"/>
                <w:lang w:eastAsia="en-GB"/>
              </w:rPr>
              <w:t>The Framework is regularly reviewed and updated by Directors individually with the Associate Director for Governance and Patient Experience – but also together at the Executive Management Group. This has ensured that risks, controls and assurances against the Trust’s strategic objectives remain aligned, updated and transparent.  Actions to address key risks have been fully documented during the year. Revised processes are carried forward into the coming year to ensure that gaps in control are closed.</w:t>
            </w:r>
          </w:p>
          <w:p w:rsidR="007F6845" w:rsidRPr="00A93ECA" w:rsidRDefault="007F6845" w:rsidP="007615AB">
            <w:pPr>
              <w:autoSpaceDE w:val="0"/>
              <w:autoSpaceDN w:val="0"/>
              <w:adjustRightInd w:val="0"/>
              <w:rPr>
                <w:rFonts w:cs="Arial"/>
                <w:lang w:eastAsia="en-GB"/>
              </w:rPr>
            </w:pPr>
          </w:p>
          <w:p w:rsidR="007F6845" w:rsidRPr="00A93ECA" w:rsidRDefault="007F6845" w:rsidP="007615AB">
            <w:pPr>
              <w:rPr>
                <w:rFonts w:cs="Arial"/>
              </w:rPr>
            </w:pPr>
            <w:r w:rsidRPr="00A93ECA">
              <w:rPr>
                <w:rFonts w:cs="Arial"/>
                <w:b/>
              </w:rPr>
              <w:t>Care Quality Commission standards</w:t>
            </w:r>
            <w:r w:rsidRPr="00A93ECA">
              <w:rPr>
                <w:rFonts w:cs="Arial"/>
              </w:rPr>
              <w:t xml:space="preserve"> The Trust Board has used its’ Assurance Framework to assess its’ position with regards to Care Quality Commission standards and other compliance requirements. </w:t>
            </w:r>
          </w:p>
          <w:p w:rsidR="007F6845" w:rsidRPr="00A93ECA" w:rsidRDefault="007F6845" w:rsidP="007615AB">
            <w:pPr>
              <w:rPr>
                <w:rFonts w:cs="Arial"/>
              </w:rPr>
            </w:pPr>
          </w:p>
          <w:p w:rsidR="007F6845" w:rsidRPr="00A93ECA" w:rsidRDefault="007F6845" w:rsidP="007615AB">
            <w:pPr>
              <w:rPr>
                <w:rFonts w:cs="Arial"/>
              </w:rPr>
            </w:pPr>
            <w:r w:rsidRPr="00A93ECA">
              <w:rPr>
                <w:rFonts w:cs="Arial"/>
              </w:rPr>
              <w:t xml:space="preserve">During 2014/15 the Board has considered the impact of the new inspection framework of the Care Quality Commission. The Board has overseen a revised assessment process in response to the learning from the Care Quality Commission, assessed its’ likely position and improved its governance processes – incrementally aligning reporting to the five CQC reporting domains of safe, effective, caring, responsive and well-led. </w:t>
            </w:r>
          </w:p>
          <w:p w:rsidR="007F6845" w:rsidRPr="00A93ECA" w:rsidRDefault="007F6845" w:rsidP="007615AB">
            <w:pPr>
              <w:rPr>
                <w:rFonts w:cs="Arial"/>
              </w:rPr>
            </w:pPr>
          </w:p>
          <w:p w:rsidR="007F6845" w:rsidRPr="00A93ECA" w:rsidRDefault="007F6845" w:rsidP="007615AB">
            <w:pPr>
              <w:rPr>
                <w:rFonts w:cs="Arial"/>
              </w:rPr>
            </w:pPr>
            <w:r w:rsidRPr="00A93ECA">
              <w:rPr>
                <w:rFonts w:cs="Arial"/>
              </w:rPr>
              <w:t>The Board has considered and responded to the new regulations for the Duty of Candour and Fit and Proper Persons.</w:t>
            </w:r>
          </w:p>
          <w:p w:rsidR="007F6845" w:rsidRPr="00A93ECA" w:rsidRDefault="007F6845" w:rsidP="007615AB">
            <w:pPr>
              <w:rPr>
                <w:rFonts w:cs="Arial"/>
                <w:b/>
                <w:lang w:eastAsia="en-GB"/>
              </w:rPr>
            </w:pPr>
          </w:p>
          <w:p w:rsidR="007F6845" w:rsidRPr="00A93ECA" w:rsidRDefault="007F6845" w:rsidP="007615AB">
            <w:pPr>
              <w:rPr>
                <w:rFonts w:cs="Arial"/>
              </w:rPr>
            </w:pPr>
            <w:r w:rsidRPr="00A93ECA">
              <w:rPr>
                <w:rFonts w:cs="Arial"/>
                <w:b/>
              </w:rPr>
              <w:t>Incidents management.</w:t>
            </w:r>
            <w:r w:rsidRPr="00A93ECA">
              <w:rPr>
                <w:rFonts w:cs="Arial"/>
              </w:rPr>
              <w:t xml:space="preserve"> The Trust uses a web based database to support staff to report safety and quality incidents. Each day incidents are risk scored by the Governance Team. Integration with other assurance reporting streams (for example concerns raised via Patient Advice &amp; Liaison Services) occur and Executive and Operational leads are updated regarding any apparent trends. The quality of investigations and ongoing actions are monitored by the Governance Team.</w:t>
            </w:r>
          </w:p>
          <w:p w:rsidR="007F6845" w:rsidRPr="00A93ECA" w:rsidRDefault="007F6845" w:rsidP="007615AB">
            <w:pPr>
              <w:rPr>
                <w:rFonts w:cs="Arial"/>
              </w:rPr>
            </w:pPr>
          </w:p>
          <w:p w:rsidR="007F6845" w:rsidRPr="00A93ECA" w:rsidRDefault="007F6845" w:rsidP="007615AB">
            <w:pPr>
              <w:rPr>
                <w:rFonts w:cs="Arial"/>
                <w:bCs/>
                <w:lang w:eastAsia="en-GB"/>
              </w:rPr>
            </w:pPr>
            <w:r w:rsidRPr="00A93ECA">
              <w:rPr>
                <w:rFonts w:cs="Arial"/>
                <w:b/>
              </w:rPr>
              <w:t>Clinical audit.</w:t>
            </w:r>
            <w:r w:rsidRPr="00A93ECA">
              <w:rPr>
                <w:rFonts w:cs="Arial"/>
              </w:rPr>
              <w:t xml:space="preserve"> Following the publications of the Berwick, Francis and Keogh Reports in 2013 the Quality Improvement Hub was developed in October 2013. The aim of the Hub is to engage clinicians to focus on quality improvement</w:t>
            </w:r>
            <w:r w:rsidRPr="00A93ECA">
              <w:rPr>
                <w:rFonts w:cs="Arial"/>
                <w:bCs/>
                <w:lang w:eastAsia="en-GB"/>
              </w:rPr>
              <w:t xml:space="preserve"> methodology based on a number of sources: </w:t>
            </w:r>
          </w:p>
          <w:p w:rsidR="007F6845" w:rsidRPr="00A93ECA" w:rsidRDefault="007F6845" w:rsidP="007F6845">
            <w:pPr>
              <w:pStyle w:val="ListParagraph"/>
              <w:numPr>
                <w:ilvl w:val="0"/>
                <w:numId w:val="33"/>
              </w:numPr>
              <w:jc w:val="left"/>
              <w:rPr>
                <w:rFonts w:cs="Arial"/>
                <w:bCs/>
                <w:lang w:eastAsia="en-GB"/>
              </w:rPr>
            </w:pPr>
            <w:r w:rsidRPr="00A93ECA">
              <w:rPr>
                <w:rFonts w:cs="Arial"/>
                <w:bCs/>
                <w:lang w:eastAsia="en-GB"/>
              </w:rPr>
              <w:t xml:space="preserve">The Royal College of Physicians and the Joint Royal Colleges of Physicians Training Board </w:t>
            </w:r>
            <w:r w:rsidRPr="00A93ECA">
              <w:rPr>
                <w:rFonts w:cs="Arial"/>
                <w:bCs/>
                <w:i/>
                <w:lang w:eastAsia="en-GB"/>
              </w:rPr>
              <w:t>Learning to Make a Difference</w:t>
            </w:r>
            <w:r w:rsidRPr="00A93ECA">
              <w:rPr>
                <w:rFonts w:cs="Arial"/>
                <w:bCs/>
                <w:lang w:eastAsia="en-GB"/>
              </w:rPr>
              <w:t xml:space="preserve"> initiative (</w:t>
            </w:r>
            <w:hyperlink r:id="rId44" w:history="1">
              <w:r w:rsidRPr="00A93ECA">
                <w:rPr>
                  <w:rStyle w:val="Hyperlink"/>
                  <w:rFonts w:cs="Arial"/>
                  <w:bCs/>
                  <w:color w:val="auto"/>
                  <w:lang w:eastAsia="en-GB"/>
                </w:rPr>
                <w:t>www.rcplondon.ac.uk</w:t>
              </w:r>
            </w:hyperlink>
            <w:r w:rsidRPr="00A93ECA">
              <w:rPr>
                <w:rFonts w:cs="Arial"/>
                <w:bCs/>
                <w:lang w:eastAsia="en-GB"/>
              </w:rPr>
              <w:t xml:space="preserve">), </w:t>
            </w:r>
          </w:p>
          <w:p w:rsidR="007F6845" w:rsidRPr="00A93ECA" w:rsidRDefault="007F6845" w:rsidP="007F6845">
            <w:pPr>
              <w:pStyle w:val="ListParagraph"/>
              <w:numPr>
                <w:ilvl w:val="0"/>
                <w:numId w:val="33"/>
              </w:numPr>
              <w:jc w:val="left"/>
              <w:rPr>
                <w:rFonts w:cs="Arial"/>
              </w:rPr>
            </w:pPr>
            <w:r w:rsidRPr="00A93ECA">
              <w:rPr>
                <w:rFonts w:cs="Arial"/>
                <w:bCs/>
                <w:lang w:eastAsia="en-GB"/>
              </w:rPr>
              <w:t xml:space="preserve">the Institute for Healthcare Improvement </w:t>
            </w:r>
            <w:r w:rsidRPr="00A93ECA">
              <w:rPr>
                <w:rFonts w:cs="Arial"/>
                <w:bCs/>
                <w:i/>
                <w:lang w:eastAsia="en-GB"/>
              </w:rPr>
              <w:t>Model for Improvement Framework</w:t>
            </w:r>
            <w:r w:rsidRPr="00A93ECA">
              <w:rPr>
                <w:rFonts w:cs="Arial"/>
                <w:bCs/>
                <w:lang w:eastAsia="en-GB"/>
              </w:rPr>
              <w:t xml:space="preserve"> </w:t>
            </w:r>
            <w:r w:rsidRPr="00A93ECA">
              <w:rPr>
                <w:rFonts w:cs="Arial"/>
                <w:bCs/>
                <w:lang w:eastAsia="en-GB"/>
              </w:rPr>
              <w:lastRenderedPageBreak/>
              <w:t>(</w:t>
            </w:r>
            <w:hyperlink r:id="rId45" w:history="1">
              <w:r w:rsidRPr="00A93ECA">
                <w:rPr>
                  <w:rStyle w:val="Hyperlink"/>
                  <w:rFonts w:cs="Arial"/>
                  <w:bCs/>
                  <w:color w:val="auto"/>
                  <w:lang w:eastAsia="en-GB"/>
                </w:rPr>
                <w:t>www.ihi.orgs</w:t>
              </w:r>
            </w:hyperlink>
            <w:r w:rsidRPr="00A93ECA">
              <w:rPr>
                <w:rFonts w:cs="Arial"/>
                <w:bCs/>
                <w:lang w:eastAsia="en-GB"/>
              </w:rPr>
              <w:t>) and</w:t>
            </w:r>
          </w:p>
          <w:p w:rsidR="007F6845" w:rsidRPr="00A93ECA" w:rsidRDefault="007F6845" w:rsidP="007F6845">
            <w:pPr>
              <w:pStyle w:val="ListParagraph"/>
              <w:numPr>
                <w:ilvl w:val="0"/>
                <w:numId w:val="33"/>
              </w:numPr>
              <w:jc w:val="left"/>
              <w:rPr>
                <w:rFonts w:cs="Arial"/>
              </w:rPr>
            </w:pPr>
            <w:r w:rsidRPr="00A93ECA">
              <w:rPr>
                <w:rFonts w:cs="Arial"/>
                <w:bCs/>
                <w:lang w:eastAsia="en-GB"/>
              </w:rPr>
              <w:t xml:space="preserve">The British Medical Journal </w:t>
            </w:r>
            <w:r w:rsidRPr="00A93ECA">
              <w:rPr>
                <w:rFonts w:cs="Arial"/>
                <w:bCs/>
                <w:i/>
                <w:lang w:eastAsia="en-GB"/>
              </w:rPr>
              <w:t>Quality Improvement Programme</w:t>
            </w:r>
            <w:r w:rsidRPr="00A93ECA">
              <w:rPr>
                <w:rFonts w:cs="Arial"/>
                <w:bCs/>
                <w:lang w:eastAsia="en-GB"/>
              </w:rPr>
              <w:t xml:space="preserve"> (</w:t>
            </w:r>
            <w:hyperlink r:id="rId46" w:history="1">
              <w:r w:rsidRPr="00A93ECA">
                <w:rPr>
                  <w:rStyle w:val="Hyperlink"/>
                  <w:rFonts w:cs="Arial"/>
                  <w:bCs/>
                  <w:color w:val="auto"/>
                  <w:lang w:eastAsia="en-GB"/>
                </w:rPr>
                <w:t>quality.bmj.com</w:t>
              </w:r>
            </w:hyperlink>
            <w:r w:rsidRPr="00A93ECA">
              <w:rPr>
                <w:rFonts w:cs="Arial"/>
                <w:bCs/>
                <w:lang w:eastAsia="en-GB"/>
              </w:rPr>
              <w:t>).</w:t>
            </w:r>
            <w:r w:rsidRPr="00A93ECA">
              <w:rPr>
                <w:rFonts w:cs="Arial"/>
              </w:rPr>
              <w:t xml:space="preserve">  </w:t>
            </w:r>
          </w:p>
          <w:p w:rsidR="007F6845" w:rsidRPr="00A93ECA" w:rsidRDefault="007F6845" w:rsidP="007615AB">
            <w:pPr>
              <w:rPr>
                <w:rFonts w:cs="Arial"/>
              </w:rPr>
            </w:pPr>
          </w:p>
          <w:p w:rsidR="007F6845" w:rsidRPr="00A93ECA" w:rsidRDefault="007F6845" w:rsidP="007615AB">
            <w:pPr>
              <w:rPr>
                <w:rFonts w:cs="Arial"/>
                <w:sz w:val="20"/>
                <w:szCs w:val="20"/>
                <w:shd w:val="clear" w:color="auto" w:fill="FFFFFF"/>
              </w:rPr>
            </w:pPr>
            <w:r w:rsidRPr="00A93ECA">
              <w:rPr>
                <w:rFonts w:cs="Arial"/>
              </w:rPr>
              <w:t xml:space="preserve">The Hub is located in a central area in the hospital, enabling clinical staff to gain more direct support and guidance to undertake quality improvement projects.  Clinical </w:t>
            </w:r>
            <w:proofErr w:type="gramStart"/>
            <w:r w:rsidRPr="00A93ECA">
              <w:rPr>
                <w:rFonts w:cs="Arial"/>
              </w:rPr>
              <w:t>staff receive</w:t>
            </w:r>
            <w:proofErr w:type="gramEnd"/>
            <w:r w:rsidRPr="00A93ECA">
              <w:rPr>
                <w:rFonts w:cs="Arial"/>
              </w:rPr>
              <w:t xml:space="preserve"> coaching and support to undertake baseline audits, to collect and </w:t>
            </w:r>
            <w:proofErr w:type="spellStart"/>
            <w:r w:rsidRPr="00A93ECA">
              <w:rPr>
                <w:rFonts w:cs="Arial"/>
              </w:rPr>
              <w:t>organise</w:t>
            </w:r>
            <w:proofErr w:type="spellEnd"/>
            <w:r w:rsidRPr="00A93ECA">
              <w:rPr>
                <w:rFonts w:cs="Arial"/>
              </w:rPr>
              <w:t xml:space="preserve"> data and to build improvement projects.  </w:t>
            </w:r>
          </w:p>
          <w:p w:rsidR="007F6845" w:rsidRPr="00A93ECA" w:rsidRDefault="007F6845" w:rsidP="007615AB">
            <w:pPr>
              <w:rPr>
                <w:rFonts w:cs="Arial"/>
              </w:rPr>
            </w:pPr>
          </w:p>
          <w:p w:rsidR="007F6845" w:rsidRPr="00A93ECA" w:rsidRDefault="007F6845" w:rsidP="007615AB">
            <w:pPr>
              <w:rPr>
                <w:rFonts w:cs="Arial"/>
              </w:rPr>
            </w:pPr>
            <w:r w:rsidRPr="00A93ECA">
              <w:rPr>
                <w:rFonts w:cs="Arial"/>
              </w:rPr>
              <w:t xml:space="preserve">Outcome data from various sources (including clinical incidents, complaints, mortality indices and audits) </w:t>
            </w:r>
            <w:proofErr w:type="spellStart"/>
            <w:r w:rsidRPr="00A93ECA">
              <w:rPr>
                <w:rFonts w:cs="Arial"/>
              </w:rPr>
              <w:t>prioritises</w:t>
            </w:r>
            <w:proofErr w:type="spellEnd"/>
            <w:r w:rsidRPr="00A93ECA">
              <w:rPr>
                <w:rFonts w:cs="Arial"/>
              </w:rPr>
              <w:t xml:space="preserve"> areas for improvement.  </w:t>
            </w:r>
          </w:p>
          <w:p w:rsidR="007F6845" w:rsidRPr="00A93ECA" w:rsidRDefault="007F6845" w:rsidP="007615AB">
            <w:pPr>
              <w:rPr>
                <w:rFonts w:cs="Arial"/>
              </w:rPr>
            </w:pPr>
          </w:p>
          <w:p w:rsidR="007F6845" w:rsidRPr="00A93ECA" w:rsidRDefault="007F6845" w:rsidP="007615AB">
            <w:pPr>
              <w:rPr>
                <w:rFonts w:cs="Arial"/>
              </w:rPr>
            </w:pPr>
            <w:r w:rsidRPr="00A93ECA">
              <w:rPr>
                <w:rFonts w:cs="Arial"/>
              </w:rPr>
              <w:t xml:space="preserve">In order to enable accountability, NHS Boards are statutorily required to establish committees responsible for patient safety and quality, audit and remuneration. </w:t>
            </w:r>
          </w:p>
          <w:p w:rsidR="007F6845" w:rsidRPr="00A93ECA" w:rsidRDefault="007F6845" w:rsidP="007615AB">
            <w:pPr>
              <w:rPr>
                <w:rFonts w:cs="Arial"/>
                <w:b/>
              </w:rPr>
            </w:pPr>
          </w:p>
          <w:p w:rsidR="007F6845" w:rsidRPr="00A93ECA" w:rsidRDefault="007F6845" w:rsidP="007615AB">
            <w:pPr>
              <w:rPr>
                <w:rFonts w:cs="Arial"/>
                <w:bCs/>
              </w:rPr>
            </w:pPr>
            <w:r w:rsidRPr="00A93ECA">
              <w:rPr>
                <w:rFonts w:cs="Arial"/>
                <w:b/>
              </w:rPr>
              <w:t xml:space="preserve">The Trust Board </w:t>
            </w:r>
            <w:r w:rsidRPr="00A93ECA">
              <w:rPr>
                <w:rFonts w:cs="Arial"/>
              </w:rPr>
              <w:t xml:space="preserve">operates in accordance with the Trust Standing Orders and </w:t>
            </w:r>
            <w:r w:rsidRPr="00A93ECA">
              <w:rPr>
                <w:rFonts w:cs="Arial"/>
                <w:bCs/>
              </w:rPr>
              <w:t xml:space="preserve">has overall responsibility for agreeing the risks, controls and assurances detailed in the Board Assurance Framework and for the framework’s maintenance and monitoring during the year. </w:t>
            </w:r>
            <w:proofErr w:type="gramStart"/>
            <w:r w:rsidRPr="00A93ECA">
              <w:rPr>
                <w:rFonts w:cs="Arial"/>
                <w:bCs/>
              </w:rPr>
              <w:t>It’s</w:t>
            </w:r>
            <w:proofErr w:type="gramEnd"/>
            <w:r w:rsidRPr="00A93ECA">
              <w:rPr>
                <w:rFonts w:cs="Arial"/>
                <w:bCs/>
              </w:rPr>
              <w:t xml:space="preserve"> annual review of committee structure in November 2014 included a review of Board to Ward governance. </w:t>
            </w:r>
          </w:p>
          <w:p w:rsidR="007F6845" w:rsidRPr="00A93ECA" w:rsidRDefault="007F6845" w:rsidP="007615AB">
            <w:pPr>
              <w:rPr>
                <w:rFonts w:cs="Arial"/>
                <w:bCs/>
              </w:rPr>
            </w:pPr>
          </w:p>
          <w:p w:rsidR="007F6845" w:rsidRPr="00A93ECA" w:rsidRDefault="007F6845" w:rsidP="007615AB">
            <w:pPr>
              <w:rPr>
                <w:rFonts w:cs="Arial"/>
              </w:rPr>
            </w:pPr>
            <w:r w:rsidRPr="00A93ECA">
              <w:rPr>
                <w:rFonts w:cs="Arial"/>
              </w:rPr>
              <w:t>During the reporting period of April 2014 to March 2015, there were six meetings of the Trust Board (May 2014, July 2014, September 2014, November 2014, January 2015 and March 2015 and two Extraordinary Meetings of the Trust Board (April and July 2014), for which the following Board Members’ attendance was recorded.</w:t>
            </w:r>
          </w:p>
          <w:p w:rsidR="007F6845" w:rsidRPr="00A93ECA" w:rsidRDefault="007F6845" w:rsidP="007615AB">
            <w:pPr>
              <w:rPr>
                <w:rFonts w:cs="Arial"/>
              </w:rPr>
            </w:pPr>
          </w:p>
          <w:tbl>
            <w:tblPr>
              <w:tblStyle w:val="TableGrid"/>
              <w:tblW w:w="0" w:type="auto"/>
              <w:tblLook w:val="04A0"/>
            </w:tblPr>
            <w:tblGrid>
              <w:gridCol w:w="2160"/>
              <w:gridCol w:w="4256"/>
              <w:gridCol w:w="2350"/>
            </w:tblGrid>
            <w:tr w:rsidR="007F6845" w:rsidRPr="00A93ECA" w:rsidTr="007615AB">
              <w:tc>
                <w:tcPr>
                  <w:tcW w:w="2235" w:type="dxa"/>
                </w:tcPr>
                <w:p w:rsidR="007F6845" w:rsidRPr="00A93ECA" w:rsidRDefault="007F6845" w:rsidP="007615AB">
                  <w:pPr>
                    <w:jc w:val="center"/>
                    <w:rPr>
                      <w:rFonts w:cs="Arial"/>
                      <w:b/>
                    </w:rPr>
                  </w:pPr>
                  <w:r w:rsidRPr="00A93ECA">
                    <w:rPr>
                      <w:rFonts w:cs="Arial"/>
                      <w:b/>
                    </w:rPr>
                    <w:t>Name</w:t>
                  </w:r>
                </w:p>
              </w:tc>
              <w:tc>
                <w:tcPr>
                  <w:tcW w:w="4536" w:type="dxa"/>
                </w:tcPr>
                <w:p w:rsidR="007F6845" w:rsidRPr="00A93ECA" w:rsidRDefault="007F6845" w:rsidP="007615AB">
                  <w:pPr>
                    <w:jc w:val="center"/>
                    <w:rPr>
                      <w:rFonts w:cs="Arial"/>
                      <w:b/>
                    </w:rPr>
                  </w:pPr>
                  <w:r w:rsidRPr="00A93ECA">
                    <w:rPr>
                      <w:rFonts w:cs="Arial"/>
                      <w:b/>
                    </w:rPr>
                    <w:t>Title</w:t>
                  </w:r>
                </w:p>
              </w:tc>
              <w:tc>
                <w:tcPr>
                  <w:tcW w:w="2471" w:type="dxa"/>
                </w:tcPr>
                <w:p w:rsidR="007F6845" w:rsidRPr="00A93ECA" w:rsidRDefault="007F6845" w:rsidP="007615AB">
                  <w:pPr>
                    <w:jc w:val="center"/>
                    <w:rPr>
                      <w:rFonts w:cs="Arial"/>
                      <w:b/>
                    </w:rPr>
                  </w:pPr>
                  <w:r w:rsidRPr="00A93ECA">
                    <w:rPr>
                      <w:rFonts w:cs="Arial"/>
                      <w:b/>
                    </w:rPr>
                    <w:t>Number of Meetings Attended During</w:t>
                  </w:r>
                </w:p>
                <w:p w:rsidR="007F6845" w:rsidRPr="00A93ECA" w:rsidRDefault="007F6845" w:rsidP="007615AB">
                  <w:pPr>
                    <w:jc w:val="center"/>
                    <w:rPr>
                      <w:rFonts w:cs="Arial"/>
                      <w:b/>
                    </w:rPr>
                  </w:pPr>
                  <w:r w:rsidRPr="00A93ECA">
                    <w:rPr>
                      <w:rFonts w:cs="Arial"/>
                      <w:b/>
                    </w:rPr>
                    <w:t>This Period</w:t>
                  </w:r>
                </w:p>
              </w:tc>
            </w:tr>
            <w:tr w:rsidR="007F6845" w:rsidRPr="00A93ECA" w:rsidTr="007615AB">
              <w:tc>
                <w:tcPr>
                  <w:tcW w:w="2235" w:type="dxa"/>
                </w:tcPr>
                <w:p w:rsidR="007F6845" w:rsidRPr="00A93ECA" w:rsidRDefault="007F6845" w:rsidP="007615AB">
                  <w:pPr>
                    <w:rPr>
                      <w:rFonts w:cs="Arial"/>
                    </w:rPr>
                  </w:pPr>
                  <w:r w:rsidRPr="00A93ECA">
                    <w:rPr>
                      <w:rFonts w:cs="Arial"/>
                    </w:rPr>
                    <w:t>Peter Carr</w:t>
                  </w:r>
                </w:p>
              </w:tc>
              <w:tc>
                <w:tcPr>
                  <w:tcW w:w="4536" w:type="dxa"/>
                </w:tcPr>
                <w:p w:rsidR="007F6845" w:rsidRPr="00A93ECA" w:rsidRDefault="007F6845" w:rsidP="007615AB">
                  <w:pPr>
                    <w:rPr>
                      <w:rFonts w:cs="Arial"/>
                    </w:rPr>
                  </w:pPr>
                  <w:r w:rsidRPr="00A93ECA">
                    <w:rPr>
                      <w:rFonts w:cs="Arial"/>
                    </w:rPr>
                    <w:t>Chairman (V)</w:t>
                  </w:r>
                </w:p>
                <w:p w:rsidR="007F6845" w:rsidRPr="00A93ECA" w:rsidRDefault="007F6845" w:rsidP="007615AB">
                  <w:pPr>
                    <w:rPr>
                      <w:rFonts w:cs="Arial"/>
                    </w:rPr>
                  </w:pPr>
                </w:p>
              </w:tc>
              <w:tc>
                <w:tcPr>
                  <w:tcW w:w="2471" w:type="dxa"/>
                </w:tcPr>
                <w:p w:rsidR="007F6845" w:rsidRPr="00A93ECA" w:rsidRDefault="007F6845" w:rsidP="007615AB">
                  <w:pPr>
                    <w:jc w:val="center"/>
                    <w:rPr>
                      <w:rFonts w:cs="Arial"/>
                    </w:rPr>
                  </w:pPr>
                  <w:r w:rsidRPr="00A93ECA">
                    <w:rPr>
                      <w:rFonts w:cs="Arial"/>
                    </w:rPr>
                    <w:t>7</w:t>
                  </w:r>
                </w:p>
              </w:tc>
            </w:tr>
            <w:tr w:rsidR="007F6845" w:rsidRPr="00A93ECA" w:rsidTr="007615AB">
              <w:tc>
                <w:tcPr>
                  <w:tcW w:w="2235" w:type="dxa"/>
                </w:tcPr>
                <w:p w:rsidR="007F6845" w:rsidRPr="00A93ECA" w:rsidRDefault="007F6845" w:rsidP="007615AB">
                  <w:pPr>
                    <w:rPr>
                      <w:rFonts w:cs="Arial"/>
                    </w:rPr>
                  </w:pPr>
                  <w:r w:rsidRPr="00A93ECA">
                    <w:rPr>
                      <w:rFonts w:cs="Arial"/>
                    </w:rPr>
                    <w:t>Grahame Paine</w:t>
                  </w:r>
                </w:p>
              </w:tc>
              <w:tc>
                <w:tcPr>
                  <w:tcW w:w="4536" w:type="dxa"/>
                </w:tcPr>
                <w:p w:rsidR="007F6845" w:rsidRPr="00A93ECA" w:rsidRDefault="007F6845" w:rsidP="007615AB">
                  <w:pPr>
                    <w:rPr>
                      <w:rFonts w:cs="Arial"/>
                    </w:rPr>
                  </w:pPr>
                  <w:r w:rsidRPr="00A93ECA">
                    <w:rPr>
                      <w:rFonts w:cs="Arial"/>
                    </w:rPr>
                    <w:t>Vice Chair / Non Executive Director (V)</w:t>
                  </w:r>
                </w:p>
                <w:p w:rsidR="007F6845" w:rsidRPr="00A93ECA" w:rsidRDefault="007F6845" w:rsidP="007615AB">
                  <w:pPr>
                    <w:rPr>
                      <w:rFonts w:cs="Arial"/>
                    </w:rPr>
                  </w:pPr>
                </w:p>
              </w:tc>
              <w:tc>
                <w:tcPr>
                  <w:tcW w:w="2471" w:type="dxa"/>
                </w:tcPr>
                <w:p w:rsidR="007F6845" w:rsidRPr="00A93ECA" w:rsidRDefault="007F6845" w:rsidP="007615AB">
                  <w:pPr>
                    <w:jc w:val="center"/>
                    <w:rPr>
                      <w:rFonts w:cs="Arial"/>
                    </w:rPr>
                  </w:pPr>
                  <w:r w:rsidRPr="00A93ECA">
                    <w:rPr>
                      <w:rFonts w:cs="Arial"/>
                    </w:rPr>
                    <w:t>8</w:t>
                  </w:r>
                </w:p>
              </w:tc>
            </w:tr>
            <w:tr w:rsidR="007F6845" w:rsidRPr="00A93ECA" w:rsidTr="007615AB">
              <w:tc>
                <w:tcPr>
                  <w:tcW w:w="2235" w:type="dxa"/>
                </w:tcPr>
                <w:p w:rsidR="007F6845" w:rsidRPr="00A93ECA" w:rsidRDefault="007F6845" w:rsidP="007615AB">
                  <w:pPr>
                    <w:rPr>
                      <w:rFonts w:cs="Arial"/>
                    </w:rPr>
                  </w:pPr>
                  <w:r w:rsidRPr="00A93ECA">
                    <w:rPr>
                      <w:rFonts w:cs="Arial"/>
                    </w:rPr>
                    <w:t>Brigid Musselwhite</w:t>
                  </w:r>
                </w:p>
              </w:tc>
              <w:tc>
                <w:tcPr>
                  <w:tcW w:w="4536" w:type="dxa"/>
                </w:tcPr>
                <w:p w:rsidR="007F6845" w:rsidRPr="00A93ECA" w:rsidRDefault="007F6845" w:rsidP="007615AB">
                  <w:pPr>
                    <w:rPr>
                      <w:rFonts w:cs="Arial"/>
                    </w:rPr>
                  </w:pPr>
                  <w:r w:rsidRPr="00A93ECA">
                    <w:rPr>
                      <w:rFonts w:cs="Arial"/>
                    </w:rPr>
                    <w:t>Non Executive Director (V)</w:t>
                  </w:r>
                </w:p>
                <w:p w:rsidR="007F6845" w:rsidRPr="00A93ECA" w:rsidRDefault="007F6845" w:rsidP="007615AB">
                  <w:pPr>
                    <w:rPr>
                      <w:rFonts w:cs="Arial"/>
                    </w:rPr>
                  </w:pPr>
                </w:p>
              </w:tc>
              <w:tc>
                <w:tcPr>
                  <w:tcW w:w="2471" w:type="dxa"/>
                </w:tcPr>
                <w:p w:rsidR="007F6845" w:rsidRPr="00A93ECA" w:rsidRDefault="007F6845" w:rsidP="007615AB">
                  <w:pPr>
                    <w:jc w:val="center"/>
                    <w:rPr>
                      <w:rFonts w:cs="Arial"/>
                    </w:rPr>
                  </w:pPr>
                  <w:r w:rsidRPr="00A93ECA">
                    <w:rPr>
                      <w:rFonts w:cs="Arial"/>
                    </w:rPr>
                    <w:t>8</w:t>
                  </w:r>
                </w:p>
              </w:tc>
            </w:tr>
            <w:tr w:rsidR="007F6845" w:rsidRPr="00A93ECA" w:rsidTr="007615AB">
              <w:tc>
                <w:tcPr>
                  <w:tcW w:w="2235" w:type="dxa"/>
                </w:tcPr>
                <w:p w:rsidR="007F6845" w:rsidRPr="00A93ECA" w:rsidRDefault="007F6845" w:rsidP="007615AB">
                  <w:pPr>
                    <w:rPr>
                      <w:rFonts w:cs="Arial"/>
                    </w:rPr>
                  </w:pPr>
                  <w:r w:rsidRPr="00A93ECA">
                    <w:rPr>
                      <w:rFonts w:cs="Arial"/>
                    </w:rPr>
                    <w:t>George Reah</w:t>
                  </w:r>
                </w:p>
              </w:tc>
              <w:tc>
                <w:tcPr>
                  <w:tcW w:w="4536" w:type="dxa"/>
                </w:tcPr>
                <w:p w:rsidR="007F6845" w:rsidRPr="00A93ECA" w:rsidRDefault="007F6845" w:rsidP="007615AB">
                  <w:pPr>
                    <w:rPr>
                      <w:rFonts w:cs="Arial"/>
                    </w:rPr>
                  </w:pPr>
                  <w:r w:rsidRPr="00A93ECA">
                    <w:rPr>
                      <w:rFonts w:cs="Arial"/>
                    </w:rPr>
                    <w:t>Non Executive Director (V)</w:t>
                  </w:r>
                </w:p>
                <w:p w:rsidR="007F6845" w:rsidRPr="00A93ECA" w:rsidRDefault="007F6845" w:rsidP="007615AB">
                  <w:pPr>
                    <w:rPr>
                      <w:rFonts w:cs="Arial"/>
                    </w:rPr>
                  </w:pPr>
                </w:p>
              </w:tc>
              <w:tc>
                <w:tcPr>
                  <w:tcW w:w="2471" w:type="dxa"/>
                </w:tcPr>
                <w:p w:rsidR="007F6845" w:rsidRPr="00A93ECA" w:rsidRDefault="007F6845" w:rsidP="007615AB">
                  <w:pPr>
                    <w:jc w:val="center"/>
                    <w:rPr>
                      <w:rFonts w:cs="Arial"/>
                    </w:rPr>
                  </w:pPr>
                  <w:r w:rsidRPr="00A93ECA">
                    <w:rPr>
                      <w:rFonts w:cs="Arial"/>
                    </w:rPr>
                    <w:t>7</w:t>
                  </w:r>
                </w:p>
              </w:tc>
            </w:tr>
            <w:tr w:rsidR="007F6845" w:rsidRPr="00A93ECA" w:rsidTr="007615AB">
              <w:tc>
                <w:tcPr>
                  <w:tcW w:w="2235" w:type="dxa"/>
                </w:tcPr>
                <w:p w:rsidR="007F6845" w:rsidRPr="00A93ECA" w:rsidRDefault="007F6845" w:rsidP="007615AB">
                  <w:pPr>
                    <w:rPr>
                      <w:rFonts w:cs="Arial"/>
                    </w:rPr>
                  </w:pPr>
                  <w:r w:rsidRPr="00A93ECA">
                    <w:rPr>
                      <w:rFonts w:cs="Arial"/>
                    </w:rPr>
                    <w:t>Ian Turner</w:t>
                  </w:r>
                </w:p>
              </w:tc>
              <w:tc>
                <w:tcPr>
                  <w:tcW w:w="4536" w:type="dxa"/>
                </w:tcPr>
                <w:p w:rsidR="007F6845" w:rsidRPr="00A93ECA" w:rsidRDefault="007F6845" w:rsidP="007615AB">
                  <w:pPr>
                    <w:rPr>
                      <w:rFonts w:cs="Arial"/>
                    </w:rPr>
                  </w:pPr>
                  <w:r w:rsidRPr="00A93ECA">
                    <w:rPr>
                      <w:rFonts w:cs="Arial"/>
                    </w:rPr>
                    <w:t>Non Executive Director (V)</w:t>
                  </w:r>
                </w:p>
                <w:p w:rsidR="007F6845" w:rsidRPr="00A93ECA" w:rsidRDefault="007F6845" w:rsidP="007615AB">
                  <w:pPr>
                    <w:rPr>
                      <w:rFonts w:cs="Arial"/>
                    </w:rPr>
                  </w:pPr>
                </w:p>
              </w:tc>
              <w:tc>
                <w:tcPr>
                  <w:tcW w:w="2471" w:type="dxa"/>
                </w:tcPr>
                <w:p w:rsidR="007F6845" w:rsidRPr="00A93ECA" w:rsidRDefault="007F6845" w:rsidP="007615AB">
                  <w:pPr>
                    <w:jc w:val="center"/>
                    <w:rPr>
                      <w:rFonts w:cs="Arial"/>
                    </w:rPr>
                  </w:pPr>
                  <w:r w:rsidRPr="00A93ECA">
                    <w:rPr>
                      <w:rFonts w:cs="Arial"/>
                    </w:rPr>
                    <w:t>7</w:t>
                  </w:r>
                </w:p>
              </w:tc>
            </w:tr>
            <w:tr w:rsidR="007F6845" w:rsidRPr="00A93ECA" w:rsidTr="007615AB">
              <w:tc>
                <w:tcPr>
                  <w:tcW w:w="2235" w:type="dxa"/>
                </w:tcPr>
                <w:p w:rsidR="007F6845" w:rsidRPr="00A93ECA" w:rsidRDefault="007F6845" w:rsidP="007615AB">
                  <w:pPr>
                    <w:rPr>
                      <w:rFonts w:cs="Arial"/>
                    </w:rPr>
                  </w:pPr>
                  <w:r w:rsidRPr="00A93ECA">
                    <w:rPr>
                      <w:rFonts w:cs="Arial"/>
                    </w:rPr>
                    <w:t>Nick Wood</w:t>
                  </w:r>
                </w:p>
              </w:tc>
              <w:tc>
                <w:tcPr>
                  <w:tcW w:w="4536" w:type="dxa"/>
                </w:tcPr>
                <w:p w:rsidR="007F6845" w:rsidRPr="00A93ECA" w:rsidRDefault="007F6845" w:rsidP="007615AB">
                  <w:pPr>
                    <w:rPr>
                      <w:rFonts w:cs="Arial"/>
                    </w:rPr>
                  </w:pPr>
                  <w:r w:rsidRPr="00A93ECA">
                    <w:rPr>
                      <w:rFonts w:cs="Arial"/>
                    </w:rPr>
                    <w:t>Chief Executive (V)</w:t>
                  </w:r>
                </w:p>
                <w:p w:rsidR="007F6845" w:rsidRPr="00A93ECA" w:rsidRDefault="007F6845" w:rsidP="007615AB">
                  <w:pPr>
                    <w:rPr>
                      <w:rFonts w:cs="Arial"/>
                    </w:rPr>
                  </w:pPr>
                </w:p>
              </w:tc>
              <w:tc>
                <w:tcPr>
                  <w:tcW w:w="2471" w:type="dxa"/>
                </w:tcPr>
                <w:p w:rsidR="007F6845" w:rsidRPr="00A93ECA" w:rsidRDefault="007F6845" w:rsidP="007615AB">
                  <w:pPr>
                    <w:jc w:val="center"/>
                    <w:rPr>
                      <w:rFonts w:cs="Arial"/>
                    </w:rPr>
                  </w:pPr>
                  <w:r w:rsidRPr="00A93ECA">
                    <w:rPr>
                      <w:rFonts w:cs="Arial"/>
                    </w:rPr>
                    <w:t>7</w:t>
                  </w:r>
                </w:p>
              </w:tc>
            </w:tr>
            <w:tr w:rsidR="007F6845" w:rsidRPr="00A93ECA" w:rsidTr="007615AB">
              <w:tc>
                <w:tcPr>
                  <w:tcW w:w="2235" w:type="dxa"/>
                </w:tcPr>
                <w:p w:rsidR="007F6845" w:rsidRPr="00A93ECA" w:rsidRDefault="007F6845" w:rsidP="007615AB">
                  <w:pPr>
                    <w:rPr>
                      <w:rFonts w:cs="Arial"/>
                    </w:rPr>
                  </w:pPr>
                  <w:r w:rsidRPr="00A93ECA">
                    <w:rPr>
                      <w:rFonts w:cs="Arial"/>
                    </w:rPr>
                    <w:t>Bronwen Bishop</w:t>
                  </w:r>
                </w:p>
              </w:tc>
              <w:tc>
                <w:tcPr>
                  <w:tcW w:w="4536" w:type="dxa"/>
                </w:tcPr>
                <w:p w:rsidR="007F6845" w:rsidRPr="00A93ECA" w:rsidRDefault="007F6845" w:rsidP="007615AB">
                  <w:pPr>
                    <w:rPr>
                      <w:rFonts w:cs="Arial"/>
                    </w:rPr>
                  </w:pPr>
                  <w:r w:rsidRPr="00A93ECA">
                    <w:rPr>
                      <w:rFonts w:cs="Arial"/>
                    </w:rPr>
                    <w:t>Director of Strategic Development (V)</w:t>
                  </w:r>
                </w:p>
                <w:p w:rsidR="007F6845" w:rsidRPr="00A93ECA" w:rsidRDefault="007F6845" w:rsidP="007615AB">
                  <w:pPr>
                    <w:rPr>
                      <w:rFonts w:cs="Arial"/>
                    </w:rPr>
                  </w:pPr>
                </w:p>
              </w:tc>
              <w:tc>
                <w:tcPr>
                  <w:tcW w:w="2471" w:type="dxa"/>
                </w:tcPr>
                <w:p w:rsidR="007F6845" w:rsidRPr="00A93ECA" w:rsidRDefault="007F6845" w:rsidP="007615AB">
                  <w:pPr>
                    <w:jc w:val="center"/>
                    <w:rPr>
                      <w:rFonts w:cs="Arial"/>
                    </w:rPr>
                  </w:pPr>
                  <w:r w:rsidRPr="00A93ECA">
                    <w:rPr>
                      <w:rFonts w:cs="Arial"/>
                    </w:rPr>
                    <w:t>5</w:t>
                  </w:r>
                </w:p>
              </w:tc>
            </w:tr>
            <w:tr w:rsidR="007F6845" w:rsidRPr="00A93ECA" w:rsidTr="007615AB">
              <w:tc>
                <w:tcPr>
                  <w:tcW w:w="2235" w:type="dxa"/>
                </w:tcPr>
                <w:p w:rsidR="007F6845" w:rsidRPr="00A93ECA" w:rsidRDefault="007F6845" w:rsidP="007615AB">
                  <w:pPr>
                    <w:rPr>
                      <w:rFonts w:cs="Arial"/>
                    </w:rPr>
                  </w:pPr>
                  <w:r w:rsidRPr="00A93ECA">
                    <w:rPr>
                      <w:rFonts w:cs="Arial"/>
                    </w:rPr>
                    <w:t>Karen Croker</w:t>
                  </w:r>
                </w:p>
              </w:tc>
              <w:tc>
                <w:tcPr>
                  <w:tcW w:w="4536" w:type="dxa"/>
                </w:tcPr>
                <w:p w:rsidR="007F6845" w:rsidRPr="00A93ECA" w:rsidRDefault="007F6845" w:rsidP="007615AB">
                  <w:pPr>
                    <w:rPr>
                      <w:rFonts w:cs="Arial"/>
                    </w:rPr>
                  </w:pPr>
                  <w:r w:rsidRPr="00A93ECA">
                    <w:rPr>
                      <w:rFonts w:cs="Arial"/>
                    </w:rPr>
                    <w:t>Director of Operations</w:t>
                  </w:r>
                </w:p>
                <w:p w:rsidR="007F6845" w:rsidRPr="00A93ECA" w:rsidRDefault="007F6845" w:rsidP="007615AB">
                  <w:pPr>
                    <w:rPr>
                      <w:rFonts w:cs="Arial"/>
                    </w:rPr>
                  </w:pPr>
                </w:p>
              </w:tc>
              <w:tc>
                <w:tcPr>
                  <w:tcW w:w="2471" w:type="dxa"/>
                </w:tcPr>
                <w:p w:rsidR="007F6845" w:rsidRPr="00A93ECA" w:rsidRDefault="007F6845" w:rsidP="007615AB">
                  <w:pPr>
                    <w:jc w:val="center"/>
                    <w:rPr>
                      <w:rFonts w:cs="Arial"/>
                    </w:rPr>
                  </w:pPr>
                  <w:r w:rsidRPr="00A93ECA">
                    <w:rPr>
                      <w:rFonts w:cs="Arial"/>
                    </w:rPr>
                    <w:t>7</w:t>
                  </w:r>
                </w:p>
              </w:tc>
            </w:tr>
            <w:tr w:rsidR="007F6845" w:rsidRPr="00A93ECA" w:rsidTr="007615AB">
              <w:tc>
                <w:tcPr>
                  <w:tcW w:w="2235" w:type="dxa"/>
                </w:tcPr>
                <w:p w:rsidR="007F6845" w:rsidRPr="00A93ECA" w:rsidRDefault="007F6845" w:rsidP="007615AB">
                  <w:pPr>
                    <w:rPr>
                      <w:rFonts w:cs="Arial"/>
                    </w:rPr>
                  </w:pPr>
                  <w:r w:rsidRPr="00A93ECA">
                    <w:rPr>
                      <w:rFonts w:cs="Arial"/>
                    </w:rPr>
                    <w:t>Sheridan Flavin</w:t>
                  </w:r>
                </w:p>
              </w:tc>
              <w:tc>
                <w:tcPr>
                  <w:tcW w:w="4536" w:type="dxa"/>
                </w:tcPr>
                <w:p w:rsidR="007F6845" w:rsidRPr="00A93ECA" w:rsidRDefault="007F6845" w:rsidP="007615AB">
                  <w:pPr>
                    <w:rPr>
                      <w:rFonts w:cs="Arial"/>
                    </w:rPr>
                  </w:pPr>
                  <w:r w:rsidRPr="00A93ECA">
                    <w:rPr>
                      <w:rFonts w:cs="Arial"/>
                    </w:rPr>
                    <w:t>Director of Human Resources</w:t>
                  </w:r>
                </w:p>
                <w:p w:rsidR="007F6845" w:rsidRPr="00A93ECA" w:rsidRDefault="007F6845" w:rsidP="007615AB">
                  <w:pPr>
                    <w:rPr>
                      <w:rFonts w:cs="Arial"/>
                    </w:rPr>
                  </w:pPr>
                </w:p>
              </w:tc>
              <w:tc>
                <w:tcPr>
                  <w:tcW w:w="2471" w:type="dxa"/>
                </w:tcPr>
                <w:p w:rsidR="007F6845" w:rsidRPr="00A93ECA" w:rsidRDefault="007F6845" w:rsidP="007615AB">
                  <w:pPr>
                    <w:jc w:val="center"/>
                    <w:rPr>
                      <w:rFonts w:cs="Arial"/>
                    </w:rPr>
                  </w:pPr>
                  <w:r w:rsidRPr="00A93ECA">
                    <w:rPr>
                      <w:rFonts w:cs="Arial"/>
                    </w:rPr>
                    <w:t>7</w:t>
                  </w:r>
                </w:p>
              </w:tc>
            </w:tr>
            <w:tr w:rsidR="007F6845" w:rsidRPr="00A93ECA" w:rsidTr="007615AB">
              <w:tc>
                <w:tcPr>
                  <w:tcW w:w="2235" w:type="dxa"/>
                </w:tcPr>
                <w:p w:rsidR="007F6845" w:rsidRPr="00A93ECA" w:rsidRDefault="007F6845" w:rsidP="007615AB">
                  <w:pPr>
                    <w:rPr>
                      <w:rFonts w:cs="Arial"/>
                    </w:rPr>
                  </w:pPr>
                  <w:r w:rsidRPr="00A93ECA">
                    <w:rPr>
                      <w:rFonts w:cs="Arial"/>
                    </w:rPr>
                    <w:t>Rob Little</w:t>
                  </w:r>
                </w:p>
              </w:tc>
              <w:tc>
                <w:tcPr>
                  <w:tcW w:w="4536" w:type="dxa"/>
                </w:tcPr>
                <w:p w:rsidR="007F6845" w:rsidRPr="00A93ECA" w:rsidRDefault="007F6845" w:rsidP="007615AB">
                  <w:pPr>
                    <w:rPr>
                      <w:rFonts w:cs="Arial"/>
                    </w:rPr>
                  </w:pPr>
                  <w:r w:rsidRPr="00A93ECA">
                    <w:rPr>
                      <w:rFonts w:cs="Arial"/>
                    </w:rPr>
                    <w:t>Director of Finance (V)</w:t>
                  </w:r>
                </w:p>
                <w:p w:rsidR="007F6845" w:rsidRPr="00A93ECA" w:rsidRDefault="007F6845" w:rsidP="007615AB">
                  <w:pPr>
                    <w:rPr>
                      <w:rFonts w:cs="Arial"/>
                    </w:rPr>
                  </w:pPr>
                </w:p>
              </w:tc>
              <w:tc>
                <w:tcPr>
                  <w:tcW w:w="2471" w:type="dxa"/>
                </w:tcPr>
                <w:p w:rsidR="007F6845" w:rsidRPr="00A93ECA" w:rsidRDefault="007F6845" w:rsidP="007615AB">
                  <w:pPr>
                    <w:jc w:val="center"/>
                    <w:rPr>
                      <w:rFonts w:cs="Arial"/>
                    </w:rPr>
                  </w:pPr>
                  <w:r w:rsidRPr="00A93ECA">
                    <w:rPr>
                      <w:rFonts w:cs="Arial"/>
                    </w:rPr>
                    <w:t>8</w:t>
                  </w:r>
                </w:p>
              </w:tc>
            </w:tr>
            <w:tr w:rsidR="007F6845" w:rsidRPr="00A93ECA" w:rsidTr="007615AB">
              <w:tc>
                <w:tcPr>
                  <w:tcW w:w="2235" w:type="dxa"/>
                </w:tcPr>
                <w:p w:rsidR="007F6845" w:rsidRPr="00A93ECA" w:rsidRDefault="007F6845" w:rsidP="007615AB">
                  <w:pPr>
                    <w:rPr>
                      <w:rFonts w:cs="Arial"/>
                    </w:rPr>
                  </w:pPr>
                  <w:r w:rsidRPr="00A93ECA">
                    <w:rPr>
                      <w:rFonts w:cs="Arial"/>
                    </w:rPr>
                    <w:t>Bee Martin</w:t>
                  </w:r>
                </w:p>
              </w:tc>
              <w:tc>
                <w:tcPr>
                  <w:tcW w:w="4536" w:type="dxa"/>
                </w:tcPr>
                <w:p w:rsidR="007F6845" w:rsidRPr="00A93ECA" w:rsidRDefault="007F6845" w:rsidP="007615AB">
                  <w:pPr>
                    <w:rPr>
                      <w:rFonts w:cs="Arial"/>
                    </w:rPr>
                  </w:pPr>
                  <w:r w:rsidRPr="00A93ECA">
                    <w:rPr>
                      <w:rFonts w:cs="Arial"/>
                    </w:rPr>
                    <w:t>Executive Medical Director (V)</w:t>
                  </w:r>
                </w:p>
                <w:p w:rsidR="007F6845" w:rsidRPr="00A93ECA" w:rsidRDefault="007F6845" w:rsidP="007615AB">
                  <w:pPr>
                    <w:rPr>
                      <w:rFonts w:cs="Arial"/>
                    </w:rPr>
                  </w:pPr>
                </w:p>
              </w:tc>
              <w:tc>
                <w:tcPr>
                  <w:tcW w:w="2471" w:type="dxa"/>
                </w:tcPr>
                <w:p w:rsidR="007F6845" w:rsidRPr="00A93ECA" w:rsidRDefault="007F6845" w:rsidP="007615AB">
                  <w:pPr>
                    <w:jc w:val="center"/>
                    <w:rPr>
                      <w:rFonts w:cs="Arial"/>
                    </w:rPr>
                  </w:pPr>
                  <w:r w:rsidRPr="00A93ECA">
                    <w:rPr>
                      <w:rFonts w:cs="Arial"/>
                    </w:rPr>
                    <w:t>6</w:t>
                  </w:r>
                </w:p>
              </w:tc>
            </w:tr>
            <w:tr w:rsidR="007F6845" w:rsidRPr="00A93ECA" w:rsidTr="007615AB">
              <w:tc>
                <w:tcPr>
                  <w:tcW w:w="2235" w:type="dxa"/>
                </w:tcPr>
                <w:p w:rsidR="007F6845" w:rsidRPr="00A93ECA" w:rsidRDefault="007F6845" w:rsidP="007615AB">
                  <w:pPr>
                    <w:rPr>
                      <w:rFonts w:cs="Arial"/>
                    </w:rPr>
                  </w:pPr>
                  <w:r w:rsidRPr="00A93ECA">
                    <w:rPr>
                      <w:rFonts w:cs="Arial"/>
                    </w:rPr>
                    <w:t>Christine Perry</w:t>
                  </w:r>
                </w:p>
              </w:tc>
              <w:tc>
                <w:tcPr>
                  <w:tcW w:w="4536" w:type="dxa"/>
                </w:tcPr>
                <w:p w:rsidR="007F6845" w:rsidRPr="00A93ECA" w:rsidRDefault="007F6845" w:rsidP="007615AB">
                  <w:pPr>
                    <w:rPr>
                      <w:rFonts w:cs="Arial"/>
                    </w:rPr>
                  </w:pPr>
                  <w:r w:rsidRPr="00A93ECA">
                    <w:rPr>
                      <w:rFonts w:cs="Arial"/>
                    </w:rPr>
                    <w:t>Director of Nursing (V)</w:t>
                  </w:r>
                </w:p>
                <w:p w:rsidR="007F6845" w:rsidRPr="00A93ECA" w:rsidRDefault="007F6845" w:rsidP="007615AB">
                  <w:pPr>
                    <w:rPr>
                      <w:rFonts w:cs="Arial"/>
                    </w:rPr>
                  </w:pPr>
                </w:p>
              </w:tc>
              <w:tc>
                <w:tcPr>
                  <w:tcW w:w="2471" w:type="dxa"/>
                </w:tcPr>
                <w:p w:rsidR="007F6845" w:rsidRPr="00A93ECA" w:rsidRDefault="007F6845" w:rsidP="007615AB">
                  <w:pPr>
                    <w:jc w:val="center"/>
                    <w:rPr>
                      <w:rFonts w:cs="Arial"/>
                    </w:rPr>
                  </w:pPr>
                  <w:r w:rsidRPr="00A93ECA">
                    <w:rPr>
                      <w:rFonts w:cs="Arial"/>
                    </w:rPr>
                    <w:t>7</w:t>
                  </w:r>
                </w:p>
              </w:tc>
            </w:tr>
          </w:tbl>
          <w:p w:rsidR="007F6845" w:rsidRPr="00A93ECA" w:rsidRDefault="007F6845" w:rsidP="007615AB">
            <w:pPr>
              <w:rPr>
                <w:rFonts w:cs="Arial"/>
                <w:b/>
              </w:rPr>
            </w:pPr>
          </w:p>
          <w:p w:rsidR="007F6845" w:rsidRPr="00A93ECA" w:rsidRDefault="007F6845" w:rsidP="007615AB">
            <w:pPr>
              <w:rPr>
                <w:rFonts w:cs="Arial"/>
              </w:rPr>
            </w:pPr>
            <w:r w:rsidRPr="00A93ECA">
              <w:rPr>
                <w:rFonts w:cs="Arial"/>
              </w:rPr>
              <w:t>(V) Denotes Voting Member</w:t>
            </w:r>
          </w:p>
          <w:p w:rsidR="007F6845" w:rsidRPr="00A93ECA" w:rsidRDefault="007F6845" w:rsidP="007615AB">
            <w:pPr>
              <w:rPr>
                <w:rFonts w:cs="Arial"/>
                <w:bCs/>
              </w:rPr>
            </w:pPr>
          </w:p>
          <w:p w:rsidR="007F6845" w:rsidRPr="00A93ECA" w:rsidRDefault="007F6845" w:rsidP="007615AB">
            <w:r w:rsidRPr="00A93ECA">
              <w:rPr>
                <w:rFonts w:cs="Arial"/>
                <w:bCs/>
              </w:rPr>
              <w:t xml:space="preserve">Regular agenda items have included a CEO report and reports on the quality and safety of patient care. An integrated performance report – reviewed at each meeting - has included key performance indicators from regulatory frameworks and national priorities such as those described in the </w:t>
            </w:r>
            <w:r w:rsidRPr="00A93ECA">
              <w:t>NHS TDA Accountability Framework 2014/15. The Chairs of the delegated subcommittees report issues by exception.</w:t>
            </w:r>
          </w:p>
          <w:p w:rsidR="007F6845" w:rsidRPr="00A93ECA" w:rsidRDefault="007F6845" w:rsidP="007615AB"/>
          <w:p w:rsidR="007F6845" w:rsidRPr="00A93ECA" w:rsidRDefault="007F6845" w:rsidP="007615AB">
            <w:pPr>
              <w:rPr>
                <w:rFonts w:cs="Arial"/>
                <w:bCs/>
              </w:rPr>
            </w:pPr>
            <w:r w:rsidRPr="00A93ECA">
              <w:rPr>
                <w:rFonts w:cs="Arial"/>
                <w:bCs/>
              </w:rPr>
              <w:t xml:space="preserve">In Committee, agenda items have included feedback and surveys of patient experience, feedback and surveys of staff experience, reviews of investigations following serious incidents, regulatory updates and updates from the transaction programme. </w:t>
            </w:r>
          </w:p>
          <w:p w:rsidR="007F6845" w:rsidRPr="00A93ECA" w:rsidRDefault="007F6845" w:rsidP="007615AB">
            <w:pPr>
              <w:rPr>
                <w:rFonts w:cs="Arial"/>
                <w:bCs/>
              </w:rPr>
            </w:pPr>
          </w:p>
          <w:p w:rsidR="007F6845" w:rsidRPr="00A93ECA" w:rsidRDefault="007F6845" w:rsidP="007615AB">
            <w:pPr>
              <w:rPr>
                <w:rFonts w:cs="Arial"/>
                <w:bCs/>
              </w:rPr>
            </w:pPr>
            <w:r w:rsidRPr="00A93ECA">
              <w:rPr>
                <w:rFonts w:cs="Arial"/>
                <w:bCs/>
              </w:rPr>
              <w:t>Board seminars have occurred on six occasions. These seminars have been used to review the effectiveness of Board performance including the CQC Well – Led and Fit and Proper Persons frameworks and discuss business planning priorities.</w:t>
            </w:r>
          </w:p>
          <w:p w:rsidR="007F6845" w:rsidRPr="00A93ECA" w:rsidRDefault="007F6845" w:rsidP="007615AB">
            <w:pPr>
              <w:rPr>
                <w:rFonts w:cs="Arial"/>
                <w:bCs/>
              </w:rPr>
            </w:pPr>
          </w:p>
          <w:p w:rsidR="007F6845" w:rsidRPr="00A93ECA" w:rsidRDefault="007F6845" w:rsidP="007615AB">
            <w:pPr>
              <w:rPr>
                <w:rFonts w:cs="Arial"/>
                <w:bCs/>
              </w:rPr>
            </w:pPr>
          </w:p>
          <w:p w:rsidR="007F6845" w:rsidRPr="00A93ECA" w:rsidRDefault="007F6845" w:rsidP="007615AB">
            <w:pPr>
              <w:rPr>
                <w:rFonts w:cs="Arial"/>
                <w:lang w:eastAsia="en-GB"/>
              </w:rPr>
            </w:pPr>
            <w:r w:rsidRPr="00A93ECA">
              <w:rPr>
                <w:rFonts w:cs="Arial"/>
                <w:b/>
              </w:rPr>
              <w:t xml:space="preserve">The </w:t>
            </w:r>
            <w:r w:rsidRPr="00A93ECA">
              <w:rPr>
                <w:rFonts w:cs="Arial"/>
                <w:b/>
                <w:lang w:eastAsia="en-GB"/>
              </w:rPr>
              <w:t>Audit and Assurance Committee</w:t>
            </w:r>
            <w:r w:rsidRPr="00A93ECA">
              <w:rPr>
                <w:rFonts w:cs="Arial"/>
                <w:lang w:eastAsia="en-GB"/>
              </w:rPr>
              <w:t xml:space="preserve"> considers the annual plans and reports of both the External and Internal Auditors and reviews the Corporate Risk Register, Board Assurance Framework and risk management process. </w:t>
            </w:r>
          </w:p>
          <w:p w:rsidR="007F6845" w:rsidRPr="00A93ECA" w:rsidRDefault="007F6845" w:rsidP="007615AB">
            <w:pPr>
              <w:rPr>
                <w:rFonts w:cs="Arial"/>
              </w:rPr>
            </w:pPr>
            <w:r w:rsidRPr="00A93ECA">
              <w:rPr>
                <w:rFonts w:cs="Arial"/>
                <w:lang w:eastAsia="en-GB"/>
              </w:rPr>
              <w:t xml:space="preserve">The Committee </w:t>
            </w:r>
            <w:r w:rsidRPr="00A93ECA">
              <w:rPr>
                <w:rFonts w:cs="Arial"/>
              </w:rPr>
              <w:t>provides an independent and objective review of the Trust’s systems, information, internal control and probity, compliance with laws, guidance and regulations governing the NHS. The Committee of Non-Executive Directors met six times during 2014/15 and reports on its work to the Trust Board. It is chaired by a Non-Executive Director.</w:t>
            </w:r>
          </w:p>
          <w:p w:rsidR="007F6845" w:rsidRPr="00A93ECA" w:rsidRDefault="007F6845" w:rsidP="007615AB">
            <w:pPr>
              <w:rPr>
                <w:rFonts w:cs="Arial"/>
                <w:b/>
              </w:rPr>
            </w:pPr>
          </w:p>
          <w:p w:rsidR="007F6845" w:rsidRPr="00A93ECA" w:rsidRDefault="007F6845" w:rsidP="007615AB">
            <w:pPr>
              <w:rPr>
                <w:rFonts w:cs="Arial"/>
                <w:lang w:eastAsia="en-GB"/>
              </w:rPr>
            </w:pPr>
            <w:r w:rsidRPr="00A93ECA">
              <w:rPr>
                <w:rFonts w:cs="Arial"/>
                <w:b/>
              </w:rPr>
              <w:t xml:space="preserve">The </w:t>
            </w:r>
            <w:r w:rsidRPr="00A93ECA">
              <w:rPr>
                <w:rFonts w:cs="Arial"/>
                <w:b/>
                <w:lang w:eastAsia="en-GB"/>
              </w:rPr>
              <w:t xml:space="preserve">Quality and Governance Committee </w:t>
            </w:r>
            <w:r w:rsidRPr="00A93ECA">
              <w:rPr>
                <w:rFonts w:cs="Arial"/>
                <w:lang w:eastAsia="en-GB"/>
              </w:rPr>
              <w:t xml:space="preserve">is concerned with assurance in relation to clinical care and governance against patient safety and quality key performance indicators and standards. At each meeting it reviews governance reports from the Divisions and ensures new risks are escalated in line with the Trust risk management processes. Each quarter it reviews reports from incidents, audit and PALs and complaints. It also reviews the terms of reference of a wide range of its reporting committees. The </w:t>
            </w:r>
            <w:r w:rsidRPr="00A93ECA">
              <w:rPr>
                <w:rFonts w:cs="Arial"/>
              </w:rPr>
              <w:t>Committee meets bi-monthly and reports on its work to the Trust Board. It is chaired by a Non-Executive Director. The Committee is authorised to seek any information it requires from any employee. All employees are directed to co-operate with any request made by the Committee.</w:t>
            </w:r>
          </w:p>
          <w:p w:rsidR="007F6845" w:rsidRPr="00A93ECA" w:rsidRDefault="007F6845" w:rsidP="007615AB">
            <w:pPr>
              <w:rPr>
                <w:rFonts w:cs="Arial"/>
                <w:b/>
              </w:rPr>
            </w:pPr>
          </w:p>
          <w:p w:rsidR="007F6845" w:rsidRPr="00A93ECA" w:rsidRDefault="007F6845" w:rsidP="007615AB">
            <w:pPr>
              <w:rPr>
                <w:rFonts w:cs="Arial"/>
              </w:rPr>
            </w:pPr>
            <w:r w:rsidRPr="00A93ECA">
              <w:rPr>
                <w:rFonts w:cs="Arial"/>
                <w:b/>
              </w:rPr>
              <w:t xml:space="preserve">The Remuneration and Terms of Service Committee </w:t>
            </w:r>
            <w:r w:rsidRPr="00A93ECA">
              <w:rPr>
                <w:rFonts w:cs="Arial"/>
              </w:rPr>
              <w:t xml:space="preserve">has delegated powers to determine arrangements on matters relating to remuneration and terms and conditions for Board level post holders (excluding Non-Executive Directors). It also has the power to determine for all staff, arrangements for any non-contractual payments in line with Department of Health and NHS Trust Development Authority guidance. </w:t>
            </w:r>
          </w:p>
          <w:p w:rsidR="007F6845" w:rsidRPr="00A93ECA" w:rsidRDefault="007F6845" w:rsidP="007615AB">
            <w:pPr>
              <w:autoSpaceDE w:val="0"/>
              <w:autoSpaceDN w:val="0"/>
              <w:adjustRightInd w:val="0"/>
              <w:rPr>
                <w:rFonts w:cs="Arial"/>
                <w:b/>
                <w:bCs/>
                <w:lang w:eastAsia="en-GB"/>
              </w:rPr>
            </w:pPr>
          </w:p>
          <w:p w:rsidR="007F6845" w:rsidRPr="00A93ECA" w:rsidRDefault="007F6845" w:rsidP="007615AB">
            <w:pPr>
              <w:autoSpaceDE w:val="0"/>
              <w:autoSpaceDN w:val="0"/>
              <w:adjustRightInd w:val="0"/>
              <w:rPr>
                <w:rFonts w:cs="Arial"/>
                <w:lang w:eastAsia="en-GB"/>
              </w:rPr>
            </w:pPr>
            <w:r w:rsidRPr="00A93ECA">
              <w:rPr>
                <w:rFonts w:cs="Arial"/>
                <w:b/>
              </w:rPr>
              <w:t xml:space="preserve">The </w:t>
            </w:r>
            <w:r w:rsidRPr="00A93ECA">
              <w:rPr>
                <w:rFonts w:cs="Arial"/>
                <w:b/>
                <w:bCs/>
                <w:lang w:eastAsia="en-GB"/>
              </w:rPr>
              <w:t>Finance Committee</w:t>
            </w:r>
            <w:r w:rsidRPr="00A93ECA">
              <w:rPr>
                <w:rFonts w:cs="Arial"/>
                <w:lang w:eastAsia="en-GB"/>
              </w:rPr>
              <w:t xml:space="preserve"> provides an independent and objective review of the Trust’s financial policy, management and reporting systems, and the medium term capital strategy. The Committee monitors progress against individual savings improvement plans.</w:t>
            </w:r>
          </w:p>
          <w:p w:rsidR="007F6845" w:rsidRPr="00A93ECA" w:rsidRDefault="007F6845" w:rsidP="007615AB">
            <w:pPr>
              <w:autoSpaceDE w:val="0"/>
              <w:autoSpaceDN w:val="0"/>
              <w:adjustRightInd w:val="0"/>
              <w:rPr>
                <w:rFonts w:cs="Arial"/>
                <w:lang w:eastAsia="en-GB"/>
              </w:rPr>
            </w:pPr>
            <w:r w:rsidRPr="00A93ECA">
              <w:rPr>
                <w:rFonts w:cs="Arial"/>
                <w:lang w:eastAsia="en-GB"/>
              </w:rPr>
              <w:t xml:space="preserve">The Committee meets at least quarterly and reports to the Trust Board. It has Non Executive and Executive Director membership and is chaired by a Non Executive Director. </w:t>
            </w:r>
          </w:p>
          <w:p w:rsidR="007F6845" w:rsidRPr="00A93ECA" w:rsidRDefault="007F6845" w:rsidP="007615AB">
            <w:pPr>
              <w:autoSpaceDE w:val="0"/>
              <w:autoSpaceDN w:val="0"/>
              <w:adjustRightInd w:val="0"/>
              <w:rPr>
                <w:rFonts w:cs="Arial"/>
                <w:lang w:eastAsia="en-GB"/>
              </w:rPr>
            </w:pPr>
            <w:r w:rsidRPr="00A93ECA">
              <w:rPr>
                <w:rFonts w:cs="Arial"/>
                <w:lang w:eastAsia="en-GB"/>
              </w:rPr>
              <w:t xml:space="preserve">It is recognised that whilst the Trust Board as a whole has collective responsibility for financial matters, the degree of planning and scrutiny required goes beyond the scope of the Board’s normal meeting agenda. </w:t>
            </w:r>
          </w:p>
          <w:p w:rsidR="007F6845" w:rsidRPr="00A93ECA" w:rsidRDefault="007F6845" w:rsidP="007615AB">
            <w:pPr>
              <w:autoSpaceDE w:val="0"/>
              <w:autoSpaceDN w:val="0"/>
              <w:adjustRightInd w:val="0"/>
              <w:rPr>
                <w:rFonts w:cs="Arial"/>
                <w:lang w:eastAsia="en-GB"/>
              </w:rPr>
            </w:pPr>
          </w:p>
          <w:p w:rsidR="007F6845" w:rsidRDefault="007F6845" w:rsidP="007615AB">
            <w:pPr>
              <w:rPr>
                <w:rFonts w:cs="Arial"/>
              </w:rPr>
            </w:pPr>
            <w:r w:rsidRPr="00A93ECA">
              <w:rPr>
                <w:rFonts w:cs="Arial"/>
                <w:b/>
              </w:rPr>
              <w:lastRenderedPageBreak/>
              <w:t xml:space="preserve">The Executive Management Group </w:t>
            </w:r>
            <w:r w:rsidRPr="00A93ECA">
              <w:rPr>
                <w:rFonts w:cs="Arial"/>
              </w:rPr>
              <w:t xml:space="preserve">meets weekly. It includes Executive and Divisional Directors, and when necessary calls in representation from specialists such as members of the Trust finance function or external advisors. This forum ensures that control issues are constantly reviewed, monitored, and where necessary, updated. </w:t>
            </w:r>
          </w:p>
          <w:p w:rsidR="007F6845" w:rsidRDefault="007F6845" w:rsidP="007615AB">
            <w:pPr>
              <w:rPr>
                <w:rFonts w:cs="Arial"/>
              </w:rPr>
            </w:pPr>
          </w:p>
          <w:p w:rsidR="007F6845" w:rsidRPr="00A93ECA" w:rsidRDefault="007F6845" w:rsidP="007615AB">
            <w:pPr>
              <w:rPr>
                <w:rFonts w:cs="Arial"/>
              </w:rPr>
            </w:pPr>
          </w:p>
          <w:p w:rsidR="007F6845" w:rsidRPr="00A93ECA" w:rsidRDefault="007F6845" w:rsidP="007615AB">
            <w:pPr>
              <w:rPr>
                <w:rFonts w:cs="Arial"/>
              </w:rPr>
            </w:pPr>
            <w:r w:rsidRPr="00A93ECA">
              <w:rPr>
                <w:rFonts w:cs="Arial"/>
                <w:b/>
              </w:rPr>
              <w:t>The Business Planning and Delivery Group,</w:t>
            </w:r>
            <w:r w:rsidRPr="00A93ECA">
              <w:rPr>
                <w:rFonts w:cs="Arial"/>
              </w:rPr>
              <w:t xml:space="preserve"> chaired by the Chief Executive Officer was established in April 2014. It is responsible for oversight of business planning and ensures that quality impact assessments of Cost Improvement Programmes are robust.</w:t>
            </w:r>
          </w:p>
          <w:p w:rsidR="007F6845" w:rsidRPr="00A93ECA" w:rsidRDefault="007F6845" w:rsidP="007615AB">
            <w:pPr>
              <w:autoSpaceDE w:val="0"/>
              <w:autoSpaceDN w:val="0"/>
              <w:adjustRightInd w:val="0"/>
              <w:rPr>
                <w:rFonts w:cs="Arial"/>
                <w:b/>
                <w:lang w:eastAsia="en-GB"/>
              </w:rPr>
            </w:pPr>
          </w:p>
          <w:p w:rsidR="007F6845" w:rsidRPr="00A93ECA" w:rsidRDefault="007F6845" w:rsidP="007615AB">
            <w:pPr>
              <w:rPr>
                <w:rFonts w:cs="Arial"/>
              </w:rPr>
            </w:pPr>
            <w:r w:rsidRPr="00A93ECA">
              <w:rPr>
                <w:rFonts w:cs="Arial"/>
                <w:b/>
              </w:rPr>
              <w:t xml:space="preserve">The Nursing and Midwifery Committee is a subcommittee of the Quality and Governance Committee </w:t>
            </w:r>
            <w:r w:rsidRPr="00A93ECA">
              <w:rPr>
                <w:rFonts w:cs="Arial"/>
              </w:rPr>
              <w:t xml:space="preserve">and was established in March 2012 to provide a forum for nurses and midwives from all grades to contribute to the development, delivery and measure of corporate, Regional and National Nursing and Midwifery objectives. </w:t>
            </w:r>
          </w:p>
          <w:p w:rsidR="007F6845" w:rsidRPr="00A93ECA" w:rsidRDefault="007F6845" w:rsidP="007615AB">
            <w:pPr>
              <w:rPr>
                <w:rFonts w:cs="Arial"/>
              </w:rPr>
            </w:pPr>
          </w:p>
          <w:p w:rsidR="007F6845" w:rsidRPr="00A93ECA" w:rsidRDefault="007F6845" w:rsidP="007615AB">
            <w:pPr>
              <w:rPr>
                <w:rFonts w:cs="Arial"/>
              </w:rPr>
            </w:pPr>
            <w:r w:rsidRPr="00A93ECA">
              <w:rPr>
                <w:rFonts w:cs="Arial"/>
                <w:b/>
              </w:rPr>
              <w:t>The Patient Experience Review Group</w:t>
            </w:r>
            <w:r w:rsidRPr="00A93ECA">
              <w:rPr>
                <w:rFonts w:cs="Arial"/>
              </w:rPr>
              <w:t xml:space="preserve"> </w:t>
            </w:r>
            <w:r w:rsidRPr="00A93ECA">
              <w:rPr>
                <w:rFonts w:cs="Arial"/>
                <w:b/>
              </w:rPr>
              <w:t xml:space="preserve">is a subcommittee of the Quality and Governance Committee, </w:t>
            </w:r>
            <w:r w:rsidRPr="00A93ECA">
              <w:rPr>
                <w:rFonts w:cs="Arial"/>
              </w:rPr>
              <w:t>chaired by a Non Executive Director was established in January 2014 and has met bimonthly since. The Group oversees the ways we collect evidence of patients’ experiences of the care we provide and ensures that themes arising from different assurance streams are identified, collated and actioned. The Group has also increased our engagement with third sector colleagues through shared membership on the Group.</w:t>
            </w:r>
          </w:p>
          <w:p w:rsidR="007F6845" w:rsidRPr="00A93ECA" w:rsidRDefault="007F6845" w:rsidP="007615AB">
            <w:pPr>
              <w:rPr>
                <w:rFonts w:cs="Arial"/>
              </w:rPr>
            </w:pPr>
          </w:p>
          <w:p w:rsidR="007F6845" w:rsidRPr="00A93ECA" w:rsidRDefault="007F6845" w:rsidP="007615AB">
            <w:pPr>
              <w:rPr>
                <w:rFonts w:cs="Arial"/>
              </w:rPr>
            </w:pPr>
            <w:r w:rsidRPr="00A93ECA">
              <w:rPr>
                <w:rFonts w:cs="Arial"/>
                <w:b/>
              </w:rPr>
              <w:t xml:space="preserve">The Clinical Advisory </w:t>
            </w:r>
            <w:proofErr w:type="gramStart"/>
            <w:r w:rsidRPr="00A93ECA">
              <w:rPr>
                <w:rFonts w:cs="Arial"/>
                <w:b/>
              </w:rPr>
              <w:t>Group</w:t>
            </w:r>
            <w:r w:rsidRPr="00A93ECA">
              <w:rPr>
                <w:rFonts w:cs="Arial"/>
              </w:rPr>
              <w:t>,</w:t>
            </w:r>
            <w:proofErr w:type="gramEnd"/>
            <w:r w:rsidRPr="00A93ECA">
              <w:rPr>
                <w:rFonts w:cs="Arial"/>
              </w:rPr>
              <w:t xml:space="preserve"> </w:t>
            </w:r>
            <w:r w:rsidRPr="00A93ECA">
              <w:rPr>
                <w:rFonts w:cs="Arial"/>
                <w:b/>
              </w:rPr>
              <w:t xml:space="preserve">is a subcommittee of the Quality and Governance Committee, </w:t>
            </w:r>
            <w:r w:rsidRPr="00A93ECA">
              <w:rPr>
                <w:rFonts w:cs="Arial"/>
              </w:rPr>
              <w:t>chaired by the Medical Director it is responsible for ensuring that clinical care standards are monitored and continually improved. In particular the group works towards the elimination of all avoidable mortality. Established from the Clinical Audit and Effectiveness Committee in May 2014, the timing of the Group has been reviewed to enable improved attendance by medical members.</w:t>
            </w:r>
          </w:p>
          <w:p w:rsidR="007F6845" w:rsidRPr="00A93ECA" w:rsidRDefault="007F6845" w:rsidP="007615AB">
            <w:pPr>
              <w:rPr>
                <w:rFonts w:cs="Arial"/>
              </w:rPr>
            </w:pPr>
          </w:p>
          <w:p w:rsidR="007F6845" w:rsidRPr="00A93ECA" w:rsidRDefault="007F6845" w:rsidP="007615AB">
            <w:pPr>
              <w:autoSpaceDE w:val="0"/>
              <w:autoSpaceDN w:val="0"/>
              <w:adjustRightInd w:val="0"/>
              <w:rPr>
                <w:rFonts w:cs="Arial"/>
                <w:lang w:eastAsia="en-GB"/>
              </w:rPr>
            </w:pPr>
            <w:r w:rsidRPr="00A93ECA">
              <w:rPr>
                <w:rFonts w:cs="Arial"/>
                <w:b/>
              </w:rPr>
              <w:t>The Health Informatics Committee</w:t>
            </w:r>
            <w:r w:rsidRPr="00A93ECA">
              <w:rPr>
                <w:rFonts w:cs="Arial"/>
                <w:b/>
                <w:lang w:eastAsia="en-GB"/>
              </w:rPr>
              <w:t xml:space="preserve"> is a subcommittee of the Audit &amp; Assurance Committee, </w:t>
            </w:r>
            <w:r w:rsidRPr="00A93ECA">
              <w:rPr>
                <w:rFonts w:cs="Arial"/>
                <w:lang w:eastAsia="en-GB"/>
              </w:rPr>
              <w:t>chaired by the Director of Finance, meets on a bi-monthly basis. The Group receives a regular update from the Information Governance Committee who is responsible for reviewing any breaches of patient confidentiality and information security incidents and recommending appropriate action where necessary. Information Governance policy is overseen ensuring relevant legislation is adhered to.</w:t>
            </w:r>
          </w:p>
          <w:p w:rsidR="007F6845" w:rsidRPr="00A93ECA" w:rsidRDefault="007F6845" w:rsidP="007615AB">
            <w:pPr>
              <w:rPr>
                <w:rFonts w:cs="Arial"/>
              </w:rPr>
            </w:pPr>
          </w:p>
          <w:p w:rsidR="007F6845" w:rsidRPr="00A93ECA" w:rsidRDefault="007F6845" w:rsidP="007615AB">
            <w:pPr>
              <w:rPr>
                <w:rFonts w:cs="Arial"/>
              </w:rPr>
            </w:pPr>
            <w:r w:rsidRPr="00A93ECA">
              <w:rPr>
                <w:rFonts w:cs="Arial"/>
                <w:b/>
              </w:rPr>
              <w:t>The Patients’ Council</w:t>
            </w:r>
            <w:r w:rsidRPr="00A93ECA">
              <w:rPr>
                <w:rFonts w:cs="Arial"/>
              </w:rPr>
              <w:t xml:space="preserve"> reports directly to the Board. It has met monthly from September 2012. The Council supports monitoring of patient experiences of care and provides lay challenge of Trust processes via individual membership of key committees and support for complaints and PALS processes. The members are appointed through interviews conducted by external parties, not by the Trust. Representatives from the Patients’ Council sit on the following Trust committees:</w:t>
            </w:r>
          </w:p>
          <w:p w:rsidR="007F6845" w:rsidRPr="00A93ECA" w:rsidRDefault="007F6845" w:rsidP="007F6845">
            <w:pPr>
              <w:pStyle w:val="ListParagraph"/>
              <w:numPr>
                <w:ilvl w:val="0"/>
                <w:numId w:val="15"/>
              </w:numPr>
              <w:rPr>
                <w:rFonts w:cs="Arial"/>
              </w:rPr>
            </w:pPr>
            <w:r w:rsidRPr="00A93ECA">
              <w:rPr>
                <w:rFonts w:cs="Arial"/>
              </w:rPr>
              <w:t>Nursing and Midwifery</w:t>
            </w:r>
          </w:p>
          <w:p w:rsidR="007F6845" w:rsidRPr="00A93ECA" w:rsidRDefault="007F6845" w:rsidP="007F6845">
            <w:pPr>
              <w:pStyle w:val="ListParagraph"/>
              <w:numPr>
                <w:ilvl w:val="0"/>
                <w:numId w:val="15"/>
              </w:numPr>
              <w:rPr>
                <w:rFonts w:cs="Arial"/>
              </w:rPr>
            </w:pPr>
            <w:r w:rsidRPr="00A93ECA">
              <w:rPr>
                <w:rFonts w:cs="Arial"/>
              </w:rPr>
              <w:t>Quality and Governance</w:t>
            </w:r>
          </w:p>
          <w:p w:rsidR="007F6845" w:rsidRPr="00A93ECA" w:rsidRDefault="007F6845" w:rsidP="007F6845">
            <w:pPr>
              <w:pStyle w:val="ListParagraph"/>
              <w:numPr>
                <w:ilvl w:val="0"/>
                <w:numId w:val="15"/>
              </w:numPr>
              <w:rPr>
                <w:rFonts w:cs="Arial"/>
              </w:rPr>
            </w:pPr>
            <w:r w:rsidRPr="00A93ECA">
              <w:rPr>
                <w:rFonts w:cs="Arial"/>
              </w:rPr>
              <w:t>Infection Control</w:t>
            </w:r>
          </w:p>
          <w:p w:rsidR="007F6845" w:rsidRPr="00A93ECA" w:rsidRDefault="007F6845" w:rsidP="007F6845">
            <w:pPr>
              <w:pStyle w:val="ListParagraph"/>
              <w:numPr>
                <w:ilvl w:val="0"/>
                <w:numId w:val="15"/>
              </w:numPr>
              <w:rPr>
                <w:rFonts w:cs="Arial"/>
              </w:rPr>
            </w:pPr>
            <w:r w:rsidRPr="00A93ECA">
              <w:rPr>
                <w:rFonts w:cs="Arial"/>
              </w:rPr>
              <w:t>Safeguarding</w:t>
            </w:r>
          </w:p>
          <w:p w:rsidR="007F6845" w:rsidRPr="00A93ECA" w:rsidRDefault="007F6845" w:rsidP="007F6845">
            <w:pPr>
              <w:pStyle w:val="ListParagraph"/>
              <w:numPr>
                <w:ilvl w:val="0"/>
                <w:numId w:val="15"/>
              </w:numPr>
              <w:rPr>
                <w:rFonts w:cs="Arial"/>
              </w:rPr>
            </w:pPr>
            <w:r w:rsidRPr="00A93ECA">
              <w:rPr>
                <w:rFonts w:cs="Arial"/>
              </w:rPr>
              <w:t>Patient Experience Review Group</w:t>
            </w:r>
          </w:p>
          <w:p w:rsidR="007F6845" w:rsidRPr="00A93ECA" w:rsidRDefault="007F6845" w:rsidP="007615AB">
            <w:pPr>
              <w:ind w:left="360"/>
              <w:rPr>
                <w:rFonts w:cs="Arial"/>
              </w:rPr>
            </w:pPr>
          </w:p>
          <w:p w:rsidR="007F6845" w:rsidRPr="00A93ECA" w:rsidRDefault="007F6845" w:rsidP="007615AB">
            <w:pPr>
              <w:rPr>
                <w:rFonts w:cs="Arial"/>
              </w:rPr>
            </w:pPr>
            <w:r w:rsidRPr="00A93ECA">
              <w:rPr>
                <w:rFonts w:cs="Arial"/>
              </w:rPr>
              <w:t>The Chair or Deputy Chair of the Patients’ Council attends all Trust public Board meetings.</w:t>
            </w:r>
          </w:p>
          <w:p w:rsidR="007F6845" w:rsidRPr="00A93ECA" w:rsidRDefault="007F6845" w:rsidP="007615AB">
            <w:pPr>
              <w:rPr>
                <w:rFonts w:cs="Arial"/>
              </w:rPr>
            </w:pPr>
          </w:p>
          <w:p w:rsidR="007F6845" w:rsidRPr="00A93ECA" w:rsidRDefault="007F6845" w:rsidP="007615AB">
            <w:pPr>
              <w:rPr>
                <w:rFonts w:cs="Arial"/>
              </w:rPr>
            </w:pPr>
            <w:r w:rsidRPr="00A93ECA">
              <w:rPr>
                <w:rFonts w:cs="Arial"/>
              </w:rPr>
              <w:lastRenderedPageBreak/>
              <w:t>See below for Risk Management Committee</w:t>
            </w:r>
          </w:p>
          <w:p w:rsidR="007F6845" w:rsidRPr="00A93ECA" w:rsidRDefault="007F6845" w:rsidP="007615AB">
            <w:pPr>
              <w:spacing w:before="100" w:beforeAutospacing="1" w:after="100" w:afterAutospacing="1"/>
              <w:rPr>
                <w:rFonts w:cs="Arial"/>
                <w:b/>
                <w:sz w:val="24"/>
                <w:szCs w:val="24"/>
              </w:rPr>
            </w:pPr>
            <w:r w:rsidRPr="00A93ECA">
              <w:rPr>
                <w:rFonts w:cs="Arial"/>
                <w:b/>
                <w:sz w:val="24"/>
                <w:szCs w:val="24"/>
              </w:rPr>
              <w:t xml:space="preserve">3.0 </w:t>
            </w:r>
            <w:r w:rsidRPr="00A93ECA">
              <w:rPr>
                <w:rFonts w:cs="Arial"/>
                <w:b/>
                <w:sz w:val="24"/>
                <w:szCs w:val="24"/>
                <w:u w:val="single"/>
              </w:rPr>
              <w:t>The Risk and Control Framework</w:t>
            </w:r>
          </w:p>
          <w:p w:rsidR="007F6845" w:rsidRPr="00A93ECA" w:rsidRDefault="007F6845" w:rsidP="007615AB">
            <w:pPr>
              <w:rPr>
                <w:rFonts w:cs="Arial"/>
                <w:lang w:eastAsia="en-GB"/>
              </w:rPr>
            </w:pPr>
            <w:r w:rsidRPr="00A93ECA">
              <w:rPr>
                <w:rFonts w:cs="Arial"/>
                <w:lang w:eastAsia="en-GB"/>
              </w:rPr>
              <w:t xml:space="preserve">The Trust’s </w:t>
            </w:r>
            <w:r w:rsidRPr="00A93ECA">
              <w:rPr>
                <w:rFonts w:cs="Arial"/>
                <w:b/>
                <w:lang w:eastAsia="en-GB"/>
              </w:rPr>
              <w:t>Risk Management Strategy</w:t>
            </w:r>
            <w:r w:rsidRPr="00A93ECA">
              <w:rPr>
                <w:rFonts w:cs="Arial"/>
                <w:lang w:eastAsia="en-GB"/>
              </w:rPr>
              <w:t xml:space="preserve"> defines:</w:t>
            </w:r>
          </w:p>
          <w:p w:rsidR="007F6845" w:rsidRPr="00A93ECA" w:rsidRDefault="007F6845" w:rsidP="007615AB">
            <w:pPr>
              <w:rPr>
                <w:rFonts w:cs="Arial"/>
                <w:lang w:eastAsia="en-GB"/>
              </w:rPr>
            </w:pPr>
          </w:p>
          <w:p w:rsidR="007F6845" w:rsidRPr="00A93ECA" w:rsidRDefault="007F6845" w:rsidP="007F6845">
            <w:pPr>
              <w:pStyle w:val="ListParagraph"/>
              <w:numPr>
                <w:ilvl w:val="0"/>
                <w:numId w:val="12"/>
              </w:numPr>
              <w:rPr>
                <w:rFonts w:cs="Arial"/>
                <w:lang w:eastAsia="en-GB"/>
              </w:rPr>
            </w:pPr>
            <w:r w:rsidRPr="00A93ECA">
              <w:rPr>
                <w:rFonts w:cs="Arial"/>
                <w:lang w:eastAsia="en-GB"/>
              </w:rPr>
              <w:t>The Trust’s attitude to risk</w:t>
            </w:r>
          </w:p>
          <w:p w:rsidR="007F6845" w:rsidRPr="00A93ECA" w:rsidRDefault="007F6845" w:rsidP="007F6845">
            <w:pPr>
              <w:pStyle w:val="ListParagraph"/>
              <w:numPr>
                <w:ilvl w:val="0"/>
                <w:numId w:val="12"/>
              </w:numPr>
              <w:rPr>
                <w:rFonts w:cs="Arial"/>
                <w:lang w:eastAsia="en-GB"/>
              </w:rPr>
            </w:pPr>
            <w:r w:rsidRPr="00A93ECA">
              <w:rPr>
                <w:rFonts w:cs="Arial"/>
                <w:lang w:eastAsia="en-GB"/>
              </w:rPr>
              <w:t>Unacceptable and acceptable risk</w:t>
            </w:r>
          </w:p>
          <w:p w:rsidR="007F6845" w:rsidRPr="00A93ECA" w:rsidRDefault="007F6845" w:rsidP="007F6845">
            <w:pPr>
              <w:pStyle w:val="ListParagraph"/>
              <w:numPr>
                <w:ilvl w:val="0"/>
                <w:numId w:val="12"/>
              </w:numPr>
              <w:rPr>
                <w:rFonts w:cs="Arial"/>
                <w:lang w:eastAsia="en-GB"/>
              </w:rPr>
            </w:pPr>
            <w:r w:rsidRPr="00A93ECA">
              <w:rPr>
                <w:rFonts w:cs="Arial"/>
                <w:lang w:eastAsia="en-GB"/>
              </w:rPr>
              <w:t xml:space="preserve">The principles of risk management which are to identify risk exposure, </w:t>
            </w:r>
            <w:proofErr w:type="spellStart"/>
            <w:r w:rsidRPr="00A93ECA">
              <w:rPr>
                <w:rFonts w:cs="Arial"/>
                <w:lang w:eastAsia="en-GB"/>
              </w:rPr>
              <w:t>analyse</w:t>
            </w:r>
            <w:proofErr w:type="spellEnd"/>
            <w:r w:rsidRPr="00A93ECA">
              <w:rPr>
                <w:rFonts w:cs="Arial"/>
                <w:lang w:eastAsia="en-GB"/>
              </w:rPr>
              <w:t xml:space="preserve"> the risk exposure, to select an appropriate risk management method to control the risk, to implement the chosen method of risk management, and to monitor and control an effective course of action.</w:t>
            </w:r>
          </w:p>
          <w:p w:rsidR="007F6845" w:rsidRPr="00A93ECA" w:rsidRDefault="007F6845" w:rsidP="007615AB">
            <w:pPr>
              <w:pStyle w:val="ListParagraph"/>
              <w:rPr>
                <w:rFonts w:cs="Arial"/>
                <w:lang w:eastAsia="en-GB"/>
              </w:rPr>
            </w:pPr>
          </w:p>
          <w:p w:rsidR="007F6845" w:rsidRPr="00A93ECA" w:rsidRDefault="007F6845" w:rsidP="007615AB">
            <w:pPr>
              <w:rPr>
                <w:rFonts w:cs="Arial"/>
              </w:rPr>
            </w:pPr>
            <w:r w:rsidRPr="00A93ECA">
              <w:rPr>
                <w:rFonts w:cs="Arial"/>
                <w:lang w:eastAsia="en-GB"/>
              </w:rPr>
              <w:t xml:space="preserve">The </w:t>
            </w:r>
            <w:r w:rsidRPr="00A93ECA">
              <w:rPr>
                <w:rFonts w:cs="Arial"/>
                <w:b/>
                <w:lang w:eastAsia="en-GB"/>
              </w:rPr>
              <w:t>Risk Management Committee</w:t>
            </w:r>
            <w:r w:rsidRPr="00A93ECA">
              <w:rPr>
                <w:rFonts w:cs="Arial"/>
                <w:lang w:eastAsia="en-GB"/>
              </w:rPr>
              <w:t xml:space="preserve"> leads the Trust’s response to the management of all areas of risk and ensures that</w:t>
            </w:r>
            <w:r w:rsidRPr="00A93ECA">
              <w:rPr>
                <w:rFonts w:cs="Arial"/>
              </w:rPr>
              <w:t xml:space="preserve"> all elements of the Risk Management Strategy are addressed within available resources. This includes the management of risk in relation to the achievement of the Trust’s corporate objectives and the Assurance Framework. The Risk Management Committee reports to both the Audit and Assurance Committee and the Quality and Governance Committee. It is chaired by the Lead Director for Clinical Risk (the Director of Nursing).</w:t>
            </w:r>
          </w:p>
          <w:p w:rsidR="007F6845" w:rsidRPr="00A93ECA" w:rsidRDefault="007F6845" w:rsidP="007615AB">
            <w:pPr>
              <w:rPr>
                <w:rFonts w:cs="Arial"/>
                <w:b/>
                <w:sz w:val="24"/>
                <w:szCs w:val="24"/>
                <w:u w:val="single"/>
              </w:rPr>
            </w:pPr>
          </w:p>
          <w:p w:rsidR="007F6845" w:rsidRPr="00A93ECA" w:rsidRDefault="007F6845" w:rsidP="007615AB">
            <w:pPr>
              <w:autoSpaceDE w:val="0"/>
              <w:autoSpaceDN w:val="0"/>
              <w:adjustRightInd w:val="0"/>
              <w:rPr>
                <w:rFonts w:cs="Arial"/>
                <w:lang w:eastAsia="en-GB"/>
              </w:rPr>
            </w:pPr>
            <w:r w:rsidRPr="00A93ECA">
              <w:rPr>
                <w:rFonts w:cs="Arial"/>
                <w:lang w:eastAsia="en-GB"/>
              </w:rPr>
              <w:t xml:space="preserve">The Trust’s Performance Assurance Framework is reviewed and discussed at the Trust’s Business Planning &amp; Delivery Group. This monthly meeting monitors the performance of the Operational Divisions against key performance indicators including financial targets. </w:t>
            </w:r>
          </w:p>
          <w:p w:rsidR="007F6845" w:rsidRPr="00A93ECA" w:rsidRDefault="007F6845" w:rsidP="007615AB">
            <w:pPr>
              <w:autoSpaceDE w:val="0"/>
              <w:autoSpaceDN w:val="0"/>
              <w:adjustRightInd w:val="0"/>
              <w:rPr>
                <w:rFonts w:cs="Arial"/>
                <w:lang w:eastAsia="en-GB"/>
              </w:rPr>
            </w:pPr>
          </w:p>
          <w:p w:rsidR="007F6845" w:rsidRPr="00A93ECA" w:rsidRDefault="007F6845" w:rsidP="007615AB">
            <w:pPr>
              <w:autoSpaceDE w:val="0"/>
              <w:autoSpaceDN w:val="0"/>
              <w:adjustRightInd w:val="0"/>
              <w:rPr>
                <w:rFonts w:cs="Arial"/>
                <w:lang w:eastAsia="en-GB"/>
              </w:rPr>
            </w:pPr>
            <w:r w:rsidRPr="00A93ECA">
              <w:rPr>
                <w:rFonts w:cs="Arial"/>
                <w:lang w:eastAsia="en-GB"/>
              </w:rPr>
              <w:t>During 2014/15 the Board sought assurance that the Trust’s objectives were being achieved and risks were controlled through a framework of assurance processes, including performance reports with high level Key Performance Indicators, regular presentation and update of the Assurance Framework, regular review of the Corporate Risk Register, audits (internal and external), assessments by regulatory and monitoring agencies and reports from its assurance committees.</w:t>
            </w:r>
          </w:p>
          <w:p w:rsidR="007F6845" w:rsidRPr="00A93ECA" w:rsidRDefault="007F6845" w:rsidP="007615AB">
            <w:pPr>
              <w:autoSpaceDE w:val="0"/>
              <w:autoSpaceDN w:val="0"/>
              <w:adjustRightInd w:val="0"/>
              <w:rPr>
                <w:rFonts w:cs="Arial"/>
                <w:lang w:eastAsia="en-GB"/>
              </w:rPr>
            </w:pPr>
          </w:p>
          <w:p w:rsidR="007F6845" w:rsidRPr="00A93ECA" w:rsidRDefault="007F6845" w:rsidP="007615AB">
            <w:r w:rsidRPr="00A93ECA">
              <w:rPr>
                <w:rFonts w:cs="Arial"/>
              </w:rPr>
              <w:t xml:space="preserve">The Board has taken the following steps to assure </w:t>
            </w:r>
            <w:proofErr w:type="gramStart"/>
            <w:r w:rsidRPr="00A93ECA">
              <w:rPr>
                <w:rFonts w:cs="Arial"/>
              </w:rPr>
              <w:t>itself</w:t>
            </w:r>
            <w:proofErr w:type="gramEnd"/>
            <w:r w:rsidRPr="00A93ECA">
              <w:rPr>
                <w:rFonts w:cs="Arial"/>
              </w:rPr>
              <w:t xml:space="preserve"> that the Trust’s </w:t>
            </w:r>
            <w:r w:rsidRPr="00A93ECA">
              <w:rPr>
                <w:rFonts w:cs="Arial"/>
                <w:b/>
              </w:rPr>
              <w:t>Quality Account</w:t>
            </w:r>
            <w:r w:rsidRPr="00A93ECA">
              <w:rPr>
                <w:rFonts w:cs="Arial"/>
              </w:rPr>
              <w:t xml:space="preserve"> is accurate with</w:t>
            </w:r>
            <w:r w:rsidRPr="00A93ECA">
              <w:t xml:space="preserve"> the Director of Nursing leading the development of the annual Quality Account. </w:t>
            </w:r>
          </w:p>
          <w:p w:rsidR="007F6845" w:rsidRPr="00A93ECA" w:rsidRDefault="007F6845" w:rsidP="007F6845">
            <w:pPr>
              <w:numPr>
                <w:ilvl w:val="0"/>
                <w:numId w:val="17"/>
              </w:numPr>
            </w:pPr>
            <w:r w:rsidRPr="00A93ECA">
              <w:t xml:space="preserve">The Board reviews the quality metrics and performance data presented throughout the year as summarised within the Quality Account, through the work of its Committees and Executive Management Group. </w:t>
            </w:r>
          </w:p>
          <w:p w:rsidR="007F6845" w:rsidRPr="00A93ECA" w:rsidRDefault="007F6845" w:rsidP="007F6845">
            <w:pPr>
              <w:numPr>
                <w:ilvl w:val="0"/>
                <w:numId w:val="17"/>
              </w:numPr>
            </w:pPr>
            <w:r w:rsidRPr="00A93ECA">
              <w:t>Executives approve as accurate the data included in the Quality Account – in line with their individual responsibilities.</w:t>
            </w:r>
          </w:p>
          <w:p w:rsidR="007F6845" w:rsidRPr="00A93ECA" w:rsidRDefault="007F6845" w:rsidP="007F6845">
            <w:pPr>
              <w:numPr>
                <w:ilvl w:val="0"/>
                <w:numId w:val="17"/>
              </w:numPr>
            </w:pPr>
            <w:r w:rsidRPr="00A93ECA">
              <w:t xml:space="preserve">Key areas of the Trust are audited and monitored against internal and external standards. This work is reviewed and scrutinised by the Trust Board through the Audit and Assurance Committee. There are sound internal controls over the collection and reporting of performance measures included in the Quality Account. These controls are subject to review by our internal and external auditors to confirm that they are working effectively in practice. </w:t>
            </w:r>
            <w:r w:rsidRPr="00A93ECA">
              <w:rPr>
                <w:rFonts w:cs="Arial"/>
              </w:rPr>
              <w:t>Key stakeholders have been involved in the development of the report.</w:t>
            </w:r>
          </w:p>
          <w:p w:rsidR="007F6845" w:rsidRPr="00A93ECA" w:rsidRDefault="007F6845" w:rsidP="007615AB">
            <w:pPr>
              <w:rPr>
                <w:rFonts w:cs="Arial"/>
                <w:b/>
              </w:rPr>
            </w:pPr>
          </w:p>
          <w:p w:rsidR="007F6845" w:rsidRPr="00A93ECA" w:rsidRDefault="007F6845" w:rsidP="007615AB">
            <w:pPr>
              <w:spacing w:before="100" w:beforeAutospacing="1" w:after="100" w:afterAutospacing="1"/>
              <w:rPr>
                <w:rFonts w:cs="Arial"/>
                <w:b/>
                <w:sz w:val="24"/>
                <w:szCs w:val="24"/>
              </w:rPr>
            </w:pPr>
            <w:r w:rsidRPr="00A93ECA">
              <w:rPr>
                <w:rFonts w:cs="Arial"/>
                <w:b/>
                <w:sz w:val="24"/>
                <w:szCs w:val="24"/>
              </w:rPr>
              <w:t xml:space="preserve">4.0 </w:t>
            </w:r>
            <w:r w:rsidRPr="00A93ECA">
              <w:rPr>
                <w:rFonts w:cs="Arial"/>
                <w:b/>
                <w:sz w:val="24"/>
                <w:szCs w:val="24"/>
                <w:u w:val="single"/>
              </w:rPr>
              <w:t>Risk Assessment</w:t>
            </w:r>
          </w:p>
          <w:p w:rsidR="007F6845" w:rsidRPr="00A93ECA" w:rsidRDefault="007F6845" w:rsidP="007615AB">
            <w:pPr>
              <w:autoSpaceDE w:val="0"/>
              <w:autoSpaceDN w:val="0"/>
              <w:adjustRightInd w:val="0"/>
              <w:rPr>
                <w:rFonts w:cs="Arial"/>
                <w:lang w:eastAsia="en-GB"/>
              </w:rPr>
            </w:pPr>
            <w:r w:rsidRPr="00A93ECA">
              <w:rPr>
                <w:rFonts w:cs="Arial"/>
              </w:rPr>
              <w:t xml:space="preserve">The Trust has a Board approved </w:t>
            </w:r>
            <w:r w:rsidRPr="00A93ECA">
              <w:rPr>
                <w:rFonts w:cs="Arial"/>
                <w:b/>
              </w:rPr>
              <w:t>Risk Management Strategy</w:t>
            </w:r>
            <w:r w:rsidRPr="00A93ECA">
              <w:rPr>
                <w:rFonts w:cs="Arial"/>
              </w:rPr>
              <w:t xml:space="preserve"> which identifies that the </w:t>
            </w:r>
            <w:r w:rsidRPr="00A93ECA">
              <w:rPr>
                <w:rFonts w:cs="Arial"/>
              </w:rPr>
              <w:lastRenderedPageBreak/>
              <w:t xml:space="preserve">Chief Executive has overall responsibility and accountability for having an effective risk management system in place for meeting all statutory requirements, and adhering to guidance issued by the Department of Health and NHS Trust Development Authority in respect of Governance. </w:t>
            </w:r>
            <w:r w:rsidRPr="00A93ECA">
              <w:rPr>
                <w:rFonts w:cs="Arial"/>
                <w:lang w:eastAsia="en-GB"/>
              </w:rPr>
              <w:t>The Board is committed to the continuous development of a framework to manage risks in a structured and focused way in order to protect patients, staff and the public from harm and to protect the Trust from losses or damage to its reputation.</w:t>
            </w:r>
          </w:p>
          <w:p w:rsidR="007F6845" w:rsidRPr="00A93ECA" w:rsidRDefault="007F6845" w:rsidP="007615AB">
            <w:pPr>
              <w:autoSpaceDE w:val="0"/>
              <w:autoSpaceDN w:val="0"/>
              <w:adjustRightInd w:val="0"/>
              <w:rPr>
                <w:rFonts w:cs="Arial"/>
              </w:rPr>
            </w:pPr>
          </w:p>
          <w:p w:rsidR="007F6845" w:rsidRPr="00A93ECA" w:rsidRDefault="007F6845" w:rsidP="007615AB">
            <w:pPr>
              <w:autoSpaceDE w:val="0"/>
              <w:autoSpaceDN w:val="0"/>
              <w:adjustRightInd w:val="0"/>
              <w:rPr>
                <w:rFonts w:cs="Arial"/>
              </w:rPr>
            </w:pPr>
            <w:r w:rsidRPr="00A93ECA">
              <w:rPr>
                <w:rFonts w:cs="Arial"/>
              </w:rPr>
              <w:t xml:space="preserve">The Medical Director and Director of Nursing have responsibility for managing the implementation of clinical risk management and clinical governance. All managers and clinicians accept the management of risks as one of their fundamental duties. These duties are defined in the Risk Management Strategy, which </w:t>
            </w:r>
            <w:r w:rsidRPr="00A93ECA">
              <w:rPr>
                <w:rFonts w:cs="Arial"/>
                <w:lang w:eastAsia="en-GB"/>
              </w:rPr>
              <w:t xml:space="preserve">identifies the roles and responsibilities of Directors, managers and staff in relation to risk identification, analysis and control. </w:t>
            </w:r>
            <w:r w:rsidRPr="00A93ECA">
              <w:rPr>
                <w:rFonts w:cs="Arial"/>
              </w:rPr>
              <w:t xml:space="preserve">Additionally the strategy recognises that every member of staff must be committed to identifying and reducing risks. </w:t>
            </w:r>
          </w:p>
          <w:p w:rsidR="007F6845" w:rsidRPr="00A93ECA" w:rsidRDefault="007F6845" w:rsidP="007615AB">
            <w:pPr>
              <w:autoSpaceDE w:val="0"/>
              <w:autoSpaceDN w:val="0"/>
              <w:adjustRightInd w:val="0"/>
              <w:ind w:hanging="709"/>
              <w:rPr>
                <w:rFonts w:cs="Arial"/>
              </w:rPr>
            </w:pPr>
          </w:p>
          <w:p w:rsidR="007F6845" w:rsidRPr="00A93ECA" w:rsidRDefault="007F6845" w:rsidP="007615AB">
            <w:pPr>
              <w:autoSpaceDE w:val="0"/>
              <w:autoSpaceDN w:val="0"/>
              <w:adjustRightInd w:val="0"/>
              <w:rPr>
                <w:rFonts w:cs="Arial"/>
              </w:rPr>
            </w:pPr>
          </w:p>
          <w:p w:rsidR="007F6845" w:rsidRPr="00A93ECA" w:rsidRDefault="007F6845" w:rsidP="007615AB">
            <w:pPr>
              <w:autoSpaceDE w:val="0"/>
              <w:autoSpaceDN w:val="0"/>
              <w:adjustRightInd w:val="0"/>
              <w:rPr>
                <w:rFonts w:cs="Arial"/>
              </w:rPr>
            </w:pPr>
            <w:r w:rsidRPr="00A93ECA">
              <w:rPr>
                <w:rFonts w:cs="Arial"/>
              </w:rPr>
              <w:t xml:space="preserve">To this end the Trust: </w:t>
            </w:r>
          </w:p>
          <w:p w:rsidR="007F6845" w:rsidRPr="00A93ECA" w:rsidRDefault="007F6845" w:rsidP="007F6845">
            <w:pPr>
              <w:pStyle w:val="ListParagraph"/>
              <w:numPr>
                <w:ilvl w:val="0"/>
                <w:numId w:val="20"/>
              </w:numPr>
              <w:autoSpaceDE w:val="0"/>
              <w:autoSpaceDN w:val="0"/>
              <w:adjustRightInd w:val="0"/>
              <w:rPr>
                <w:rFonts w:cs="Arial"/>
              </w:rPr>
            </w:pPr>
            <w:r w:rsidRPr="00A93ECA">
              <w:rPr>
                <w:rFonts w:cs="Arial"/>
              </w:rPr>
              <w:t>Promotes an environment of accountability to encourage staff at all levels to report when things go wrong, allowing open discussion to prevent their re-occurrence.</w:t>
            </w:r>
          </w:p>
          <w:p w:rsidR="007F6845" w:rsidRPr="00A93ECA" w:rsidRDefault="007F6845" w:rsidP="007615AB">
            <w:pPr>
              <w:autoSpaceDE w:val="0"/>
              <w:autoSpaceDN w:val="0"/>
              <w:adjustRightInd w:val="0"/>
              <w:rPr>
                <w:rFonts w:cs="Arial"/>
              </w:rPr>
            </w:pPr>
          </w:p>
          <w:p w:rsidR="007F6845" w:rsidRPr="00A93ECA" w:rsidRDefault="007F6845" w:rsidP="007F6845">
            <w:pPr>
              <w:pStyle w:val="ListParagraph"/>
              <w:numPr>
                <w:ilvl w:val="0"/>
                <w:numId w:val="20"/>
              </w:numPr>
              <w:autoSpaceDE w:val="0"/>
              <w:autoSpaceDN w:val="0"/>
              <w:adjustRightInd w:val="0"/>
              <w:rPr>
                <w:rFonts w:cs="Arial"/>
              </w:rPr>
            </w:pPr>
            <w:r w:rsidRPr="00A93ECA">
              <w:rPr>
                <w:rFonts w:cs="Arial"/>
              </w:rPr>
              <w:t xml:space="preserve">Provides all staff with access to risk management information, advice, instruction and training. Risk management is included in the core Staff Induction Programme which covers incident reporting and complaints, information governance, manual handling, infection control, and within regular mandatory updates in line with the Statutory and Mandatory Training Policy. The level of training varies according to need and is assessed as part of the annual formal staff appraisal process. Further training is given to appropriate staff on other risk related topics and there is ongoing support from the Governance Team which includes Health and Safety expertise. All staff </w:t>
            </w:r>
            <w:proofErr w:type="gramStart"/>
            <w:r w:rsidRPr="00A93ECA">
              <w:rPr>
                <w:rFonts w:cs="Arial"/>
              </w:rPr>
              <w:t>receive</w:t>
            </w:r>
            <w:proofErr w:type="gramEnd"/>
            <w:r w:rsidRPr="00A93ECA">
              <w:rPr>
                <w:rFonts w:cs="Arial"/>
              </w:rPr>
              <w:t xml:space="preserve"> written information on risk, safety and relevant Trust policies.</w:t>
            </w:r>
          </w:p>
          <w:p w:rsidR="007F6845" w:rsidRPr="00A93ECA" w:rsidRDefault="007F6845" w:rsidP="007615AB">
            <w:pPr>
              <w:pStyle w:val="ListParagraph"/>
              <w:rPr>
                <w:rFonts w:cs="Arial"/>
              </w:rPr>
            </w:pPr>
          </w:p>
          <w:p w:rsidR="007F6845" w:rsidRPr="00A93ECA" w:rsidRDefault="007F6845" w:rsidP="007F6845">
            <w:pPr>
              <w:pStyle w:val="ListParagraph"/>
              <w:numPr>
                <w:ilvl w:val="0"/>
                <w:numId w:val="20"/>
              </w:numPr>
              <w:autoSpaceDE w:val="0"/>
              <w:autoSpaceDN w:val="0"/>
              <w:adjustRightInd w:val="0"/>
              <w:rPr>
                <w:rFonts w:cs="Arial"/>
              </w:rPr>
            </w:pPr>
            <w:r w:rsidRPr="00A93ECA">
              <w:rPr>
                <w:rFonts w:cs="Arial"/>
              </w:rPr>
              <w:t>Promotes good governance and risk management practice which is disseminated using a variety of methods including training sessions, Divisional Governance Meetings,  safety bulletins, staff intranet and other staff briefing sessions.</w:t>
            </w:r>
          </w:p>
          <w:p w:rsidR="007F6845" w:rsidRPr="00A93ECA" w:rsidRDefault="007F6845" w:rsidP="007615AB">
            <w:pPr>
              <w:pStyle w:val="ListParagraph"/>
              <w:rPr>
                <w:rFonts w:cs="Arial"/>
              </w:rPr>
            </w:pPr>
          </w:p>
          <w:p w:rsidR="007F6845" w:rsidRPr="00A93ECA" w:rsidRDefault="007F6845" w:rsidP="007615AB">
            <w:pPr>
              <w:rPr>
                <w:rFonts w:cs="Arial"/>
                <w:lang w:eastAsia="en-GB"/>
              </w:rPr>
            </w:pPr>
            <w:r w:rsidRPr="00A93ECA">
              <w:rPr>
                <w:rFonts w:cs="Arial"/>
                <w:lang w:eastAsia="en-GB"/>
              </w:rPr>
              <w:t xml:space="preserve">Through the </w:t>
            </w:r>
            <w:r w:rsidRPr="00A93ECA">
              <w:rPr>
                <w:rFonts w:cs="Arial"/>
                <w:b/>
                <w:lang w:eastAsia="en-GB"/>
              </w:rPr>
              <w:t>Quality and Governance Committee</w:t>
            </w:r>
            <w:r w:rsidRPr="00A93ECA">
              <w:rPr>
                <w:rFonts w:cs="Arial"/>
                <w:lang w:eastAsia="en-GB"/>
              </w:rPr>
              <w:t xml:space="preserve"> the Trust seeks to learn and share good practice through rigorous assessment of corporate risk, incidents and complaints and compliance with standards, and shares this information widely, together with </w:t>
            </w:r>
            <w:r w:rsidRPr="00A93ECA">
              <w:rPr>
                <w:rFonts w:cs="Arial"/>
              </w:rPr>
              <w:t xml:space="preserve">learning from these events and identified good practice </w:t>
            </w:r>
            <w:r w:rsidRPr="00A93ECA">
              <w:rPr>
                <w:rFonts w:cs="Arial"/>
                <w:lang w:eastAsia="en-GB"/>
              </w:rPr>
              <w:t>to Directorate teams through formal briefings, training and active support.</w:t>
            </w:r>
          </w:p>
          <w:p w:rsidR="007F6845" w:rsidRPr="00A93ECA" w:rsidRDefault="007F6845" w:rsidP="007615AB">
            <w:pPr>
              <w:autoSpaceDE w:val="0"/>
              <w:autoSpaceDN w:val="0"/>
              <w:adjustRightInd w:val="0"/>
              <w:rPr>
                <w:rFonts w:cs="Arial"/>
                <w:lang w:eastAsia="en-GB"/>
              </w:rPr>
            </w:pPr>
          </w:p>
          <w:p w:rsidR="007F6845" w:rsidRPr="00A93ECA" w:rsidRDefault="007F6845" w:rsidP="007615AB">
            <w:pPr>
              <w:autoSpaceDE w:val="0"/>
              <w:autoSpaceDN w:val="0"/>
              <w:adjustRightInd w:val="0"/>
              <w:rPr>
                <w:rFonts w:cs="Arial"/>
                <w:lang w:eastAsia="en-GB"/>
              </w:rPr>
            </w:pPr>
            <w:r w:rsidRPr="00A93ECA">
              <w:rPr>
                <w:rFonts w:cs="Arial"/>
                <w:lang w:eastAsia="en-GB"/>
              </w:rPr>
              <w:t xml:space="preserve">The Board receives assurance from the </w:t>
            </w:r>
            <w:r w:rsidRPr="00A93ECA">
              <w:rPr>
                <w:rFonts w:cs="Arial"/>
                <w:b/>
                <w:lang w:eastAsia="en-GB"/>
              </w:rPr>
              <w:t>Audit and Assurance Committee</w:t>
            </w:r>
            <w:r w:rsidRPr="00A93ECA">
              <w:rPr>
                <w:rFonts w:cs="Arial"/>
                <w:lang w:eastAsia="en-GB"/>
              </w:rPr>
              <w:t xml:space="preserve"> on processes employed by management with regard to the assessing and evaluating the control and the mitigation of significant risk. Specifically, the Audit and Assurance Committee provides the Board with the assurance that the Trust has in place:</w:t>
            </w:r>
          </w:p>
          <w:p w:rsidR="007F6845" w:rsidRPr="00A93ECA" w:rsidRDefault="007F6845" w:rsidP="007615AB">
            <w:pPr>
              <w:autoSpaceDE w:val="0"/>
              <w:autoSpaceDN w:val="0"/>
              <w:adjustRightInd w:val="0"/>
              <w:rPr>
                <w:rFonts w:cs="Arial"/>
                <w:lang w:eastAsia="en-GB"/>
              </w:rPr>
            </w:pPr>
          </w:p>
          <w:p w:rsidR="007F6845" w:rsidRPr="00A93ECA" w:rsidRDefault="007F6845" w:rsidP="007F6845">
            <w:pPr>
              <w:pStyle w:val="ListParagraph"/>
              <w:numPr>
                <w:ilvl w:val="0"/>
                <w:numId w:val="19"/>
              </w:numPr>
              <w:autoSpaceDE w:val="0"/>
              <w:autoSpaceDN w:val="0"/>
              <w:adjustRightInd w:val="0"/>
              <w:rPr>
                <w:rFonts w:cs="Arial"/>
                <w:lang w:eastAsia="en-GB"/>
              </w:rPr>
            </w:pPr>
            <w:r w:rsidRPr="00A93ECA">
              <w:rPr>
                <w:rFonts w:cs="Arial"/>
                <w:lang w:eastAsia="en-GB"/>
              </w:rPr>
              <w:t>Key controls to assist in securing and delivering Trust business objectives, through the Board Assurance Framework.</w:t>
            </w:r>
          </w:p>
          <w:p w:rsidR="007F6845" w:rsidRPr="00A93ECA" w:rsidRDefault="007F6845" w:rsidP="007615AB">
            <w:pPr>
              <w:pStyle w:val="ListParagraph"/>
              <w:autoSpaceDE w:val="0"/>
              <w:autoSpaceDN w:val="0"/>
              <w:adjustRightInd w:val="0"/>
              <w:ind w:left="360"/>
              <w:rPr>
                <w:rFonts w:cs="Arial"/>
                <w:lang w:eastAsia="en-GB"/>
              </w:rPr>
            </w:pPr>
          </w:p>
          <w:p w:rsidR="007F6845" w:rsidRPr="00A93ECA" w:rsidRDefault="007F6845" w:rsidP="007F6845">
            <w:pPr>
              <w:pStyle w:val="ListParagraph"/>
              <w:numPr>
                <w:ilvl w:val="0"/>
                <w:numId w:val="19"/>
              </w:numPr>
              <w:autoSpaceDE w:val="0"/>
              <w:autoSpaceDN w:val="0"/>
              <w:adjustRightInd w:val="0"/>
              <w:rPr>
                <w:rFonts w:cs="Arial"/>
                <w:lang w:eastAsia="en-GB"/>
              </w:rPr>
            </w:pPr>
            <w:r w:rsidRPr="00A93ECA">
              <w:rPr>
                <w:rFonts w:cs="Arial"/>
                <w:lang w:eastAsia="en-GB"/>
              </w:rPr>
              <w:t>Effective and reliable control systems.</w:t>
            </w:r>
          </w:p>
          <w:p w:rsidR="007F6845" w:rsidRPr="00A93ECA" w:rsidRDefault="007F6845" w:rsidP="007615AB">
            <w:pPr>
              <w:pStyle w:val="ListParagraph"/>
              <w:autoSpaceDE w:val="0"/>
              <w:autoSpaceDN w:val="0"/>
              <w:adjustRightInd w:val="0"/>
              <w:ind w:left="360"/>
              <w:rPr>
                <w:rFonts w:cs="Arial"/>
                <w:lang w:eastAsia="en-GB"/>
              </w:rPr>
            </w:pPr>
          </w:p>
          <w:p w:rsidR="007F6845" w:rsidRPr="00A93ECA" w:rsidRDefault="007F6845" w:rsidP="007F6845">
            <w:pPr>
              <w:pStyle w:val="ListParagraph"/>
              <w:numPr>
                <w:ilvl w:val="0"/>
                <w:numId w:val="19"/>
              </w:numPr>
              <w:autoSpaceDE w:val="0"/>
              <w:autoSpaceDN w:val="0"/>
              <w:adjustRightInd w:val="0"/>
              <w:rPr>
                <w:rFonts w:cs="Arial"/>
                <w:lang w:eastAsia="en-GB"/>
              </w:rPr>
            </w:pPr>
            <w:r w:rsidRPr="00A93ECA">
              <w:rPr>
                <w:rFonts w:cs="Arial"/>
                <w:lang w:eastAsia="en-GB"/>
              </w:rPr>
              <w:lastRenderedPageBreak/>
              <w:t>Agreed and timely corrective action plans for any gaps in controls, systems or assurances.</w:t>
            </w:r>
          </w:p>
          <w:p w:rsidR="007F6845" w:rsidRPr="00A93ECA" w:rsidRDefault="007F6845" w:rsidP="007615AB">
            <w:pPr>
              <w:autoSpaceDE w:val="0"/>
              <w:autoSpaceDN w:val="0"/>
              <w:adjustRightInd w:val="0"/>
              <w:rPr>
                <w:rFonts w:cs="Arial"/>
                <w:lang w:eastAsia="en-GB"/>
              </w:rPr>
            </w:pPr>
          </w:p>
          <w:p w:rsidR="007F6845" w:rsidRPr="00A93ECA" w:rsidRDefault="007F6845" w:rsidP="007615AB">
            <w:pPr>
              <w:autoSpaceDE w:val="0"/>
              <w:autoSpaceDN w:val="0"/>
              <w:adjustRightInd w:val="0"/>
              <w:rPr>
                <w:rFonts w:cs="Arial"/>
                <w:lang w:eastAsia="en-GB"/>
              </w:rPr>
            </w:pPr>
            <w:r w:rsidRPr="00A93ECA">
              <w:rPr>
                <w:rFonts w:cs="Arial"/>
                <w:lang w:eastAsia="en-GB"/>
              </w:rPr>
              <w:t>Internal and external audit reports are reviewed by the Audit and Assurance Committee and references to best practice are identified and adopted wherever possible.</w:t>
            </w:r>
          </w:p>
          <w:p w:rsidR="007F6845" w:rsidRPr="00A93ECA" w:rsidRDefault="007F6845" w:rsidP="007615AB">
            <w:pPr>
              <w:autoSpaceDE w:val="0"/>
              <w:autoSpaceDN w:val="0"/>
              <w:adjustRightInd w:val="0"/>
              <w:rPr>
                <w:rFonts w:cs="Arial"/>
                <w:lang w:eastAsia="en-GB"/>
              </w:rPr>
            </w:pPr>
          </w:p>
          <w:p w:rsidR="007F6845" w:rsidRPr="00A93ECA" w:rsidRDefault="007F6845" w:rsidP="007615AB">
            <w:pPr>
              <w:autoSpaceDE w:val="0"/>
              <w:autoSpaceDN w:val="0"/>
              <w:adjustRightInd w:val="0"/>
              <w:rPr>
                <w:rFonts w:cs="Arial"/>
                <w:lang w:eastAsia="en-GB"/>
              </w:rPr>
            </w:pPr>
            <w:r w:rsidRPr="00A93ECA">
              <w:rPr>
                <w:rFonts w:cs="Arial"/>
                <w:lang w:eastAsia="en-GB"/>
              </w:rPr>
              <w:t xml:space="preserve">The Trust’s </w:t>
            </w:r>
            <w:r w:rsidRPr="00A93ECA">
              <w:rPr>
                <w:rFonts w:cs="Arial"/>
                <w:b/>
                <w:lang w:eastAsia="en-GB"/>
              </w:rPr>
              <w:t>significant strategic risk</w:t>
            </w:r>
            <w:r w:rsidRPr="00A93ECA">
              <w:rPr>
                <w:rFonts w:cs="Arial"/>
                <w:lang w:eastAsia="en-GB"/>
              </w:rPr>
              <w:t xml:space="preserve"> relates to the organisational change agenda.  At the end of 2012 the Trust announced that it would be working with the Trust Development Authority and local stakeholders to identify an organisational form for 2015/16 onwards, with the Trust either being acquired by another NHS organisation or entering into an NHS ‘Operating Franchise’ Agreement with a third party.  In 2014/15 it was agreed that the preferred process would be acquisition by NHS providers only. A transaction programme with appropriate governance was established, preferred bidder identified and due diligence commenced. Throughout the procurement process the Trust Board has maintained its commitment to deliver safe, high-quality treatment and care to patients. </w:t>
            </w:r>
          </w:p>
          <w:p w:rsidR="007F6845" w:rsidRPr="00A93ECA" w:rsidRDefault="007F6845" w:rsidP="007615AB">
            <w:pPr>
              <w:autoSpaceDE w:val="0"/>
              <w:autoSpaceDN w:val="0"/>
              <w:adjustRightInd w:val="0"/>
              <w:rPr>
                <w:rFonts w:cs="Arial"/>
                <w:lang w:eastAsia="en-GB"/>
              </w:rPr>
            </w:pPr>
          </w:p>
          <w:p w:rsidR="007F6845" w:rsidRPr="00A93ECA" w:rsidRDefault="007F6845" w:rsidP="007615AB">
            <w:pPr>
              <w:autoSpaceDE w:val="0"/>
              <w:autoSpaceDN w:val="0"/>
              <w:adjustRightInd w:val="0"/>
              <w:rPr>
                <w:rFonts w:cs="Arial"/>
                <w:b/>
                <w:sz w:val="24"/>
                <w:szCs w:val="24"/>
                <w:u w:val="single"/>
              </w:rPr>
            </w:pPr>
            <w:r w:rsidRPr="00A93ECA">
              <w:rPr>
                <w:rFonts w:cs="Arial"/>
                <w:lang w:eastAsia="en-GB"/>
              </w:rPr>
              <w:t xml:space="preserve">The Trust’s </w:t>
            </w:r>
            <w:r w:rsidRPr="00A93ECA">
              <w:rPr>
                <w:rFonts w:cs="Arial"/>
                <w:b/>
                <w:lang w:eastAsia="en-GB"/>
              </w:rPr>
              <w:t>principal operational risks</w:t>
            </w:r>
            <w:r w:rsidRPr="00A93ECA">
              <w:rPr>
                <w:rFonts w:cs="Arial"/>
                <w:lang w:eastAsia="en-GB"/>
              </w:rPr>
              <w:t xml:space="preserve"> were the achievement of adequate medical and nurse staffing levels, A&amp;E four hour wait from arrival target, Clostridium Difficile targets and financial performance. The Trust did achieve its medical and nursing staffing target for the year overall and improved on the financial plan, with successful mitigating actions.</w:t>
            </w:r>
          </w:p>
          <w:p w:rsidR="007F6845" w:rsidRPr="00A93ECA" w:rsidRDefault="007F6845" w:rsidP="007615AB">
            <w:pPr>
              <w:autoSpaceDE w:val="0"/>
              <w:autoSpaceDN w:val="0"/>
              <w:adjustRightInd w:val="0"/>
              <w:rPr>
                <w:rFonts w:cs="Arial"/>
                <w:lang w:eastAsia="en-GB"/>
              </w:rPr>
            </w:pPr>
          </w:p>
          <w:p w:rsidR="007F6845" w:rsidRPr="00A93ECA" w:rsidRDefault="007F6845" w:rsidP="007615AB">
            <w:pPr>
              <w:autoSpaceDE w:val="0"/>
              <w:autoSpaceDN w:val="0"/>
              <w:adjustRightInd w:val="0"/>
              <w:rPr>
                <w:rFonts w:cs="Arial"/>
                <w:lang w:eastAsia="en-GB"/>
              </w:rPr>
            </w:pPr>
            <w:r w:rsidRPr="00A93ECA">
              <w:rPr>
                <w:rFonts w:cs="Arial"/>
                <w:lang w:eastAsia="en-GB"/>
              </w:rPr>
              <w:t xml:space="preserve">The Trust’s </w:t>
            </w:r>
            <w:r w:rsidRPr="00A93ECA">
              <w:rPr>
                <w:rFonts w:cs="Arial"/>
                <w:b/>
                <w:lang w:eastAsia="en-GB"/>
              </w:rPr>
              <w:t>principal safety risks</w:t>
            </w:r>
            <w:r w:rsidRPr="00A93ECA">
              <w:rPr>
                <w:rFonts w:cs="Arial"/>
                <w:lang w:eastAsia="en-GB"/>
              </w:rPr>
              <w:t xml:space="preserve"> were the achievement of a reduction in inpatient falls, pressure ulcers and medication incidents. </w:t>
            </w:r>
          </w:p>
          <w:p w:rsidR="007F6845" w:rsidRPr="00A93ECA" w:rsidRDefault="007F6845" w:rsidP="007615AB">
            <w:pPr>
              <w:autoSpaceDE w:val="0"/>
              <w:autoSpaceDN w:val="0"/>
              <w:adjustRightInd w:val="0"/>
              <w:rPr>
                <w:rFonts w:cs="Arial"/>
                <w:lang w:eastAsia="en-GB"/>
              </w:rPr>
            </w:pPr>
          </w:p>
          <w:p w:rsidR="007F6845" w:rsidRPr="00A93ECA" w:rsidRDefault="007F6845" w:rsidP="007615AB">
            <w:pPr>
              <w:autoSpaceDE w:val="0"/>
              <w:autoSpaceDN w:val="0"/>
              <w:adjustRightInd w:val="0"/>
              <w:rPr>
                <w:rFonts w:cs="Arial"/>
                <w:lang w:eastAsia="en-GB"/>
              </w:rPr>
            </w:pPr>
            <w:r w:rsidRPr="00A93ECA">
              <w:rPr>
                <w:rFonts w:cs="Arial"/>
                <w:lang w:eastAsia="en-GB"/>
              </w:rPr>
              <w:t>There is an established Information Governance Framework within the Trust, with the role of Caldicott Guardian being held by the Associate Medical Director and the SIRO (Senior Information Risk Officer) role being held by the Director of Finance. Operational management of data protection is the responsibility of the Trust’s in-house Solicitor.</w:t>
            </w:r>
          </w:p>
          <w:p w:rsidR="007F6845" w:rsidRPr="00A93ECA" w:rsidRDefault="007F6845" w:rsidP="007615AB">
            <w:pPr>
              <w:autoSpaceDE w:val="0"/>
              <w:autoSpaceDN w:val="0"/>
              <w:adjustRightInd w:val="0"/>
              <w:rPr>
                <w:rFonts w:cs="Arial"/>
                <w:lang w:eastAsia="en-GB"/>
              </w:rPr>
            </w:pPr>
          </w:p>
          <w:p w:rsidR="007F6845" w:rsidRPr="00A93ECA" w:rsidRDefault="007F6845" w:rsidP="007615AB">
            <w:pPr>
              <w:autoSpaceDE w:val="0"/>
              <w:autoSpaceDN w:val="0"/>
              <w:adjustRightInd w:val="0"/>
              <w:rPr>
                <w:rFonts w:cs="Arial"/>
                <w:lang w:eastAsia="en-GB"/>
              </w:rPr>
            </w:pPr>
            <w:r w:rsidRPr="00A93ECA">
              <w:rPr>
                <w:rFonts w:cs="Arial"/>
                <w:lang w:eastAsia="en-GB"/>
              </w:rPr>
              <w:t xml:space="preserve">The Trust has monitored and implemented the Information Governance toolkit plan in 2014/15. The final self-assessment submission achieved 73% compliance with the NHS Health and Social Care Information Centre requirements and is graded green and satisfactory. </w:t>
            </w:r>
          </w:p>
          <w:p w:rsidR="007F6845" w:rsidRPr="00A93ECA" w:rsidRDefault="007F6845" w:rsidP="007615AB">
            <w:pPr>
              <w:autoSpaceDE w:val="0"/>
              <w:autoSpaceDN w:val="0"/>
              <w:adjustRightInd w:val="0"/>
              <w:rPr>
                <w:rFonts w:cs="Arial"/>
                <w:lang w:eastAsia="en-GB"/>
              </w:rPr>
            </w:pPr>
          </w:p>
          <w:p w:rsidR="007F6845" w:rsidRPr="00A93ECA" w:rsidRDefault="007F6845" w:rsidP="007615AB">
            <w:pPr>
              <w:rPr>
                <w:rFonts w:cs="Arial"/>
              </w:rPr>
            </w:pPr>
            <w:r w:rsidRPr="00A93ECA">
              <w:rPr>
                <w:rFonts w:cs="Arial"/>
              </w:rPr>
              <w:t xml:space="preserve">We keep monitoring our data quality. The Trust has a Data Quality Policy and an Information Improvement Team. This policy, along with a wide range of others relevant to data quality, is regularly reviewed by the Trust’s Health Informatics Committee which also monitors the work of the Information Improvement Team and Health Informatics in general. </w:t>
            </w:r>
          </w:p>
          <w:p w:rsidR="007F6845" w:rsidRPr="00A93ECA" w:rsidRDefault="007F6845" w:rsidP="007615AB">
            <w:pPr>
              <w:spacing w:before="240"/>
              <w:rPr>
                <w:rFonts w:cs="Arial"/>
              </w:rPr>
            </w:pPr>
            <w:r w:rsidRPr="00A93ECA">
              <w:rPr>
                <w:rFonts w:cs="Arial"/>
              </w:rPr>
              <w:t>We have set up new initiatives, including the establishment of a Data Quality Group with our commissioners which will steer the data quality improvement plan.  This is attended by the Information Improvement Manager, finance, information, and data warehousing. This Group is responsible for the monitoring the quality and accuracy of elective waiting time data and escalating any risks.</w:t>
            </w:r>
          </w:p>
          <w:p w:rsidR="007F6845" w:rsidRPr="00A93ECA" w:rsidRDefault="007F6845" w:rsidP="007615AB">
            <w:pPr>
              <w:spacing w:before="240"/>
              <w:rPr>
                <w:rFonts w:cs="Arial"/>
              </w:rPr>
            </w:pPr>
            <w:r w:rsidRPr="00A93ECA">
              <w:rPr>
                <w:rFonts w:cs="Arial"/>
              </w:rPr>
              <w:t xml:space="preserve">The Board regularly </w:t>
            </w:r>
            <w:proofErr w:type="gramStart"/>
            <w:r w:rsidRPr="00A93ECA">
              <w:rPr>
                <w:rFonts w:cs="Arial"/>
              </w:rPr>
              <w:t>discuss</w:t>
            </w:r>
            <w:proofErr w:type="gramEnd"/>
            <w:r w:rsidRPr="00A93ECA">
              <w:rPr>
                <w:rFonts w:cs="Arial"/>
              </w:rPr>
              <w:t xml:space="preserve"> a very wide range of data regarding quality and patient safety, operational performance, human resources and finance. This helps to improve data quality and presentation through robust discussion, questioning and analysis by executive directors, non-executive directors, patients’ representatives and members of the general public.</w:t>
            </w:r>
          </w:p>
          <w:p w:rsidR="007F6845" w:rsidRPr="00A93ECA" w:rsidRDefault="007F6845" w:rsidP="007615AB">
            <w:pPr>
              <w:spacing w:before="240"/>
              <w:rPr>
                <w:rFonts w:cs="Arial"/>
              </w:rPr>
            </w:pPr>
            <w:r w:rsidRPr="00A93ECA">
              <w:rPr>
                <w:rFonts w:cs="Arial"/>
              </w:rPr>
              <w:t xml:space="preserve">In order to achieve further transparency the Trust continues to benchmark its date against HES via CHKS statistics (an independent provider of healthcare intelligence and quality </w:t>
            </w:r>
            <w:r w:rsidRPr="00A93ECA">
              <w:rPr>
                <w:rFonts w:cs="Arial"/>
              </w:rPr>
              <w:lastRenderedPageBreak/>
              <w:t xml:space="preserve">improvement services.).  </w:t>
            </w:r>
          </w:p>
          <w:p w:rsidR="007F6845" w:rsidRPr="00A93ECA" w:rsidRDefault="007F6845" w:rsidP="007615AB">
            <w:pPr>
              <w:autoSpaceDE w:val="0"/>
              <w:autoSpaceDN w:val="0"/>
              <w:adjustRightInd w:val="0"/>
              <w:rPr>
                <w:rFonts w:cs="Arial"/>
                <w:lang w:eastAsia="en-GB"/>
              </w:rPr>
            </w:pPr>
          </w:p>
          <w:p w:rsidR="007F6845" w:rsidRPr="00A93ECA" w:rsidRDefault="007F6845" w:rsidP="007615AB">
            <w:pPr>
              <w:autoSpaceDE w:val="0"/>
              <w:autoSpaceDN w:val="0"/>
              <w:adjustRightInd w:val="0"/>
              <w:rPr>
                <w:rFonts w:cs="Arial"/>
                <w:lang w:eastAsia="en-GB"/>
              </w:rPr>
            </w:pPr>
            <w:r w:rsidRPr="00A93ECA">
              <w:rPr>
                <w:rFonts w:cs="Arial"/>
                <w:lang w:eastAsia="en-GB"/>
              </w:rPr>
              <w:t>Risks to information are managed and controlled via the Health Informatics Service risk register, divisional risk registers (if appropriate) the Trust’s corporate risk register and incident reporting mechanism. Through these above processes I am aware of the risk management systems in place for Information governance at the Trust. There have been no significant lapses of data security in 2014/15.</w:t>
            </w:r>
          </w:p>
          <w:p w:rsidR="007F6845" w:rsidRPr="00A93ECA" w:rsidRDefault="007F6845" w:rsidP="007615AB">
            <w:pPr>
              <w:autoSpaceDE w:val="0"/>
              <w:autoSpaceDN w:val="0"/>
              <w:adjustRightInd w:val="0"/>
              <w:rPr>
                <w:rFonts w:cs="Arial"/>
                <w:lang w:eastAsia="en-GB"/>
              </w:rPr>
            </w:pPr>
          </w:p>
          <w:p w:rsidR="007F6845" w:rsidRPr="00A93ECA" w:rsidRDefault="007F6845" w:rsidP="007615AB">
            <w:pPr>
              <w:rPr>
                <w:rFonts w:cs="Arial"/>
                <w:b/>
                <w:sz w:val="24"/>
                <w:szCs w:val="24"/>
                <w:u w:val="single"/>
              </w:rPr>
            </w:pPr>
            <w:r w:rsidRPr="00A93ECA">
              <w:rPr>
                <w:rFonts w:cs="Arial"/>
                <w:b/>
                <w:sz w:val="24"/>
                <w:szCs w:val="24"/>
              </w:rPr>
              <w:t xml:space="preserve">5.0 </w:t>
            </w:r>
            <w:r w:rsidRPr="00A93ECA">
              <w:rPr>
                <w:rFonts w:cs="Arial"/>
                <w:b/>
                <w:sz w:val="24"/>
                <w:szCs w:val="24"/>
                <w:u w:val="single"/>
              </w:rPr>
              <w:t>Review of the Effectiveness of Risk Management and Internal Control</w:t>
            </w:r>
          </w:p>
          <w:p w:rsidR="007F6845" w:rsidRPr="00A93ECA" w:rsidRDefault="007F6845" w:rsidP="007615AB">
            <w:pPr>
              <w:rPr>
                <w:rFonts w:cs="Arial"/>
                <w:b/>
                <w:sz w:val="24"/>
                <w:szCs w:val="24"/>
              </w:rPr>
            </w:pPr>
          </w:p>
          <w:p w:rsidR="007F6845" w:rsidRPr="00A93ECA" w:rsidRDefault="007F6845" w:rsidP="007615AB">
            <w:pPr>
              <w:rPr>
                <w:rFonts w:cs="Arial"/>
                <w:b/>
              </w:rPr>
            </w:pPr>
            <w:r w:rsidRPr="00A93ECA">
              <w:rPr>
                <w:rFonts w:cs="Arial"/>
                <w:b/>
              </w:rPr>
              <w:t>Review of Effectiveness</w:t>
            </w:r>
          </w:p>
          <w:p w:rsidR="007F6845" w:rsidRPr="00A93ECA" w:rsidRDefault="007F6845" w:rsidP="007615AB">
            <w:pPr>
              <w:autoSpaceDE w:val="0"/>
              <w:autoSpaceDN w:val="0"/>
              <w:adjustRightInd w:val="0"/>
              <w:rPr>
                <w:rFonts w:cs="Arial"/>
                <w:lang w:eastAsia="en-GB"/>
              </w:rPr>
            </w:pPr>
          </w:p>
          <w:p w:rsidR="007F6845" w:rsidRPr="00A93ECA" w:rsidRDefault="007F6845" w:rsidP="007615AB">
            <w:pPr>
              <w:autoSpaceDE w:val="0"/>
              <w:autoSpaceDN w:val="0"/>
              <w:adjustRightInd w:val="0"/>
              <w:rPr>
                <w:rFonts w:cs="Arial"/>
                <w:lang w:eastAsia="en-GB"/>
              </w:rPr>
            </w:pPr>
            <w:r w:rsidRPr="00A93ECA">
              <w:rPr>
                <w:rFonts w:cs="Arial"/>
                <w:lang w:eastAsia="en-GB"/>
              </w:rPr>
              <w:t xml:space="preserve">As Accountable Officer I have responsibility for reviewing the effectiveness of the system of internal control. </w:t>
            </w:r>
          </w:p>
          <w:p w:rsidR="007F6845" w:rsidRPr="00A93ECA" w:rsidRDefault="007F6845" w:rsidP="007615AB">
            <w:pPr>
              <w:autoSpaceDE w:val="0"/>
              <w:autoSpaceDN w:val="0"/>
              <w:adjustRightInd w:val="0"/>
              <w:rPr>
                <w:rFonts w:cs="Arial"/>
                <w:lang w:eastAsia="en-GB"/>
              </w:rPr>
            </w:pPr>
          </w:p>
          <w:p w:rsidR="007F6845" w:rsidRPr="00A93ECA" w:rsidRDefault="007F6845" w:rsidP="007615AB">
            <w:pPr>
              <w:autoSpaceDE w:val="0"/>
              <w:autoSpaceDN w:val="0"/>
              <w:adjustRightInd w:val="0"/>
              <w:rPr>
                <w:rFonts w:cs="Arial"/>
                <w:lang w:eastAsia="en-GB"/>
              </w:rPr>
            </w:pPr>
            <w:r w:rsidRPr="00A93ECA">
              <w:rPr>
                <w:rFonts w:cs="Arial"/>
                <w:lang w:eastAsia="en-GB"/>
              </w:rPr>
              <w:t>My review is informed in a number of ways:</w:t>
            </w:r>
          </w:p>
          <w:p w:rsidR="007F6845" w:rsidRPr="00A93ECA" w:rsidRDefault="007F6845" w:rsidP="007615AB">
            <w:pPr>
              <w:autoSpaceDE w:val="0"/>
              <w:autoSpaceDN w:val="0"/>
              <w:adjustRightInd w:val="0"/>
              <w:rPr>
                <w:rFonts w:cs="Arial"/>
                <w:lang w:eastAsia="en-GB"/>
              </w:rPr>
            </w:pPr>
          </w:p>
          <w:p w:rsidR="007F6845" w:rsidRPr="00A93ECA" w:rsidRDefault="007F6845" w:rsidP="007F6845">
            <w:pPr>
              <w:pStyle w:val="ListParagraph"/>
              <w:numPr>
                <w:ilvl w:val="0"/>
                <w:numId w:val="18"/>
              </w:numPr>
              <w:autoSpaceDE w:val="0"/>
              <w:autoSpaceDN w:val="0"/>
              <w:adjustRightInd w:val="0"/>
              <w:spacing w:line="276" w:lineRule="auto"/>
              <w:contextualSpacing w:val="0"/>
              <w:rPr>
                <w:rFonts w:cs="Arial"/>
                <w:lang w:eastAsia="en-GB"/>
              </w:rPr>
            </w:pPr>
            <w:r w:rsidRPr="00A93ECA">
              <w:rPr>
                <w:rFonts w:cs="Arial"/>
                <w:lang w:eastAsia="en-GB"/>
              </w:rPr>
              <w:t>The Board Assurance Framework itself provides me with evidence of the effective controls that manage the risks to the organisation achieving its principal objectives.</w:t>
            </w:r>
          </w:p>
          <w:p w:rsidR="007F6845" w:rsidRPr="00A93ECA" w:rsidRDefault="007F6845" w:rsidP="007615AB">
            <w:pPr>
              <w:pStyle w:val="ListParagraph"/>
              <w:autoSpaceDE w:val="0"/>
              <w:autoSpaceDN w:val="0"/>
              <w:adjustRightInd w:val="0"/>
              <w:spacing w:line="276" w:lineRule="auto"/>
              <w:ind w:left="360"/>
              <w:contextualSpacing w:val="0"/>
              <w:rPr>
                <w:rFonts w:cs="Arial"/>
                <w:lang w:eastAsia="en-GB"/>
              </w:rPr>
            </w:pPr>
          </w:p>
          <w:p w:rsidR="007F6845" w:rsidRPr="00A93ECA" w:rsidRDefault="007F6845" w:rsidP="007F6845">
            <w:pPr>
              <w:pStyle w:val="ListParagraph"/>
              <w:numPr>
                <w:ilvl w:val="0"/>
                <w:numId w:val="18"/>
              </w:numPr>
              <w:autoSpaceDE w:val="0"/>
              <w:autoSpaceDN w:val="0"/>
              <w:adjustRightInd w:val="0"/>
              <w:spacing w:line="276" w:lineRule="auto"/>
              <w:contextualSpacing w:val="0"/>
              <w:rPr>
                <w:rFonts w:cs="Arial"/>
                <w:lang w:eastAsia="en-GB"/>
              </w:rPr>
            </w:pPr>
            <w:r w:rsidRPr="00A93ECA">
              <w:rPr>
                <w:rFonts w:cs="Arial"/>
                <w:lang w:eastAsia="en-GB"/>
              </w:rPr>
              <w:t xml:space="preserve">The work of the Audit and Assurance Committee provides me with assurance on key controls to assist in securing and delivering the Trust’s business objectives, effective and reliable control systems and agreed and timely corrective action plans for any gaps in controls, systems or assurances. </w:t>
            </w:r>
          </w:p>
          <w:p w:rsidR="007F6845" w:rsidRPr="00A93ECA" w:rsidRDefault="007F6845" w:rsidP="007615AB">
            <w:pPr>
              <w:autoSpaceDE w:val="0"/>
              <w:autoSpaceDN w:val="0"/>
              <w:adjustRightInd w:val="0"/>
              <w:rPr>
                <w:rFonts w:cs="Arial"/>
                <w:lang w:eastAsia="en-GB"/>
              </w:rPr>
            </w:pPr>
          </w:p>
          <w:p w:rsidR="007F6845" w:rsidRPr="00A93ECA" w:rsidRDefault="007F6845" w:rsidP="007F6845">
            <w:pPr>
              <w:pStyle w:val="ListParagraph"/>
              <w:numPr>
                <w:ilvl w:val="0"/>
                <w:numId w:val="18"/>
              </w:numPr>
              <w:autoSpaceDE w:val="0"/>
              <w:autoSpaceDN w:val="0"/>
              <w:adjustRightInd w:val="0"/>
              <w:spacing w:line="276" w:lineRule="auto"/>
              <w:contextualSpacing w:val="0"/>
              <w:rPr>
                <w:rFonts w:cs="Arial"/>
                <w:lang w:eastAsia="en-GB"/>
              </w:rPr>
            </w:pPr>
            <w:r w:rsidRPr="00A93ECA">
              <w:rPr>
                <w:rFonts w:cs="Arial"/>
                <w:lang w:eastAsia="en-GB"/>
              </w:rPr>
              <w:t>The Head of Internal Audit who provides me with an opinion on the overall arrangements for gaining assurance through the Assurance Framework, and on the controls reviewed as part of the internal audit work. Within the annual opinion, the Head of Internal Audit has given a ‘Significant Assurance’ opinion for the year ended 31 March 2015.</w:t>
            </w:r>
          </w:p>
          <w:p w:rsidR="007F6845" w:rsidRPr="00A93ECA" w:rsidRDefault="007F6845" w:rsidP="007615AB">
            <w:pPr>
              <w:pStyle w:val="ListParagraph"/>
              <w:autoSpaceDE w:val="0"/>
              <w:autoSpaceDN w:val="0"/>
              <w:adjustRightInd w:val="0"/>
              <w:spacing w:line="276" w:lineRule="auto"/>
              <w:ind w:left="360"/>
              <w:contextualSpacing w:val="0"/>
              <w:rPr>
                <w:rFonts w:cs="Arial"/>
                <w:b/>
                <w:lang w:eastAsia="en-GB"/>
              </w:rPr>
            </w:pPr>
          </w:p>
          <w:p w:rsidR="007F6845" w:rsidRPr="00A93ECA" w:rsidRDefault="007F6845" w:rsidP="007F6845">
            <w:pPr>
              <w:pStyle w:val="ListParagraph"/>
              <w:numPr>
                <w:ilvl w:val="0"/>
                <w:numId w:val="18"/>
              </w:numPr>
              <w:autoSpaceDE w:val="0"/>
              <w:autoSpaceDN w:val="0"/>
              <w:adjustRightInd w:val="0"/>
              <w:spacing w:line="276" w:lineRule="auto"/>
              <w:contextualSpacing w:val="0"/>
              <w:rPr>
                <w:rFonts w:cs="Arial"/>
                <w:lang w:eastAsia="en-GB"/>
              </w:rPr>
            </w:pPr>
            <w:r w:rsidRPr="00A93ECA">
              <w:rPr>
                <w:rFonts w:cs="Arial"/>
                <w:lang w:eastAsia="en-GB"/>
              </w:rPr>
              <w:t>Executive Directors within the organisation who have responsibility for the development and maintenance of the system of internal control provide me with assurance on the performance of key performance indicators and delivery of operational plans.</w:t>
            </w:r>
          </w:p>
          <w:p w:rsidR="007F6845" w:rsidRPr="00A93ECA" w:rsidRDefault="007F6845" w:rsidP="007615AB">
            <w:pPr>
              <w:pStyle w:val="ListParagraph"/>
              <w:autoSpaceDE w:val="0"/>
              <w:autoSpaceDN w:val="0"/>
              <w:adjustRightInd w:val="0"/>
              <w:spacing w:line="276" w:lineRule="auto"/>
              <w:ind w:left="360"/>
              <w:contextualSpacing w:val="0"/>
              <w:rPr>
                <w:rFonts w:cs="Arial"/>
                <w:lang w:eastAsia="en-GB"/>
              </w:rPr>
            </w:pPr>
          </w:p>
          <w:p w:rsidR="007F6845" w:rsidRPr="00A93ECA" w:rsidRDefault="007F6845" w:rsidP="007F6845">
            <w:pPr>
              <w:pStyle w:val="ListParagraph"/>
              <w:numPr>
                <w:ilvl w:val="0"/>
                <w:numId w:val="18"/>
              </w:numPr>
              <w:autoSpaceDE w:val="0"/>
              <w:autoSpaceDN w:val="0"/>
              <w:adjustRightInd w:val="0"/>
              <w:spacing w:line="276" w:lineRule="auto"/>
              <w:contextualSpacing w:val="0"/>
              <w:rPr>
                <w:rFonts w:cs="Arial"/>
                <w:lang w:eastAsia="en-GB"/>
              </w:rPr>
            </w:pPr>
            <w:r w:rsidRPr="00A93ECA">
              <w:rPr>
                <w:rFonts w:cs="Arial"/>
                <w:lang w:eastAsia="en-GB"/>
              </w:rPr>
              <w:t xml:space="preserve">Reports and feedback from external agencies to the Trust provide me with independent evidence on quality and patient safety outcomes and learning. </w:t>
            </w:r>
          </w:p>
          <w:p w:rsidR="007F6845" w:rsidRPr="00A93ECA" w:rsidRDefault="007F6845" w:rsidP="007615AB">
            <w:pPr>
              <w:autoSpaceDE w:val="0"/>
              <w:autoSpaceDN w:val="0"/>
              <w:adjustRightInd w:val="0"/>
              <w:rPr>
                <w:rFonts w:cs="Arial"/>
                <w:lang w:eastAsia="en-GB"/>
              </w:rPr>
            </w:pPr>
          </w:p>
          <w:p w:rsidR="007F6845" w:rsidRPr="00A93ECA" w:rsidRDefault="007F6845" w:rsidP="007615AB">
            <w:pPr>
              <w:autoSpaceDE w:val="0"/>
              <w:autoSpaceDN w:val="0"/>
              <w:adjustRightInd w:val="0"/>
              <w:rPr>
                <w:rFonts w:cs="Arial"/>
                <w:lang w:eastAsia="en-GB"/>
              </w:rPr>
            </w:pPr>
            <w:r w:rsidRPr="00A93ECA">
              <w:rPr>
                <w:rFonts w:cs="Arial"/>
                <w:lang w:eastAsia="en-GB"/>
              </w:rPr>
              <w:t>My review is also informed by detailed major sources of assurance on which reliance has been placed during the year which include:</w:t>
            </w:r>
          </w:p>
          <w:p w:rsidR="007F6845" w:rsidRPr="00A93ECA" w:rsidRDefault="007F6845" w:rsidP="007615AB">
            <w:pPr>
              <w:autoSpaceDE w:val="0"/>
              <w:autoSpaceDN w:val="0"/>
              <w:adjustRightInd w:val="0"/>
              <w:rPr>
                <w:rFonts w:cs="Arial"/>
                <w:lang w:eastAsia="en-GB"/>
              </w:rPr>
            </w:pPr>
          </w:p>
          <w:p w:rsidR="007F6845" w:rsidRPr="00A93ECA" w:rsidRDefault="007F6845" w:rsidP="007615AB">
            <w:pPr>
              <w:tabs>
                <w:tab w:val="num" w:pos="1080"/>
                <w:tab w:val="num" w:pos="1134"/>
              </w:tabs>
              <w:rPr>
                <w:rFonts w:cs="Arial"/>
                <w:b/>
              </w:rPr>
            </w:pPr>
            <w:r w:rsidRPr="00A93ECA">
              <w:rPr>
                <w:rFonts w:cs="Arial"/>
                <w:b/>
              </w:rPr>
              <w:t xml:space="preserve">External Assurance </w:t>
            </w:r>
          </w:p>
          <w:p w:rsidR="007F6845" w:rsidRPr="00A93ECA" w:rsidRDefault="007F6845" w:rsidP="007615AB">
            <w:pPr>
              <w:tabs>
                <w:tab w:val="num" w:pos="1080"/>
                <w:tab w:val="num" w:pos="1134"/>
              </w:tabs>
              <w:ind w:left="1069"/>
              <w:rPr>
                <w:rFonts w:cs="Arial"/>
              </w:rPr>
            </w:pPr>
          </w:p>
          <w:p w:rsidR="007F6845" w:rsidRPr="00A93ECA" w:rsidRDefault="007F6845" w:rsidP="007F6845">
            <w:pPr>
              <w:pStyle w:val="ListParagraph"/>
              <w:numPr>
                <w:ilvl w:val="0"/>
                <w:numId w:val="16"/>
              </w:numPr>
              <w:spacing w:line="276" w:lineRule="auto"/>
              <w:contextualSpacing w:val="0"/>
              <w:rPr>
                <w:rFonts w:cs="Arial"/>
              </w:rPr>
            </w:pPr>
            <w:r w:rsidRPr="00A93ECA">
              <w:rPr>
                <w:rFonts w:cs="Arial"/>
              </w:rPr>
              <w:t>Audits (clinical, financial, internal, external).</w:t>
            </w:r>
          </w:p>
          <w:p w:rsidR="007F6845" w:rsidRPr="00A93ECA" w:rsidRDefault="007F6845" w:rsidP="007F6845">
            <w:pPr>
              <w:pStyle w:val="ListParagraph"/>
              <w:numPr>
                <w:ilvl w:val="0"/>
                <w:numId w:val="16"/>
              </w:numPr>
              <w:spacing w:line="276" w:lineRule="auto"/>
              <w:contextualSpacing w:val="0"/>
              <w:rPr>
                <w:rFonts w:cs="Arial"/>
              </w:rPr>
            </w:pPr>
            <w:r w:rsidRPr="00A93ECA">
              <w:rPr>
                <w:rFonts w:cs="Arial"/>
              </w:rPr>
              <w:t>External body assessments/reports (</w:t>
            </w:r>
            <w:r w:rsidRPr="00A93ECA">
              <w:rPr>
                <w:rFonts w:cs="Arial"/>
                <w:lang w:eastAsia="en-GB"/>
              </w:rPr>
              <w:t xml:space="preserve">Trust Development Authority, </w:t>
            </w:r>
            <w:r w:rsidRPr="00A93ECA">
              <w:rPr>
                <w:rFonts w:cs="Arial"/>
              </w:rPr>
              <w:t>Healthwatch, NHS Protect).</w:t>
            </w:r>
          </w:p>
          <w:p w:rsidR="007F6845" w:rsidRPr="00A93ECA" w:rsidRDefault="007F6845" w:rsidP="007F6845">
            <w:pPr>
              <w:pStyle w:val="ListParagraph"/>
              <w:numPr>
                <w:ilvl w:val="0"/>
                <w:numId w:val="16"/>
              </w:numPr>
              <w:spacing w:line="276" w:lineRule="auto"/>
              <w:contextualSpacing w:val="0"/>
              <w:rPr>
                <w:rFonts w:cs="Arial"/>
              </w:rPr>
            </w:pPr>
            <w:r w:rsidRPr="00A93ECA">
              <w:rPr>
                <w:rFonts w:cs="Arial"/>
              </w:rPr>
              <w:lastRenderedPageBreak/>
              <w:t>Care Quality Commission Standards and Trust registration process – reports and full engagement of Executive and Non-Executive directors throughout the process.</w:t>
            </w:r>
          </w:p>
          <w:p w:rsidR="007F6845" w:rsidRPr="00A93ECA" w:rsidRDefault="007F6845" w:rsidP="007F6845">
            <w:pPr>
              <w:pStyle w:val="ListParagraph"/>
              <w:numPr>
                <w:ilvl w:val="0"/>
                <w:numId w:val="16"/>
              </w:numPr>
              <w:spacing w:line="276" w:lineRule="auto"/>
              <w:contextualSpacing w:val="0"/>
              <w:rPr>
                <w:rFonts w:cs="Arial"/>
              </w:rPr>
            </w:pPr>
            <w:r w:rsidRPr="00A93ECA">
              <w:rPr>
                <w:rFonts w:cs="Arial"/>
              </w:rPr>
              <w:t>Peer Reviews and re-accreditation of specific functions within the organisation (National Patients’ Association, Royal Colleges)</w:t>
            </w:r>
          </w:p>
          <w:p w:rsidR="007F6845" w:rsidRPr="00A93ECA" w:rsidRDefault="007F6845" w:rsidP="007F6845">
            <w:pPr>
              <w:pStyle w:val="ListParagraph"/>
              <w:numPr>
                <w:ilvl w:val="0"/>
                <w:numId w:val="16"/>
              </w:numPr>
              <w:spacing w:line="276" w:lineRule="auto"/>
              <w:contextualSpacing w:val="0"/>
              <w:rPr>
                <w:rFonts w:cs="Arial"/>
              </w:rPr>
            </w:pPr>
            <w:r w:rsidRPr="00A93ECA">
              <w:rPr>
                <w:rFonts w:cs="Arial"/>
              </w:rPr>
              <w:t>Benchmarking of key performance data where possible, including use of the CHKS benchmarking system.</w:t>
            </w:r>
          </w:p>
          <w:p w:rsidR="007F6845" w:rsidRPr="00A93ECA" w:rsidRDefault="007F6845" w:rsidP="007F6845">
            <w:pPr>
              <w:pStyle w:val="ListParagraph"/>
              <w:numPr>
                <w:ilvl w:val="0"/>
                <w:numId w:val="16"/>
              </w:numPr>
              <w:spacing w:line="276" w:lineRule="auto"/>
              <w:contextualSpacing w:val="0"/>
              <w:rPr>
                <w:rFonts w:cs="Arial"/>
              </w:rPr>
            </w:pPr>
            <w:r w:rsidRPr="00A93ECA">
              <w:rPr>
                <w:rFonts w:cs="Arial"/>
              </w:rPr>
              <w:t>Financial Monitoring and Accounts (FMA) returns.</w:t>
            </w:r>
          </w:p>
          <w:p w:rsidR="007F6845" w:rsidRPr="00A93ECA" w:rsidRDefault="007F6845" w:rsidP="007F6845">
            <w:pPr>
              <w:pStyle w:val="ListParagraph"/>
              <w:numPr>
                <w:ilvl w:val="0"/>
                <w:numId w:val="16"/>
              </w:numPr>
              <w:spacing w:line="276" w:lineRule="auto"/>
              <w:contextualSpacing w:val="0"/>
              <w:rPr>
                <w:rFonts w:cs="Arial"/>
              </w:rPr>
            </w:pPr>
            <w:r w:rsidRPr="00A93ECA">
              <w:rPr>
                <w:rFonts w:cs="Arial"/>
              </w:rPr>
              <w:t xml:space="preserve">Local public perception including feedback from regular meetings with the Patients’ Council, key local stakeholders and media coverage reports. </w:t>
            </w:r>
          </w:p>
          <w:p w:rsidR="007F6845" w:rsidRPr="00A93ECA" w:rsidRDefault="007F6845" w:rsidP="007F6845">
            <w:pPr>
              <w:pStyle w:val="ListParagraph"/>
              <w:numPr>
                <w:ilvl w:val="0"/>
                <w:numId w:val="16"/>
              </w:numPr>
              <w:spacing w:line="276" w:lineRule="auto"/>
              <w:contextualSpacing w:val="0"/>
              <w:rPr>
                <w:rFonts w:cs="Arial"/>
              </w:rPr>
            </w:pPr>
            <w:r w:rsidRPr="00A93ECA">
              <w:rPr>
                <w:rFonts w:cs="Arial"/>
              </w:rPr>
              <w:t>Hazard/safety notices – reports regarding compliance.</w:t>
            </w:r>
          </w:p>
          <w:p w:rsidR="007F6845" w:rsidRPr="00A93ECA" w:rsidRDefault="007F6845" w:rsidP="007F6845">
            <w:pPr>
              <w:pStyle w:val="ListParagraph"/>
              <w:numPr>
                <w:ilvl w:val="0"/>
                <w:numId w:val="16"/>
              </w:numPr>
              <w:spacing w:line="276" w:lineRule="auto"/>
              <w:contextualSpacing w:val="0"/>
              <w:rPr>
                <w:rFonts w:cs="Arial"/>
              </w:rPr>
            </w:pPr>
            <w:r w:rsidRPr="00A93ECA">
              <w:rPr>
                <w:rFonts w:cs="Arial"/>
              </w:rPr>
              <w:t>External professional guidelines (NICE, NPSA) – reports regarding compliance.</w:t>
            </w:r>
          </w:p>
          <w:p w:rsidR="007F6845" w:rsidRPr="00A93ECA" w:rsidRDefault="007F6845" w:rsidP="007F6845">
            <w:pPr>
              <w:pStyle w:val="ListParagraph"/>
              <w:numPr>
                <w:ilvl w:val="0"/>
                <w:numId w:val="16"/>
              </w:numPr>
              <w:autoSpaceDE w:val="0"/>
              <w:autoSpaceDN w:val="0"/>
              <w:adjustRightInd w:val="0"/>
              <w:spacing w:line="276" w:lineRule="auto"/>
              <w:contextualSpacing w:val="0"/>
              <w:jc w:val="left"/>
              <w:rPr>
                <w:rFonts w:cs="Arial"/>
              </w:rPr>
            </w:pPr>
            <w:r w:rsidRPr="00A93ECA">
              <w:rPr>
                <w:rFonts w:cs="Arial"/>
                <w:lang w:eastAsia="en-GB"/>
              </w:rPr>
              <w:t>Reports on the effectiveness of work undertaken by the Local Counter Fraud Specialist.</w:t>
            </w:r>
          </w:p>
          <w:p w:rsidR="007F6845" w:rsidRPr="00A93ECA" w:rsidRDefault="007F6845" w:rsidP="007F6845">
            <w:pPr>
              <w:pStyle w:val="ListParagraph"/>
              <w:numPr>
                <w:ilvl w:val="0"/>
                <w:numId w:val="16"/>
              </w:numPr>
              <w:spacing w:line="276" w:lineRule="auto"/>
              <w:contextualSpacing w:val="0"/>
              <w:rPr>
                <w:rFonts w:cs="Arial"/>
              </w:rPr>
            </w:pPr>
            <w:r w:rsidRPr="00A93ECA">
              <w:rPr>
                <w:rFonts w:cs="Arial"/>
              </w:rPr>
              <w:t>National reports and surveys – reports detailing organisational compliance relative to other organizations (e.g. Friends and Family Test, National Inpatient survey, National Staff Survey).</w:t>
            </w:r>
          </w:p>
          <w:p w:rsidR="007F6845" w:rsidRPr="00A93ECA" w:rsidRDefault="007F6845" w:rsidP="007615AB">
            <w:pPr>
              <w:tabs>
                <w:tab w:val="num" w:pos="1134"/>
              </w:tabs>
              <w:ind w:left="1069"/>
              <w:rPr>
                <w:rFonts w:cs="Arial"/>
              </w:rPr>
            </w:pPr>
          </w:p>
          <w:p w:rsidR="007F6845" w:rsidRPr="00A93ECA" w:rsidRDefault="007F6845" w:rsidP="007615AB">
            <w:pPr>
              <w:rPr>
                <w:rFonts w:cs="Arial"/>
              </w:rPr>
            </w:pPr>
            <w:r w:rsidRPr="00A93ECA">
              <w:rPr>
                <w:rFonts w:cs="Arial"/>
                <w:b/>
              </w:rPr>
              <w:t xml:space="preserve">External Audit </w:t>
            </w:r>
            <w:r w:rsidRPr="00A93ECA">
              <w:rPr>
                <w:rFonts w:cs="Arial"/>
              </w:rPr>
              <w:t>has been provided to the Trust by Grant Thornton UK LLP. The results of external audits are reviewed through the Audit and Assurance Committee and the External Auditors attend the meetings of that Committee.</w:t>
            </w:r>
          </w:p>
          <w:p w:rsidR="007F6845" w:rsidRPr="00A93ECA" w:rsidRDefault="007F6845" w:rsidP="007615AB">
            <w:pPr>
              <w:autoSpaceDE w:val="0"/>
              <w:autoSpaceDN w:val="0"/>
              <w:adjustRightInd w:val="0"/>
              <w:rPr>
                <w:rFonts w:cs="Arial"/>
                <w:b/>
                <w:lang w:eastAsia="en-GB"/>
              </w:rPr>
            </w:pPr>
          </w:p>
          <w:p w:rsidR="007F6845" w:rsidRPr="00A93ECA" w:rsidRDefault="007F6845" w:rsidP="007615AB">
            <w:pPr>
              <w:autoSpaceDE w:val="0"/>
              <w:autoSpaceDN w:val="0"/>
              <w:adjustRightInd w:val="0"/>
              <w:rPr>
                <w:rFonts w:cs="Arial"/>
                <w:lang w:eastAsia="en-GB"/>
              </w:rPr>
            </w:pPr>
            <w:r w:rsidRPr="00A93ECA">
              <w:rPr>
                <w:rFonts w:cs="Arial"/>
                <w:b/>
                <w:lang w:eastAsia="en-GB"/>
              </w:rPr>
              <w:t>Other Assurance Mechanisms</w:t>
            </w:r>
            <w:r w:rsidRPr="00A93ECA">
              <w:rPr>
                <w:rFonts w:cs="Arial"/>
                <w:lang w:eastAsia="en-GB"/>
              </w:rPr>
              <w:t xml:space="preserve">: </w:t>
            </w:r>
          </w:p>
          <w:p w:rsidR="007F6845" w:rsidRPr="00A93ECA" w:rsidRDefault="007F6845" w:rsidP="007615AB">
            <w:pPr>
              <w:autoSpaceDE w:val="0"/>
              <w:autoSpaceDN w:val="0"/>
              <w:adjustRightInd w:val="0"/>
              <w:rPr>
                <w:rFonts w:cs="Arial"/>
                <w:lang w:eastAsia="en-GB"/>
              </w:rPr>
            </w:pPr>
            <w:r w:rsidRPr="00A93ECA">
              <w:rPr>
                <w:rFonts w:cs="Arial"/>
                <w:lang w:eastAsia="en-GB"/>
              </w:rPr>
              <w:t>Special Reviews are undertaken from time to time by</w:t>
            </w:r>
            <w:r w:rsidRPr="00A93ECA">
              <w:rPr>
                <w:rFonts w:cs="Arial"/>
              </w:rPr>
              <w:t xml:space="preserve"> the Care Quality Commission, </w:t>
            </w:r>
            <w:r w:rsidRPr="00A93ECA">
              <w:rPr>
                <w:rFonts w:cs="Arial"/>
                <w:lang w:eastAsia="en-GB"/>
              </w:rPr>
              <w:t>External Audit, and the Health and Safety Executive as well as other various external bodies. Peer reviews are also undertaken.</w:t>
            </w:r>
          </w:p>
          <w:p w:rsidR="007F6845" w:rsidRPr="00A93ECA" w:rsidRDefault="007F6845" w:rsidP="007615AB">
            <w:pPr>
              <w:tabs>
                <w:tab w:val="num" w:pos="1134"/>
              </w:tabs>
              <w:ind w:left="1069"/>
              <w:rPr>
                <w:rFonts w:cs="Arial"/>
              </w:rPr>
            </w:pPr>
          </w:p>
          <w:p w:rsidR="007F6845" w:rsidRPr="00A93ECA" w:rsidRDefault="007F6845" w:rsidP="007615AB">
            <w:pPr>
              <w:tabs>
                <w:tab w:val="num" w:pos="1134"/>
              </w:tabs>
              <w:rPr>
                <w:rFonts w:cs="Arial"/>
                <w:b/>
              </w:rPr>
            </w:pPr>
            <w:r w:rsidRPr="00A93ECA">
              <w:rPr>
                <w:rFonts w:cs="Arial"/>
                <w:b/>
              </w:rPr>
              <w:t xml:space="preserve">Internal Assurance </w:t>
            </w:r>
          </w:p>
          <w:p w:rsidR="007F6845" w:rsidRPr="00A93ECA" w:rsidRDefault="007F6845" w:rsidP="007615AB">
            <w:pPr>
              <w:tabs>
                <w:tab w:val="num" w:pos="1134"/>
              </w:tabs>
              <w:ind w:left="1069"/>
              <w:rPr>
                <w:rFonts w:cs="Arial"/>
              </w:rPr>
            </w:pPr>
          </w:p>
          <w:p w:rsidR="007F6845" w:rsidRPr="00A93ECA" w:rsidRDefault="007F6845" w:rsidP="007F6845">
            <w:pPr>
              <w:pStyle w:val="ListParagraph"/>
              <w:numPr>
                <w:ilvl w:val="0"/>
                <w:numId w:val="16"/>
              </w:numPr>
              <w:spacing w:line="276" w:lineRule="auto"/>
              <w:contextualSpacing w:val="0"/>
              <w:rPr>
                <w:rFonts w:cs="Arial"/>
              </w:rPr>
            </w:pPr>
            <w:r w:rsidRPr="00A93ECA">
              <w:rPr>
                <w:rFonts w:cs="Arial"/>
              </w:rPr>
              <w:t>Local Patient and Staff surveys and questionnaires.</w:t>
            </w:r>
          </w:p>
          <w:p w:rsidR="007F6845" w:rsidRPr="00A93ECA" w:rsidRDefault="007F6845" w:rsidP="007F6845">
            <w:pPr>
              <w:pStyle w:val="ListParagraph"/>
              <w:numPr>
                <w:ilvl w:val="0"/>
                <w:numId w:val="16"/>
              </w:numPr>
              <w:spacing w:line="276" w:lineRule="auto"/>
              <w:contextualSpacing w:val="0"/>
              <w:rPr>
                <w:rFonts w:cs="Arial"/>
              </w:rPr>
            </w:pPr>
            <w:r w:rsidRPr="00A93ECA">
              <w:rPr>
                <w:rFonts w:cs="Arial"/>
              </w:rPr>
              <w:t xml:space="preserve">Quarterly incidents, inquests, complaints, Patient Advice and Liaison Service and claims – reports to committees and trend analysis. </w:t>
            </w:r>
          </w:p>
          <w:p w:rsidR="007F6845" w:rsidRPr="00A93ECA" w:rsidRDefault="007F6845" w:rsidP="007F6845">
            <w:pPr>
              <w:pStyle w:val="ListParagraph"/>
              <w:numPr>
                <w:ilvl w:val="0"/>
                <w:numId w:val="16"/>
              </w:numPr>
              <w:spacing w:line="276" w:lineRule="auto"/>
              <w:contextualSpacing w:val="0"/>
              <w:rPr>
                <w:rFonts w:cs="Arial"/>
              </w:rPr>
            </w:pPr>
            <w:r w:rsidRPr="00A93ECA">
              <w:rPr>
                <w:rFonts w:cs="Arial"/>
              </w:rPr>
              <w:t xml:space="preserve">Training reports detailing feedback from training and compliance with attendance. </w:t>
            </w:r>
          </w:p>
          <w:p w:rsidR="007F6845" w:rsidRPr="00A93ECA" w:rsidRDefault="007F6845" w:rsidP="007F6845">
            <w:pPr>
              <w:pStyle w:val="Title"/>
              <w:numPr>
                <w:ilvl w:val="0"/>
                <w:numId w:val="16"/>
              </w:numPr>
              <w:pBdr>
                <w:top w:val="none" w:sz="0" w:space="0" w:color="auto"/>
                <w:bottom w:val="none" w:sz="0" w:space="0" w:color="auto"/>
              </w:pBdr>
              <w:spacing w:line="276" w:lineRule="auto"/>
              <w:jc w:val="both"/>
              <w:rPr>
                <w:rFonts w:cs="Arial"/>
                <w:i w:val="0"/>
                <w:color w:val="auto"/>
                <w:sz w:val="22"/>
                <w:szCs w:val="22"/>
              </w:rPr>
            </w:pPr>
            <w:proofErr w:type="gramStart"/>
            <w:r w:rsidRPr="00A93ECA">
              <w:rPr>
                <w:rFonts w:cs="Arial"/>
                <w:i w:val="0"/>
                <w:color w:val="auto"/>
                <w:sz w:val="22"/>
                <w:szCs w:val="22"/>
              </w:rPr>
              <w:t>Feedback from staff through individual contact, larger group listening events and exit interviews including feedback from Trade Unions.</w:t>
            </w:r>
            <w:proofErr w:type="gramEnd"/>
          </w:p>
          <w:p w:rsidR="007F6845" w:rsidRPr="00A93ECA" w:rsidRDefault="007F6845" w:rsidP="007F6845">
            <w:pPr>
              <w:pStyle w:val="ListParagraph"/>
              <w:numPr>
                <w:ilvl w:val="0"/>
                <w:numId w:val="16"/>
              </w:numPr>
              <w:rPr>
                <w:rFonts w:cs="Arial"/>
              </w:rPr>
            </w:pPr>
            <w:r w:rsidRPr="00A93ECA">
              <w:rPr>
                <w:rFonts w:cs="Arial"/>
              </w:rPr>
              <w:t>Clinical audit and effectiveness reports from the Quality Improvement Hub.</w:t>
            </w:r>
          </w:p>
          <w:p w:rsidR="007F6845" w:rsidRPr="00A93ECA" w:rsidRDefault="007F6845" w:rsidP="007615AB">
            <w:pPr>
              <w:autoSpaceDE w:val="0"/>
              <w:autoSpaceDN w:val="0"/>
              <w:adjustRightInd w:val="0"/>
              <w:rPr>
                <w:rFonts w:cs="Arial"/>
                <w:lang w:eastAsia="en-GB"/>
              </w:rPr>
            </w:pPr>
          </w:p>
          <w:p w:rsidR="007F6845" w:rsidRPr="00A93ECA" w:rsidRDefault="007F6845" w:rsidP="007615AB">
            <w:pPr>
              <w:autoSpaceDE w:val="0"/>
              <w:autoSpaceDN w:val="0"/>
              <w:adjustRightInd w:val="0"/>
              <w:rPr>
                <w:rFonts w:cs="Arial"/>
              </w:rPr>
            </w:pPr>
            <w:r w:rsidRPr="00A93ECA">
              <w:rPr>
                <w:rFonts w:cs="Arial"/>
                <w:lang w:eastAsia="en-GB"/>
              </w:rPr>
              <w:t xml:space="preserve">I have been advised on the implications of the result of my review of the effectiveness of the system of internal control by the Trust Board, Audit and Assurance Committee, and the Quality and Governance Committee. </w:t>
            </w:r>
            <w:r w:rsidRPr="00A93ECA">
              <w:rPr>
                <w:rFonts w:cs="Arial"/>
              </w:rPr>
              <w:t>The governance structures and systems of internal control detailed below have been in place during 2014/15 and the effectiveness of the Committee structure is regularly monitored. Board and Committee minutes record attendance at each meeting.</w:t>
            </w:r>
          </w:p>
          <w:p w:rsidR="007F6845" w:rsidRPr="00A93ECA" w:rsidRDefault="007F6845" w:rsidP="007615AB">
            <w:pPr>
              <w:autoSpaceDE w:val="0"/>
              <w:autoSpaceDN w:val="0"/>
              <w:adjustRightInd w:val="0"/>
              <w:rPr>
                <w:rFonts w:cs="Arial"/>
              </w:rPr>
            </w:pPr>
          </w:p>
          <w:p w:rsidR="007F6845" w:rsidRPr="00A93ECA" w:rsidRDefault="007F6845" w:rsidP="007615AB">
            <w:pPr>
              <w:autoSpaceDE w:val="0"/>
              <w:autoSpaceDN w:val="0"/>
              <w:adjustRightInd w:val="0"/>
              <w:rPr>
                <w:rFonts w:cs="Arial"/>
                <w:lang w:eastAsia="en-GB"/>
              </w:rPr>
            </w:pPr>
            <w:r w:rsidRPr="00A93ECA">
              <w:rPr>
                <w:rFonts w:cs="Arial"/>
                <w:b/>
                <w:lang w:eastAsia="en-GB"/>
              </w:rPr>
              <w:t>Internal Audit</w:t>
            </w:r>
            <w:r w:rsidRPr="00A93ECA">
              <w:rPr>
                <w:rFonts w:cs="Arial"/>
                <w:lang w:eastAsia="en-GB"/>
              </w:rPr>
              <w:t xml:space="preserve"> is provided by Audit South West and carries out a continuous review of the internal control system. It reports the results of reviews and recommendations for improvements in control to management and the Trust’s Audit and Assurance Committee. </w:t>
            </w:r>
            <w:r w:rsidRPr="00A93ECA">
              <w:rPr>
                <w:rFonts w:cs="Arial"/>
              </w:rPr>
              <w:t xml:space="preserve">The annual internal audit programme is based around the Trust’s key objectives and the Assurance Framework. The results of audit are reviewed through the Audit and Assurance Committee and the Internal Auditors attend every meeting of the Committee. </w:t>
            </w:r>
            <w:r w:rsidRPr="00A93ECA">
              <w:rPr>
                <w:rFonts w:cs="Arial"/>
              </w:rPr>
              <w:lastRenderedPageBreak/>
              <w:t>In March 2015 Audit South West reported an overall assurance opinion of CQC Governance as ‘green’ and in June 2015 Governance and Risk Management Arrangements at the Trust were assessed as ‘green’.</w:t>
            </w:r>
          </w:p>
          <w:p w:rsidR="007F6845" w:rsidRPr="00A93ECA" w:rsidRDefault="007F6845" w:rsidP="007615AB">
            <w:pPr>
              <w:rPr>
                <w:rFonts w:cs="Arial"/>
                <w:b/>
              </w:rPr>
            </w:pPr>
          </w:p>
          <w:p w:rsidR="007F6845" w:rsidRPr="00A93ECA" w:rsidRDefault="007F6845" w:rsidP="007615AB">
            <w:pPr>
              <w:autoSpaceDE w:val="0"/>
              <w:autoSpaceDN w:val="0"/>
              <w:adjustRightInd w:val="0"/>
              <w:rPr>
                <w:rFonts w:cs="Arial"/>
                <w:lang w:eastAsia="en-GB"/>
              </w:rPr>
            </w:pPr>
            <w:r w:rsidRPr="00A93ECA">
              <w:rPr>
                <w:rFonts w:cs="Arial"/>
                <w:b/>
              </w:rPr>
              <w:t>The system of internal control</w:t>
            </w:r>
            <w:r w:rsidRPr="00A93ECA">
              <w:rPr>
                <w:rFonts w:cs="Arial"/>
              </w:rPr>
              <w:t xml:space="preserve"> has been in place in Weston Area Health NHS Trust for the year ended 31 March 2015 and up to the date of approval of the annual report and accounts.</w:t>
            </w:r>
          </w:p>
          <w:p w:rsidR="007F6845" w:rsidRPr="00A93ECA" w:rsidRDefault="007F6845" w:rsidP="007615AB">
            <w:pPr>
              <w:autoSpaceDE w:val="0"/>
              <w:autoSpaceDN w:val="0"/>
              <w:adjustRightInd w:val="0"/>
              <w:rPr>
                <w:rFonts w:cs="Arial"/>
                <w:lang w:eastAsia="en-GB"/>
              </w:rPr>
            </w:pPr>
          </w:p>
          <w:p w:rsidR="007F6845" w:rsidRPr="00A93ECA" w:rsidRDefault="007F6845" w:rsidP="007615AB">
            <w:pPr>
              <w:rPr>
                <w:rFonts w:cs="Arial"/>
                <w:b/>
                <w:sz w:val="24"/>
                <w:szCs w:val="24"/>
                <w:u w:val="single"/>
              </w:rPr>
            </w:pPr>
            <w:r w:rsidRPr="00A93ECA">
              <w:rPr>
                <w:rFonts w:cs="Arial"/>
                <w:b/>
                <w:sz w:val="24"/>
                <w:szCs w:val="24"/>
              </w:rPr>
              <w:t xml:space="preserve">6.0 </w:t>
            </w:r>
            <w:r w:rsidRPr="00A93ECA">
              <w:rPr>
                <w:rFonts w:cs="Arial"/>
                <w:b/>
                <w:sz w:val="24"/>
                <w:szCs w:val="24"/>
                <w:u w:val="single"/>
              </w:rPr>
              <w:t>Significant Issues</w:t>
            </w:r>
          </w:p>
          <w:p w:rsidR="007F6845" w:rsidRPr="00A93ECA" w:rsidRDefault="007F6845" w:rsidP="007615AB">
            <w:pPr>
              <w:autoSpaceDE w:val="0"/>
              <w:autoSpaceDN w:val="0"/>
              <w:adjustRightInd w:val="0"/>
              <w:rPr>
                <w:rFonts w:cs="Arial"/>
                <w:lang w:eastAsia="en-GB"/>
              </w:rPr>
            </w:pPr>
          </w:p>
          <w:p w:rsidR="007F6845" w:rsidRPr="00A93ECA" w:rsidRDefault="007F6845" w:rsidP="007615AB">
            <w:pPr>
              <w:autoSpaceDE w:val="0"/>
              <w:autoSpaceDN w:val="0"/>
              <w:adjustRightInd w:val="0"/>
              <w:rPr>
                <w:rFonts w:cs="Arial"/>
                <w:lang w:eastAsia="en-GB"/>
              </w:rPr>
            </w:pPr>
            <w:r w:rsidRPr="00A93ECA">
              <w:rPr>
                <w:rFonts w:cs="Arial"/>
                <w:lang w:eastAsia="en-GB"/>
              </w:rPr>
              <w:t>No significant issues have been reported in year.</w:t>
            </w:r>
          </w:p>
          <w:p w:rsidR="007F6845" w:rsidRPr="00A93ECA" w:rsidRDefault="007F6845" w:rsidP="007615AB">
            <w:pPr>
              <w:autoSpaceDE w:val="0"/>
              <w:autoSpaceDN w:val="0"/>
              <w:adjustRightInd w:val="0"/>
              <w:rPr>
                <w:rFonts w:cs="Arial"/>
                <w:lang w:eastAsia="en-GB"/>
              </w:rPr>
            </w:pPr>
          </w:p>
          <w:p w:rsidR="007F6845" w:rsidRPr="00A93ECA" w:rsidRDefault="007F6845" w:rsidP="007615AB">
            <w:pPr>
              <w:autoSpaceDE w:val="0"/>
              <w:autoSpaceDN w:val="0"/>
              <w:adjustRightInd w:val="0"/>
              <w:rPr>
                <w:rFonts w:cs="Arial"/>
                <w:b/>
                <w:lang w:eastAsia="en-GB"/>
              </w:rPr>
            </w:pPr>
            <w:r w:rsidRPr="00A93ECA">
              <w:rPr>
                <w:rFonts w:cs="Arial"/>
                <w:b/>
                <w:lang w:eastAsia="en-GB"/>
              </w:rPr>
              <w:t>6.1 Future form of the organisation</w:t>
            </w:r>
          </w:p>
          <w:p w:rsidR="007F6845" w:rsidRPr="00A93ECA" w:rsidRDefault="007F6845" w:rsidP="007615AB">
            <w:pPr>
              <w:autoSpaceDE w:val="0"/>
              <w:autoSpaceDN w:val="0"/>
              <w:adjustRightInd w:val="0"/>
              <w:rPr>
                <w:rFonts w:cs="Arial"/>
                <w:lang w:eastAsia="en-GB"/>
              </w:rPr>
            </w:pPr>
            <w:r w:rsidRPr="00A93ECA">
              <w:rPr>
                <w:rFonts w:cs="Arial"/>
                <w:lang w:eastAsia="en-GB"/>
              </w:rPr>
              <w:t>The Trust continues to work closely with the Trust Development Authority (TDA) to identify a new organisational form, probably effective from 2015/16, due to issues concerning sustainability including a challenging financial position. This is a significant strategic risk which is managed by the Trust and the TDA.</w:t>
            </w:r>
          </w:p>
          <w:p w:rsidR="007F6845" w:rsidRPr="00A93ECA" w:rsidRDefault="007F6845" w:rsidP="007615AB">
            <w:pPr>
              <w:autoSpaceDE w:val="0"/>
              <w:autoSpaceDN w:val="0"/>
              <w:adjustRightInd w:val="0"/>
              <w:rPr>
                <w:rFonts w:cs="Arial"/>
                <w:lang w:eastAsia="en-GB"/>
              </w:rPr>
            </w:pPr>
          </w:p>
          <w:p w:rsidR="007F6845" w:rsidRPr="00A93ECA" w:rsidRDefault="007F6845" w:rsidP="007615AB">
            <w:pPr>
              <w:autoSpaceDE w:val="0"/>
              <w:autoSpaceDN w:val="0"/>
              <w:adjustRightInd w:val="0"/>
              <w:rPr>
                <w:rFonts w:cs="Arial"/>
              </w:rPr>
            </w:pPr>
            <w:r w:rsidRPr="00A93ECA">
              <w:rPr>
                <w:rFonts w:cs="Arial"/>
                <w:lang w:eastAsia="en-GB"/>
              </w:rPr>
              <w:t xml:space="preserve">The Head of Internal Audit has given a ‘Significant Assurance’ opinion for the year ended 31 </w:t>
            </w:r>
            <w:r w:rsidRPr="00A93ECA">
              <w:rPr>
                <w:rFonts w:cs="Arial"/>
              </w:rPr>
              <w:t xml:space="preserve">March 2015. The opinion confirms that there is a generally sound system of internal control designed to meet the Trust’s objectives and that controls are generally being applied consistently. </w:t>
            </w:r>
          </w:p>
          <w:p w:rsidR="007F6845" w:rsidRPr="00A93ECA" w:rsidRDefault="007F6845" w:rsidP="007615AB">
            <w:pPr>
              <w:pStyle w:val="Header"/>
              <w:tabs>
                <w:tab w:val="clear" w:pos="4153"/>
                <w:tab w:val="clear" w:pos="8306"/>
              </w:tabs>
              <w:spacing w:line="276" w:lineRule="auto"/>
              <w:ind w:left="709" w:hanging="709"/>
              <w:rPr>
                <w:rFonts w:cs="Arial"/>
              </w:rPr>
            </w:pPr>
          </w:p>
          <w:p w:rsidR="007F6845" w:rsidRPr="00A93ECA" w:rsidRDefault="007F6845" w:rsidP="007615AB">
            <w:pPr>
              <w:autoSpaceDE w:val="0"/>
              <w:autoSpaceDN w:val="0"/>
              <w:adjustRightInd w:val="0"/>
              <w:rPr>
                <w:rFonts w:cs="Arial"/>
                <w:b/>
              </w:rPr>
            </w:pPr>
            <w:r w:rsidRPr="00A93ECA">
              <w:rPr>
                <w:rFonts w:cs="Arial"/>
                <w:b/>
              </w:rPr>
              <w:t xml:space="preserve">7. </w:t>
            </w:r>
            <w:r w:rsidRPr="00A93ECA">
              <w:rPr>
                <w:rFonts w:cs="Arial"/>
                <w:b/>
                <w:u w:val="single"/>
              </w:rPr>
              <w:t>Concluding Statement</w:t>
            </w:r>
          </w:p>
          <w:p w:rsidR="007F6845" w:rsidRPr="00A93ECA" w:rsidRDefault="007F6845" w:rsidP="007615AB">
            <w:pPr>
              <w:autoSpaceDE w:val="0"/>
              <w:autoSpaceDN w:val="0"/>
              <w:adjustRightInd w:val="0"/>
              <w:rPr>
                <w:rFonts w:cs="Arial"/>
              </w:rPr>
            </w:pPr>
            <w:r w:rsidRPr="00A93ECA">
              <w:rPr>
                <w:rFonts w:cs="Arial"/>
              </w:rPr>
              <w:t xml:space="preserve">My review confirms that Weston Area Health NHS Trust has a generally sound system of internal controls that supports the achievement of its policies, aims and objectives. </w:t>
            </w:r>
          </w:p>
          <w:p w:rsidR="007F6845" w:rsidRPr="00A93ECA" w:rsidRDefault="007F6845" w:rsidP="007615AB">
            <w:pPr>
              <w:autoSpaceDE w:val="0"/>
              <w:autoSpaceDN w:val="0"/>
              <w:adjustRightInd w:val="0"/>
              <w:rPr>
                <w:rFonts w:cs="Arial"/>
              </w:rPr>
            </w:pPr>
          </w:p>
          <w:p w:rsidR="007F6845" w:rsidRPr="00A93ECA" w:rsidRDefault="007F6845" w:rsidP="007615AB">
            <w:pPr>
              <w:autoSpaceDE w:val="0"/>
              <w:autoSpaceDN w:val="0"/>
              <w:adjustRightInd w:val="0"/>
              <w:rPr>
                <w:rFonts w:cs="Arial"/>
              </w:rPr>
            </w:pPr>
          </w:p>
          <w:p w:rsidR="007F6845" w:rsidRPr="00A93ECA" w:rsidRDefault="007F6845" w:rsidP="007615AB">
            <w:pPr>
              <w:autoSpaceDE w:val="0"/>
              <w:autoSpaceDN w:val="0"/>
              <w:adjustRightInd w:val="0"/>
              <w:rPr>
                <w:rFonts w:cs="Arial"/>
                <w:sz w:val="24"/>
                <w:szCs w:val="24"/>
              </w:rPr>
            </w:pPr>
            <w:r w:rsidRPr="00A93ECA">
              <w:rPr>
                <w:rFonts w:cs="Arial"/>
              </w:rPr>
              <w:t xml:space="preserve"> </w:t>
            </w:r>
          </w:p>
        </w:tc>
      </w:tr>
      <w:tr w:rsidR="007F6845" w:rsidRPr="00C52316" w:rsidTr="007615AB">
        <w:trPr>
          <w:trHeight w:val="628"/>
        </w:trPr>
        <w:tc>
          <w:tcPr>
            <w:tcW w:w="8992" w:type="dxa"/>
            <w:tcBorders>
              <w:top w:val="single" w:sz="4" w:space="0" w:color="000000"/>
              <w:left w:val="single" w:sz="4" w:space="0" w:color="000000"/>
              <w:bottom w:val="single" w:sz="4" w:space="0" w:color="000000"/>
              <w:right w:val="single" w:sz="4" w:space="0" w:color="000000"/>
            </w:tcBorders>
          </w:tcPr>
          <w:p w:rsidR="007F6845" w:rsidRPr="009C7AF7" w:rsidRDefault="007F6845" w:rsidP="007615AB">
            <w:pPr>
              <w:rPr>
                <w:rFonts w:cs="Arial"/>
                <w:b/>
                <w:sz w:val="24"/>
                <w:szCs w:val="24"/>
              </w:rPr>
            </w:pPr>
          </w:p>
          <w:p w:rsidR="007F6845" w:rsidRPr="009C7AF7" w:rsidRDefault="007F6845" w:rsidP="007615AB">
            <w:pPr>
              <w:rPr>
                <w:rFonts w:cs="Arial"/>
                <w:b/>
                <w:sz w:val="24"/>
                <w:szCs w:val="24"/>
              </w:rPr>
            </w:pPr>
            <w:r w:rsidRPr="009C7AF7">
              <w:rPr>
                <w:rFonts w:cs="Arial"/>
                <w:b/>
                <w:sz w:val="24"/>
                <w:szCs w:val="24"/>
              </w:rPr>
              <w:t xml:space="preserve">Accountable Officer : Nick Wood, Chief Executive </w:t>
            </w:r>
          </w:p>
          <w:p w:rsidR="007F6845" w:rsidRPr="009C7AF7" w:rsidRDefault="007F6845" w:rsidP="007615AB">
            <w:pPr>
              <w:rPr>
                <w:rFonts w:cs="Arial"/>
                <w:b/>
                <w:sz w:val="24"/>
                <w:szCs w:val="24"/>
              </w:rPr>
            </w:pPr>
          </w:p>
          <w:p w:rsidR="007F6845" w:rsidRPr="009C7AF7" w:rsidRDefault="007F6845" w:rsidP="007615AB">
            <w:pPr>
              <w:rPr>
                <w:rFonts w:cs="Arial"/>
                <w:b/>
                <w:sz w:val="24"/>
                <w:szCs w:val="24"/>
              </w:rPr>
            </w:pPr>
            <w:r w:rsidRPr="009C7AF7">
              <w:rPr>
                <w:rFonts w:cs="Arial"/>
                <w:b/>
                <w:sz w:val="24"/>
                <w:szCs w:val="24"/>
              </w:rPr>
              <w:t xml:space="preserve">Organisation: Weston Area Health NHS Trust </w:t>
            </w:r>
          </w:p>
          <w:p w:rsidR="007F6845" w:rsidRPr="009C7AF7" w:rsidRDefault="007F6845" w:rsidP="007615AB">
            <w:pPr>
              <w:rPr>
                <w:rFonts w:cs="Arial"/>
                <w:b/>
                <w:sz w:val="24"/>
                <w:szCs w:val="24"/>
              </w:rPr>
            </w:pPr>
          </w:p>
          <w:p w:rsidR="007F6845" w:rsidRPr="009C7AF7" w:rsidRDefault="007F6845" w:rsidP="007615AB">
            <w:pPr>
              <w:rPr>
                <w:rFonts w:cs="Arial"/>
                <w:b/>
                <w:sz w:val="24"/>
                <w:szCs w:val="24"/>
              </w:rPr>
            </w:pPr>
            <w:r w:rsidRPr="009C7AF7">
              <w:rPr>
                <w:rFonts w:cs="Arial"/>
                <w:b/>
                <w:sz w:val="24"/>
                <w:szCs w:val="24"/>
              </w:rPr>
              <w:t>Signature:</w:t>
            </w:r>
          </w:p>
          <w:p w:rsidR="007F6845" w:rsidRPr="009C7AF7" w:rsidRDefault="007F6845" w:rsidP="007615AB">
            <w:pPr>
              <w:rPr>
                <w:rFonts w:cs="Arial"/>
                <w:b/>
                <w:sz w:val="24"/>
                <w:szCs w:val="24"/>
              </w:rPr>
            </w:pPr>
          </w:p>
          <w:p w:rsidR="007F6845" w:rsidRPr="009C7AF7" w:rsidRDefault="007F6845" w:rsidP="007615AB">
            <w:pPr>
              <w:rPr>
                <w:rFonts w:cs="Arial"/>
                <w:b/>
                <w:sz w:val="24"/>
                <w:szCs w:val="24"/>
              </w:rPr>
            </w:pPr>
            <w:r w:rsidRPr="009C7AF7">
              <w:rPr>
                <w:rFonts w:cs="Arial"/>
                <w:b/>
                <w:sz w:val="24"/>
                <w:szCs w:val="24"/>
              </w:rPr>
              <w:t>Date:</w:t>
            </w:r>
          </w:p>
          <w:p w:rsidR="007F6845" w:rsidRPr="009C7AF7" w:rsidRDefault="007F6845" w:rsidP="007615AB">
            <w:pPr>
              <w:rPr>
                <w:rFonts w:cs="Arial"/>
                <w:sz w:val="24"/>
                <w:szCs w:val="24"/>
              </w:rPr>
            </w:pPr>
          </w:p>
        </w:tc>
      </w:tr>
    </w:tbl>
    <w:p w:rsidR="007F6845" w:rsidRDefault="007F6845" w:rsidP="007F6845"/>
    <w:p w:rsidR="007F6845" w:rsidRDefault="007F6845" w:rsidP="007F6845"/>
    <w:p w:rsidR="00C52316" w:rsidRDefault="00C52316" w:rsidP="00BB7F49"/>
    <w:p w:rsidR="00254DC4" w:rsidRDefault="00254DC4" w:rsidP="00BB7F49"/>
    <w:p w:rsidR="00C52316" w:rsidRDefault="00C52316" w:rsidP="00BB7F49"/>
    <w:p w:rsidR="00C52316" w:rsidRDefault="00C52316" w:rsidP="00BB7F49"/>
    <w:p w:rsidR="00C52316" w:rsidRDefault="00C52316" w:rsidP="00BB7F49"/>
    <w:p w:rsidR="00F93ABB" w:rsidRPr="00636EB5" w:rsidRDefault="00F93ABB" w:rsidP="00636EB5">
      <w:pPr>
        <w:pStyle w:val="Title"/>
      </w:pPr>
      <w:r w:rsidRPr="00636EB5">
        <w:lastRenderedPageBreak/>
        <w:t>STATEMENT OF THE CHIEF EXECUTIVE'S RESPONSIBILITIES AS THE ACCOUNTABLE OFFICER OF THE TRUST</w:t>
      </w:r>
    </w:p>
    <w:p w:rsidR="00F93ABB" w:rsidRPr="000C0624" w:rsidRDefault="00F93ABB" w:rsidP="003C3D89">
      <w:pPr>
        <w:rPr>
          <w:rFonts w:cs="Arial"/>
        </w:rPr>
      </w:pPr>
    </w:p>
    <w:p w:rsidR="00F93ABB" w:rsidRPr="000C0624" w:rsidRDefault="00F93ABB" w:rsidP="003C3D89">
      <w:pPr>
        <w:rPr>
          <w:rFonts w:cs="Arial"/>
        </w:rPr>
      </w:pPr>
      <w:r w:rsidRPr="000C0624">
        <w:rPr>
          <w:rFonts w:cs="Arial"/>
        </w:rPr>
        <w:t xml:space="preserve">The Chief Executive of the NHS has designated that the Chief Executive should be </w:t>
      </w:r>
      <w:r w:rsidR="00C55E93">
        <w:rPr>
          <w:rFonts w:cs="Arial"/>
        </w:rPr>
        <w:t>the Accountable Officer to the T</w:t>
      </w:r>
      <w:r w:rsidRPr="000C0624">
        <w:rPr>
          <w:rFonts w:cs="Arial"/>
        </w:rPr>
        <w:t xml:space="preserve">rust.  The relevant responsibilities of Accountable Officers are set out in the Accountable Officers Memorandum issued by the Department of Health. These include ensuring that: </w:t>
      </w:r>
    </w:p>
    <w:p w:rsidR="00F93ABB" w:rsidRPr="000C0624" w:rsidRDefault="00F93ABB" w:rsidP="003C3D89">
      <w:pPr>
        <w:rPr>
          <w:rFonts w:cs="Arial"/>
        </w:rPr>
      </w:pPr>
    </w:p>
    <w:p w:rsidR="00F93ABB" w:rsidRPr="000C0624" w:rsidRDefault="00F93ABB" w:rsidP="00CA6887">
      <w:pPr>
        <w:numPr>
          <w:ilvl w:val="0"/>
          <w:numId w:val="9"/>
        </w:numPr>
        <w:ind w:hanging="720"/>
        <w:rPr>
          <w:rFonts w:cs="Arial"/>
        </w:rPr>
      </w:pPr>
      <w:r w:rsidRPr="000C0624">
        <w:rPr>
          <w:rFonts w:cs="Arial"/>
        </w:rPr>
        <w:t xml:space="preserve">there are effective management systems in place to safeguard public funds and assets and assist in the implementation of corporate governance; </w:t>
      </w:r>
    </w:p>
    <w:p w:rsidR="00F93ABB" w:rsidRPr="000C0624" w:rsidRDefault="00F93ABB" w:rsidP="00B92A17">
      <w:pPr>
        <w:ind w:hanging="720"/>
        <w:rPr>
          <w:rFonts w:cs="Arial"/>
        </w:rPr>
      </w:pPr>
    </w:p>
    <w:p w:rsidR="00F93ABB" w:rsidRPr="000C0624" w:rsidRDefault="00F93ABB" w:rsidP="00CA6887">
      <w:pPr>
        <w:numPr>
          <w:ilvl w:val="0"/>
          <w:numId w:val="9"/>
        </w:numPr>
        <w:ind w:hanging="720"/>
        <w:rPr>
          <w:rFonts w:cs="Arial"/>
        </w:rPr>
      </w:pPr>
      <w:r w:rsidRPr="000C0624">
        <w:rPr>
          <w:rFonts w:cs="Arial"/>
        </w:rPr>
        <w:t xml:space="preserve">value for money is achieved from the resources available to the trust; </w:t>
      </w:r>
    </w:p>
    <w:p w:rsidR="00F93ABB" w:rsidRPr="000C0624" w:rsidRDefault="00F93ABB" w:rsidP="00B92A17">
      <w:pPr>
        <w:ind w:hanging="720"/>
        <w:rPr>
          <w:rFonts w:cs="Arial"/>
        </w:rPr>
      </w:pPr>
    </w:p>
    <w:p w:rsidR="00F93ABB" w:rsidRPr="000C0624" w:rsidRDefault="00F93ABB" w:rsidP="00CA6887">
      <w:pPr>
        <w:numPr>
          <w:ilvl w:val="0"/>
          <w:numId w:val="9"/>
        </w:numPr>
        <w:ind w:hanging="720"/>
        <w:rPr>
          <w:rFonts w:cs="Arial"/>
        </w:rPr>
      </w:pPr>
      <w:r w:rsidRPr="000C0624">
        <w:rPr>
          <w:rFonts w:cs="Arial"/>
        </w:rPr>
        <w:t xml:space="preserve">the expenditure and income of the trust has been applied to the purposes intended by Parliament and conform to the authorities which govern them; </w:t>
      </w:r>
    </w:p>
    <w:p w:rsidR="00F93ABB" w:rsidRPr="000C0624" w:rsidRDefault="00F93ABB" w:rsidP="00B92A17">
      <w:pPr>
        <w:ind w:hanging="720"/>
        <w:rPr>
          <w:rFonts w:cs="Arial"/>
        </w:rPr>
      </w:pPr>
    </w:p>
    <w:p w:rsidR="00F93ABB" w:rsidRPr="000C0624" w:rsidRDefault="00F93ABB" w:rsidP="00CA6887">
      <w:pPr>
        <w:numPr>
          <w:ilvl w:val="0"/>
          <w:numId w:val="9"/>
        </w:numPr>
        <w:ind w:hanging="720"/>
        <w:rPr>
          <w:rFonts w:cs="Arial"/>
        </w:rPr>
      </w:pPr>
      <w:r w:rsidRPr="000C0624">
        <w:rPr>
          <w:rFonts w:cs="Arial"/>
        </w:rPr>
        <w:t xml:space="preserve">effective and sound financial management systems are in place; and </w:t>
      </w:r>
    </w:p>
    <w:p w:rsidR="00F93ABB" w:rsidRPr="000C0624" w:rsidRDefault="00F93ABB" w:rsidP="00B92A17">
      <w:pPr>
        <w:ind w:hanging="720"/>
        <w:rPr>
          <w:rFonts w:cs="Arial"/>
        </w:rPr>
      </w:pPr>
    </w:p>
    <w:p w:rsidR="00F93ABB" w:rsidRPr="000C0624" w:rsidRDefault="00F93ABB" w:rsidP="00CA6887">
      <w:pPr>
        <w:numPr>
          <w:ilvl w:val="0"/>
          <w:numId w:val="9"/>
        </w:numPr>
        <w:ind w:hanging="720"/>
        <w:rPr>
          <w:rFonts w:cs="Arial"/>
        </w:rPr>
      </w:pPr>
      <w:r w:rsidRPr="000C0624">
        <w:rPr>
          <w:rFonts w:cs="Arial"/>
        </w:rPr>
        <w:t>annual statutory accounts are prepared in a format directed by the Secretary of State with the approval of the Treasury to give a true and fair view of the state of affairs as at the end of the financial year and the income and expenditure, recognised gains and losses and cash flows for the year.</w:t>
      </w:r>
    </w:p>
    <w:p w:rsidR="00F93ABB" w:rsidRPr="000C0624" w:rsidRDefault="00F93ABB" w:rsidP="003C3D89">
      <w:pPr>
        <w:rPr>
          <w:rFonts w:cs="Arial"/>
        </w:rPr>
      </w:pPr>
    </w:p>
    <w:p w:rsidR="00F93ABB" w:rsidRPr="000C0624" w:rsidRDefault="00F93ABB" w:rsidP="003C3D89">
      <w:pPr>
        <w:rPr>
          <w:rFonts w:cs="Arial"/>
        </w:rPr>
      </w:pPr>
      <w:r w:rsidRPr="000C0624">
        <w:rPr>
          <w:rFonts w:cs="Arial"/>
        </w:rPr>
        <w:t>To the best of my knowledge and belief, I have properly discharged the responsibilities set out in my letter of appointment as an Accountable Officer.</w:t>
      </w:r>
    </w:p>
    <w:p w:rsidR="00F93ABB" w:rsidRPr="000C0624" w:rsidRDefault="00F93ABB" w:rsidP="003C3D89">
      <w:pPr>
        <w:rPr>
          <w:rFonts w:cs="Arial"/>
        </w:rPr>
      </w:pPr>
    </w:p>
    <w:p w:rsidR="00F93ABB" w:rsidRPr="000C0624" w:rsidRDefault="00F93ABB" w:rsidP="003C3D89">
      <w:pPr>
        <w:rPr>
          <w:rFonts w:cs="Arial"/>
          <w:b/>
        </w:rPr>
      </w:pPr>
      <w:r w:rsidRPr="000C0624">
        <w:rPr>
          <w:rFonts w:cs="Arial"/>
          <w:b/>
        </w:rPr>
        <w:t>nb: sign and date in any colour ink except black</w:t>
      </w:r>
    </w:p>
    <w:p w:rsidR="00F93ABB" w:rsidRPr="000C0624" w:rsidRDefault="00F93ABB" w:rsidP="003C3D89">
      <w:pPr>
        <w:rPr>
          <w:rFonts w:cs="Arial"/>
        </w:rPr>
      </w:pPr>
    </w:p>
    <w:p w:rsidR="00F93ABB" w:rsidRPr="000C0624" w:rsidRDefault="00F93ABB" w:rsidP="003C3D89">
      <w:pPr>
        <w:rPr>
          <w:rFonts w:cs="Arial"/>
        </w:rPr>
      </w:pPr>
    </w:p>
    <w:p w:rsidR="00F93ABB" w:rsidRPr="000C0624" w:rsidRDefault="00F93ABB" w:rsidP="003C3D89">
      <w:pPr>
        <w:rPr>
          <w:rFonts w:cs="Arial"/>
        </w:rPr>
      </w:pPr>
    </w:p>
    <w:p w:rsidR="00F93ABB" w:rsidRPr="000C0624" w:rsidRDefault="00F93ABB" w:rsidP="003C3D89">
      <w:pPr>
        <w:rPr>
          <w:rFonts w:cs="Arial"/>
        </w:rPr>
      </w:pPr>
      <w:r w:rsidRPr="000C0624">
        <w:rPr>
          <w:rFonts w:cs="Arial"/>
        </w:rPr>
        <w:t xml:space="preserve">Signed.........................................................................Chief Executive </w:t>
      </w:r>
    </w:p>
    <w:p w:rsidR="00F93ABB" w:rsidRPr="000C0624" w:rsidRDefault="00F93ABB" w:rsidP="003C3D89">
      <w:pPr>
        <w:rPr>
          <w:rFonts w:cs="Arial"/>
        </w:rPr>
      </w:pPr>
    </w:p>
    <w:p w:rsidR="00F93ABB" w:rsidRPr="000C0624" w:rsidRDefault="00F93ABB" w:rsidP="003C3D89">
      <w:pPr>
        <w:rPr>
          <w:rFonts w:cs="Arial"/>
        </w:rPr>
      </w:pPr>
    </w:p>
    <w:p w:rsidR="00F93ABB" w:rsidRPr="000C0624" w:rsidRDefault="00F93ABB" w:rsidP="003C3D89">
      <w:pPr>
        <w:rPr>
          <w:rFonts w:cs="Arial"/>
        </w:rPr>
      </w:pPr>
      <w:r w:rsidRPr="000C0624">
        <w:rPr>
          <w:rFonts w:cs="Arial"/>
        </w:rPr>
        <w:t>Date..........................</w:t>
      </w:r>
    </w:p>
    <w:p w:rsidR="00F93ABB" w:rsidRPr="000C0624" w:rsidRDefault="00F93ABB" w:rsidP="003C3D89">
      <w:pPr>
        <w:rPr>
          <w:rFonts w:cs="Arial"/>
        </w:rPr>
      </w:pPr>
    </w:p>
    <w:p w:rsidR="00F93ABB" w:rsidRPr="000C0624" w:rsidRDefault="00F93ABB" w:rsidP="003C3D89">
      <w:pPr>
        <w:rPr>
          <w:rFonts w:cs="Arial"/>
        </w:rPr>
      </w:pPr>
    </w:p>
    <w:p w:rsidR="00F93ABB" w:rsidRPr="000C0624" w:rsidRDefault="00F93ABB" w:rsidP="003C3D89">
      <w:pPr>
        <w:rPr>
          <w:rFonts w:cs="Arial"/>
        </w:rPr>
      </w:pPr>
    </w:p>
    <w:p w:rsidR="00F93ABB" w:rsidRDefault="00F93ABB" w:rsidP="00636EB5">
      <w:pPr>
        <w:pStyle w:val="Title"/>
      </w:pPr>
      <w:r w:rsidRPr="000C0624">
        <w:rPr>
          <w:rFonts w:cs="Arial"/>
        </w:rPr>
        <w:br w:type="page"/>
      </w:r>
      <w:r>
        <w:lastRenderedPageBreak/>
        <w:t>STATEMENT OF DIRECTORS' RESPONSIBILITIES IN RESPECT OF THE ACCOUNTS</w:t>
      </w:r>
    </w:p>
    <w:p w:rsidR="00F93ABB" w:rsidRPr="000C0624" w:rsidRDefault="00F93ABB" w:rsidP="003C3D89">
      <w:pPr>
        <w:rPr>
          <w:rFonts w:cs="Arial"/>
        </w:rPr>
      </w:pPr>
    </w:p>
    <w:p w:rsidR="00F93ABB" w:rsidRPr="009C7AF7" w:rsidRDefault="00F93ABB" w:rsidP="003C3D89">
      <w:pPr>
        <w:rPr>
          <w:rFonts w:cs="Arial"/>
        </w:rPr>
      </w:pPr>
      <w:r w:rsidRPr="009C7AF7">
        <w:rPr>
          <w:rFonts w:cs="Arial"/>
        </w:rPr>
        <w:t>The directors are required under the National Health Service Act 2006 to prepare accounts for each financial year.  The Secretary of State, with the approval of the Treasury, directs that these accounts give a true and fair view of the state of affairs of the trust and of the income and expenditure, recognised gains and losses and cash flows for the year.  In preparing those accounts, directors are required to:</w:t>
      </w:r>
    </w:p>
    <w:p w:rsidR="00F93ABB" w:rsidRPr="009C7AF7" w:rsidRDefault="00F93ABB" w:rsidP="003C3D89">
      <w:pPr>
        <w:rPr>
          <w:rFonts w:cs="Arial"/>
        </w:rPr>
      </w:pPr>
    </w:p>
    <w:p w:rsidR="00F93ABB" w:rsidRPr="009C7AF7" w:rsidRDefault="00F93ABB" w:rsidP="00CA6887">
      <w:pPr>
        <w:numPr>
          <w:ilvl w:val="0"/>
          <w:numId w:val="10"/>
        </w:numPr>
        <w:ind w:hanging="720"/>
        <w:rPr>
          <w:rFonts w:cs="Arial"/>
        </w:rPr>
      </w:pPr>
      <w:r w:rsidRPr="009C7AF7">
        <w:rPr>
          <w:rFonts w:cs="Arial"/>
        </w:rPr>
        <w:t>apply on a consistent basis accounting policies laid down by the Secretary of State with the approval of the Treasury;</w:t>
      </w:r>
    </w:p>
    <w:p w:rsidR="00F93ABB" w:rsidRPr="009C7AF7" w:rsidRDefault="00F93ABB" w:rsidP="00B92A17">
      <w:pPr>
        <w:ind w:hanging="720"/>
        <w:rPr>
          <w:rFonts w:cs="Arial"/>
        </w:rPr>
      </w:pPr>
    </w:p>
    <w:p w:rsidR="00F93ABB" w:rsidRPr="009C7AF7" w:rsidRDefault="00F93ABB" w:rsidP="00CA6887">
      <w:pPr>
        <w:numPr>
          <w:ilvl w:val="0"/>
          <w:numId w:val="10"/>
        </w:numPr>
        <w:ind w:hanging="720"/>
        <w:rPr>
          <w:rFonts w:cs="Arial"/>
        </w:rPr>
      </w:pPr>
      <w:r w:rsidRPr="009C7AF7">
        <w:rPr>
          <w:rFonts w:cs="Arial"/>
        </w:rPr>
        <w:t>make judgements and estimates which are reasonable and prudent;</w:t>
      </w:r>
    </w:p>
    <w:p w:rsidR="00F93ABB" w:rsidRPr="009C7AF7" w:rsidRDefault="00F93ABB" w:rsidP="00B92A17">
      <w:pPr>
        <w:ind w:hanging="720"/>
        <w:rPr>
          <w:rFonts w:cs="Arial"/>
        </w:rPr>
      </w:pPr>
    </w:p>
    <w:p w:rsidR="00F93ABB" w:rsidRPr="009C7AF7" w:rsidRDefault="00F93ABB" w:rsidP="00CA6887">
      <w:pPr>
        <w:numPr>
          <w:ilvl w:val="0"/>
          <w:numId w:val="10"/>
        </w:numPr>
        <w:ind w:hanging="720"/>
        <w:rPr>
          <w:rFonts w:cs="Arial"/>
        </w:rPr>
      </w:pPr>
      <w:r w:rsidRPr="009C7AF7">
        <w:rPr>
          <w:rFonts w:cs="Arial"/>
        </w:rPr>
        <w:t>state whether applicable accounting standards have been followed, subject to any material departures disclosed and explained in the accounts.</w:t>
      </w:r>
    </w:p>
    <w:p w:rsidR="00F93ABB" w:rsidRPr="009C7AF7" w:rsidRDefault="00F93ABB" w:rsidP="003C3D89">
      <w:pPr>
        <w:rPr>
          <w:rFonts w:cs="Arial"/>
        </w:rPr>
      </w:pPr>
    </w:p>
    <w:p w:rsidR="00F93ABB" w:rsidRPr="009C7AF7" w:rsidRDefault="00F93ABB" w:rsidP="003C3D89">
      <w:pPr>
        <w:rPr>
          <w:rFonts w:cs="Arial"/>
        </w:rPr>
      </w:pPr>
      <w:r w:rsidRPr="009C7AF7">
        <w:rPr>
          <w:rFonts w:cs="Arial"/>
        </w:rPr>
        <w:t>The directors are responsible for keeping proper accounting records which disclose with reasonable accuracy at any time the financial position of the trust and to enable them to ensure that the accounts comply with requirements outlined in the above mentioned direction of the Secretary of State.  They are also responsible for safeguarding the assets of the trust and hence for taking reasonable steps for the prevention and detection of fraud and other irregularities.</w:t>
      </w:r>
    </w:p>
    <w:p w:rsidR="00F93ABB" w:rsidRPr="009C7AF7" w:rsidRDefault="00F93ABB" w:rsidP="003C3D89">
      <w:pPr>
        <w:rPr>
          <w:rFonts w:cs="Arial"/>
        </w:rPr>
      </w:pPr>
    </w:p>
    <w:p w:rsidR="00F93ABB" w:rsidRPr="009C7AF7" w:rsidRDefault="00F93ABB" w:rsidP="003C3D89">
      <w:pPr>
        <w:rPr>
          <w:rFonts w:cs="Arial"/>
        </w:rPr>
      </w:pPr>
      <w:r w:rsidRPr="009C7AF7">
        <w:rPr>
          <w:rFonts w:cs="Arial"/>
        </w:rPr>
        <w:t>The directors confirm to the best of their knowledge and belief they have complied with the above requirements in preparing the accounts.</w:t>
      </w:r>
    </w:p>
    <w:p w:rsidR="00F93ABB" w:rsidRPr="009C7AF7" w:rsidRDefault="00F93ABB" w:rsidP="003C3D89">
      <w:pPr>
        <w:rPr>
          <w:rFonts w:cs="Arial"/>
        </w:rPr>
      </w:pPr>
    </w:p>
    <w:p w:rsidR="00F93ABB" w:rsidRPr="009C7AF7" w:rsidRDefault="00F93ABB" w:rsidP="003C3D89">
      <w:pPr>
        <w:rPr>
          <w:rFonts w:cs="Arial"/>
        </w:rPr>
      </w:pPr>
    </w:p>
    <w:p w:rsidR="00F93ABB" w:rsidRPr="009C7AF7" w:rsidRDefault="00F93ABB" w:rsidP="003C3D89">
      <w:pPr>
        <w:rPr>
          <w:rFonts w:cs="Arial"/>
        </w:rPr>
      </w:pPr>
      <w:r w:rsidRPr="009C7AF7">
        <w:rPr>
          <w:rFonts w:cs="Arial"/>
        </w:rPr>
        <w:t>By order of the Board</w:t>
      </w:r>
    </w:p>
    <w:p w:rsidR="00F93ABB" w:rsidRPr="009C7AF7" w:rsidRDefault="00F93ABB" w:rsidP="003C3D89">
      <w:pPr>
        <w:rPr>
          <w:rFonts w:cs="Arial"/>
        </w:rPr>
      </w:pPr>
    </w:p>
    <w:p w:rsidR="00F93ABB" w:rsidRPr="009C7AF7" w:rsidRDefault="00F93ABB" w:rsidP="003C3D89">
      <w:pPr>
        <w:rPr>
          <w:rFonts w:cs="Arial"/>
          <w:b/>
        </w:rPr>
      </w:pPr>
      <w:r w:rsidRPr="009C7AF7">
        <w:rPr>
          <w:rFonts w:cs="Arial"/>
          <w:b/>
        </w:rPr>
        <w:t>nb: sign and date in any colour ink except black</w:t>
      </w:r>
    </w:p>
    <w:p w:rsidR="00F93ABB" w:rsidRPr="009C7AF7" w:rsidRDefault="00F93ABB" w:rsidP="003C3D89">
      <w:pPr>
        <w:rPr>
          <w:rFonts w:cs="Arial"/>
          <w:b/>
        </w:rPr>
      </w:pPr>
    </w:p>
    <w:p w:rsidR="00F93ABB" w:rsidRPr="009C7AF7" w:rsidRDefault="00F93ABB" w:rsidP="003C3D89">
      <w:pPr>
        <w:rPr>
          <w:rFonts w:cs="Arial"/>
        </w:rPr>
      </w:pPr>
    </w:p>
    <w:p w:rsidR="00F93ABB" w:rsidRPr="009C7AF7" w:rsidRDefault="00F93ABB" w:rsidP="003C3D89">
      <w:pPr>
        <w:rPr>
          <w:rFonts w:cs="Arial"/>
        </w:rPr>
      </w:pPr>
      <w:r w:rsidRPr="009C7AF7">
        <w:rPr>
          <w:rFonts w:cs="Arial"/>
        </w:rPr>
        <w:t>..............................Date.............................................................Chief Executive</w:t>
      </w:r>
    </w:p>
    <w:p w:rsidR="00F93ABB" w:rsidRPr="009C7AF7" w:rsidRDefault="00F93ABB" w:rsidP="003C3D89">
      <w:pPr>
        <w:rPr>
          <w:rFonts w:cs="Arial"/>
        </w:rPr>
      </w:pPr>
    </w:p>
    <w:p w:rsidR="00F93ABB" w:rsidRPr="009C7AF7" w:rsidRDefault="00F93ABB" w:rsidP="003C3D89">
      <w:pPr>
        <w:rPr>
          <w:rFonts w:cs="Arial"/>
        </w:rPr>
      </w:pPr>
    </w:p>
    <w:p w:rsidR="00F93ABB" w:rsidRPr="009C7AF7" w:rsidRDefault="00F93ABB" w:rsidP="003C3D89">
      <w:pPr>
        <w:rPr>
          <w:rFonts w:cs="Arial"/>
        </w:rPr>
      </w:pPr>
      <w:r w:rsidRPr="009C7AF7">
        <w:rPr>
          <w:rFonts w:cs="Arial"/>
        </w:rPr>
        <w:t>..............................Date............................................................Finance Director</w:t>
      </w:r>
    </w:p>
    <w:p w:rsidR="00F93ABB" w:rsidRPr="009C7AF7" w:rsidRDefault="00F93ABB" w:rsidP="003C3D89">
      <w:pPr>
        <w:rPr>
          <w:rFonts w:cs="Arial"/>
        </w:rPr>
      </w:pPr>
    </w:p>
    <w:p w:rsidR="00F93ABB" w:rsidRPr="009C7AF7" w:rsidRDefault="00F93ABB" w:rsidP="003C3D89">
      <w:pPr>
        <w:rPr>
          <w:rFonts w:cs="Arial"/>
        </w:rPr>
      </w:pPr>
    </w:p>
    <w:p w:rsidR="00F93ABB" w:rsidRPr="009C7AF7" w:rsidRDefault="00F93ABB" w:rsidP="003C3D89">
      <w:pPr>
        <w:rPr>
          <w:rFonts w:cs="Arial"/>
          <w:b/>
        </w:rPr>
      </w:pPr>
      <w:r w:rsidRPr="009C7AF7">
        <w:rPr>
          <w:rFonts w:cs="Arial"/>
          <w:b/>
        </w:rPr>
        <w:br/>
      </w:r>
    </w:p>
    <w:p w:rsidR="00F93ABB" w:rsidRPr="000C0624" w:rsidRDefault="00F93ABB">
      <w:pPr>
        <w:ind w:firstLine="360"/>
        <w:jc w:val="left"/>
        <w:rPr>
          <w:rFonts w:cs="Arial"/>
          <w:b/>
          <w:bCs/>
          <w:color w:val="365F91"/>
          <w:sz w:val="24"/>
          <w:szCs w:val="24"/>
          <w:highlight w:val="yellow"/>
        </w:rPr>
      </w:pPr>
      <w:r w:rsidRPr="000C0624">
        <w:rPr>
          <w:rFonts w:cs="Arial"/>
          <w:highlight w:val="yellow"/>
        </w:rPr>
        <w:br w:type="page"/>
      </w:r>
    </w:p>
    <w:p w:rsidR="00F93ABB" w:rsidRPr="00C44CA0" w:rsidRDefault="00F93ABB" w:rsidP="00636EB5">
      <w:pPr>
        <w:pStyle w:val="Title"/>
        <w:rPr>
          <w:highlight w:val="yellow"/>
          <w:lang w:val="en-GB"/>
        </w:rPr>
      </w:pPr>
      <w:bookmarkStart w:id="74" w:name="_Toc325024799"/>
      <w:r w:rsidRPr="00C44CA0">
        <w:rPr>
          <w:highlight w:val="yellow"/>
          <w:lang w:val="en-GB"/>
        </w:rPr>
        <w:lastRenderedPageBreak/>
        <w:t xml:space="preserve">Independent auditor’s report to the </w:t>
      </w:r>
      <w:r>
        <w:rPr>
          <w:highlight w:val="yellow"/>
          <w:lang w:val="en-GB"/>
        </w:rPr>
        <w:t xml:space="preserve">Trust </w:t>
      </w:r>
      <w:r w:rsidRPr="00C44CA0">
        <w:rPr>
          <w:highlight w:val="yellow"/>
          <w:lang w:val="en-GB"/>
        </w:rPr>
        <w:t>Board of Weston Area Health NHS Trust</w:t>
      </w:r>
      <w:bookmarkEnd w:id="74"/>
    </w:p>
    <w:p w:rsidR="00F93ABB" w:rsidRPr="00C44CA0" w:rsidRDefault="00F93ABB">
      <w:pPr>
        <w:rPr>
          <w:highlight w:val="yellow"/>
          <w:lang w:val="en-GB"/>
        </w:rPr>
      </w:pPr>
    </w:p>
    <w:p w:rsidR="00F93ABB" w:rsidRDefault="00F93ABB" w:rsidP="003C3D89">
      <w:pPr>
        <w:jc w:val="center"/>
        <w:rPr>
          <w:rFonts w:cs="Arial"/>
          <w:b/>
          <w:highlight w:val="yellow"/>
          <w:lang w:val="en-GB"/>
        </w:rPr>
      </w:pPr>
      <w:r>
        <w:rPr>
          <w:rFonts w:cs="Arial"/>
          <w:b/>
          <w:highlight w:val="yellow"/>
          <w:lang w:val="en-GB"/>
        </w:rPr>
        <w:t xml:space="preserve">TO INSERT </w:t>
      </w:r>
    </w:p>
    <w:p w:rsidR="00F93ABB" w:rsidRDefault="00F93ABB">
      <w:pPr>
        <w:rPr>
          <w:rFonts w:cs="Arial"/>
          <w:b/>
          <w:highlight w:val="yellow"/>
          <w:lang w:val="en-GB"/>
        </w:rPr>
      </w:pPr>
    </w:p>
    <w:p w:rsidR="00F93ABB" w:rsidRDefault="00F93ABB">
      <w:pPr>
        <w:rPr>
          <w:rFonts w:cs="Arial"/>
          <w:b/>
          <w:highlight w:val="yellow"/>
          <w:lang w:val="en-GB"/>
        </w:rPr>
      </w:pPr>
    </w:p>
    <w:p w:rsidR="00F93ABB" w:rsidRPr="00C44CA0" w:rsidRDefault="00F93ABB">
      <w:pPr>
        <w:ind w:firstLine="360"/>
        <w:rPr>
          <w:rFonts w:cs="Arial"/>
          <w:sz w:val="28"/>
          <w:szCs w:val="28"/>
          <w:highlight w:val="yellow"/>
          <w:lang w:val="en-GB"/>
        </w:rPr>
      </w:pPr>
      <w:r w:rsidRPr="00C44CA0">
        <w:rPr>
          <w:rFonts w:cs="Arial"/>
          <w:sz w:val="28"/>
          <w:szCs w:val="28"/>
          <w:highlight w:val="yellow"/>
          <w:lang w:val="en-GB"/>
        </w:rPr>
        <w:br w:type="page"/>
      </w:r>
    </w:p>
    <w:p w:rsidR="00F93ABB" w:rsidRPr="00C44CA0" w:rsidRDefault="00F93ABB" w:rsidP="009D197D">
      <w:pPr>
        <w:pStyle w:val="Heading2"/>
        <w:rPr>
          <w:highlight w:val="yellow"/>
          <w:lang w:val="en-GB" w:eastAsia="en-GB"/>
        </w:rPr>
        <w:sectPr w:rsidR="00F93ABB" w:rsidRPr="00C44CA0" w:rsidSect="00C74C4E">
          <w:pgSz w:w="12242" w:h="15842" w:code="1"/>
          <w:pgMar w:top="709" w:right="851" w:bottom="1440" w:left="851" w:header="708" w:footer="708" w:gutter="0"/>
          <w:cols w:space="708"/>
          <w:rtlGutter/>
          <w:docGrid w:linePitch="360"/>
        </w:sectPr>
      </w:pPr>
    </w:p>
    <w:p w:rsidR="00F93ABB" w:rsidRPr="00C44CA0" w:rsidRDefault="00F93ABB" w:rsidP="00636EB5">
      <w:pPr>
        <w:pStyle w:val="Title"/>
        <w:rPr>
          <w:highlight w:val="yellow"/>
          <w:lang w:val="en-GB" w:eastAsia="en-GB"/>
        </w:rPr>
      </w:pPr>
      <w:bookmarkStart w:id="75" w:name="_Toc325024800"/>
      <w:r w:rsidRPr="00C44CA0">
        <w:rPr>
          <w:highlight w:val="yellow"/>
          <w:lang w:val="en-GB" w:eastAsia="en-GB"/>
        </w:rPr>
        <w:lastRenderedPageBreak/>
        <w:t>Annual Accounts 201</w:t>
      </w:r>
      <w:r w:rsidR="00C55E93">
        <w:rPr>
          <w:highlight w:val="yellow"/>
          <w:lang w:val="en-GB" w:eastAsia="en-GB"/>
        </w:rPr>
        <w:t>4</w:t>
      </w:r>
      <w:r>
        <w:rPr>
          <w:highlight w:val="yellow"/>
          <w:lang w:val="en-GB" w:eastAsia="en-GB"/>
        </w:rPr>
        <w:t>/1</w:t>
      </w:r>
      <w:bookmarkEnd w:id="75"/>
      <w:r w:rsidR="00C55E93">
        <w:rPr>
          <w:highlight w:val="yellow"/>
          <w:lang w:val="en-GB" w:eastAsia="en-GB"/>
        </w:rPr>
        <w:t>5</w:t>
      </w:r>
    </w:p>
    <w:p w:rsidR="00F93ABB" w:rsidRPr="003C3D89" w:rsidRDefault="00DD3C49" w:rsidP="009D197D">
      <w:pPr>
        <w:pStyle w:val="Heading2"/>
        <w:rPr>
          <w:highlight w:val="yellow"/>
          <w:lang w:val="en-GB" w:eastAsia="en-GB"/>
        </w:rPr>
      </w:pPr>
      <w:bookmarkStart w:id="76" w:name="_Toc325024801"/>
      <w:bookmarkStart w:id="77" w:name="_Toc326062009"/>
      <w:bookmarkStart w:id="78" w:name="_Toc326157034"/>
      <w:bookmarkStart w:id="79" w:name="_Toc387747686"/>
      <w:r>
        <w:rPr>
          <w:highlight w:val="yellow"/>
          <w:lang w:val="en-GB" w:eastAsia="en-GB"/>
        </w:rPr>
        <w:t>5</w:t>
      </w:r>
      <w:r w:rsidR="00F93ABB">
        <w:rPr>
          <w:highlight w:val="yellow"/>
          <w:lang w:val="en-GB" w:eastAsia="en-GB"/>
        </w:rPr>
        <w:t xml:space="preserve"> </w:t>
      </w:r>
      <w:r w:rsidR="00F93ABB" w:rsidRPr="003C3D89">
        <w:rPr>
          <w:highlight w:val="yellow"/>
          <w:lang w:val="en-GB" w:eastAsia="en-GB"/>
        </w:rPr>
        <w:t>TO INSERT</w:t>
      </w:r>
      <w:bookmarkEnd w:id="76"/>
      <w:bookmarkEnd w:id="77"/>
      <w:bookmarkEnd w:id="78"/>
      <w:r w:rsidR="00F93ABB">
        <w:rPr>
          <w:highlight w:val="yellow"/>
          <w:lang w:val="en-GB" w:eastAsia="en-GB"/>
        </w:rPr>
        <w:t xml:space="preserve"> – annual accounts</w:t>
      </w:r>
      <w:bookmarkEnd w:id="79"/>
      <w:r w:rsidR="00F93ABB" w:rsidRPr="003C3D89">
        <w:rPr>
          <w:highlight w:val="yellow"/>
          <w:lang w:val="en-GB" w:eastAsia="en-GB"/>
        </w:rPr>
        <w:t xml:space="preserve"> </w:t>
      </w:r>
    </w:p>
    <w:p w:rsidR="00F93ABB" w:rsidRDefault="00F93ABB" w:rsidP="009D197D">
      <w:pPr>
        <w:pStyle w:val="Heading2"/>
        <w:rPr>
          <w:highlight w:val="yellow"/>
          <w:lang w:val="en-GB" w:eastAsia="en-GB"/>
        </w:rPr>
      </w:pPr>
    </w:p>
    <w:p w:rsidR="00F93ABB" w:rsidRDefault="00F93ABB">
      <w:pPr>
        <w:ind w:firstLine="360"/>
        <w:jc w:val="left"/>
        <w:rPr>
          <w:rFonts w:cs="Arial"/>
          <w:sz w:val="20"/>
          <w:szCs w:val="20"/>
          <w:highlight w:val="yellow"/>
          <w:lang w:val="en-GB" w:eastAsia="en-GB"/>
        </w:rPr>
      </w:pPr>
      <w:r>
        <w:rPr>
          <w:rFonts w:cs="Arial"/>
          <w:sz w:val="20"/>
          <w:szCs w:val="20"/>
          <w:highlight w:val="yellow"/>
          <w:lang w:val="en-GB" w:eastAsia="en-GB"/>
        </w:rPr>
        <w:br w:type="page"/>
      </w:r>
    </w:p>
    <w:p w:rsidR="00F93ABB" w:rsidRPr="00C44CA0" w:rsidRDefault="00F93ABB" w:rsidP="0014517C">
      <w:pPr>
        <w:rPr>
          <w:rFonts w:cs="Arial"/>
          <w:sz w:val="20"/>
          <w:szCs w:val="20"/>
          <w:highlight w:val="yellow"/>
          <w:lang w:val="en-GB" w:eastAsia="en-GB"/>
        </w:rPr>
      </w:pPr>
    </w:p>
    <w:p w:rsidR="00F93ABB" w:rsidRDefault="00F93ABB" w:rsidP="00636EB5">
      <w:pPr>
        <w:pStyle w:val="Title"/>
        <w:rPr>
          <w:highlight w:val="yellow"/>
          <w:lang w:val="en-GB" w:eastAsia="en-GB"/>
        </w:rPr>
      </w:pPr>
      <w:bookmarkStart w:id="80" w:name="_Toc325024802"/>
      <w:r w:rsidRPr="00C44CA0">
        <w:rPr>
          <w:highlight w:val="yellow"/>
          <w:lang w:val="en-GB" w:eastAsia="en-GB"/>
        </w:rPr>
        <w:t>Letter of Representation June 201</w:t>
      </w:r>
      <w:bookmarkEnd w:id="80"/>
      <w:r w:rsidR="00C55E93">
        <w:rPr>
          <w:highlight w:val="yellow"/>
          <w:lang w:val="en-GB" w:eastAsia="en-GB"/>
        </w:rPr>
        <w:t>5</w:t>
      </w:r>
    </w:p>
    <w:p w:rsidR="00F93ABB" w:rsidRDefault="00F93ABB" w:rsidP="003C3D89">
      <w:pPr>
        <w:rPr>
          <w:highlight w:val="yellow"/>
          <w:lang w:val="en-GB" w:eastAsia="en-GB"/>
        </w:rPr>
      </w:pPr>
    </w:p>
    <w:p w:rsidR="00F93ABB" w:rsidRDefault="00F93ABB" w:rsidP="003C3D89">
      <w:pPr>
        <w:rPr>
          <w:highlight w:val="yellow"/>
          <w:lang w:val="en-GB" w:eastAsia="en-GB"/>
        </w:rPr>
      </w:pPr>
    </w:p>
    <w:p w:rsidR="00F93ABB" w:rsidRPr="003C3D89" w:rsidRDefault="00F93ABB" w:rsidP="003C3D89">
      <w:pPr>
        <w:jc w:val="center"/>
        <w:rPr>
          <w:b/>
          <w:highlight w:val="yellow"/>
          <w:lang w:val="en-GB" w:eastAsia="en-GB"/>
        </w:rPr>
      </w:pPr>
      <w:r w:rsidRPr="003C3D89">
        <w:rPr>
          <w:b/>
          <w:highlight w:val="yellow"/>
          <w:lang w:val="en-GB" w:eastAsia="en-GB"/>
        </w:rPr>
        <w:t xml:space="preserve">TO INSERT </w:t>
      </w:r>
    </w:p>
    <w:p w:rsidR="00F93ABB" w:rsidRPr="00C44CA0" w:rsidRDefault="00F93ABB">
      <w:pPr>
        <w:rPr>
          <w:highlight w:val="yellow"/>
          <w:lang w:val="en-GB" w:eastAsia="en-GB"/>
        </w:rPr>
      </w:pPr>
    </w:p>
    <w:p w:rsidR="00F93ABB" w:rsidRPr="00C44CA0" w:rsidRDefault="00F93ABB">
      <w:pPr>
        <w:rPr>
          <w:highlight w:val="yellow"/>
          <w:lang w:val="en-GB" w:eastAsia="en-GB"/>
        </w:rPr>
      </w:pPr>
    </w:p>
    <w:p w:rsidR="00F93ABB" w:rsidRPr="00C44CA0" w:rsidRDefault="00F93ABB">
      <w:pPr>
        <w:rPr>
          <w:highlight w:val="yellow"/>
          <w:lang w:val="en-GB" w:eastAsia="en-GB"/>
        </w:rPr>
      </w:pPr>
    </w:p>
    <w:tbl>
      <w:tblPr>
        <w:tblW w:w="0" w:type="auto"/>
        <w:tblLayout w:type="fixed"/>
        <w:tblLook w:val="0000"/>
      </w:tblPr>
      <w:tblGrid>
        <w:gridCol w:w="5492"/>
      </w:tblGrid>
      <w:tr w:rsidR="00F93ABB" w:rsidRPr="008270E0" w:rsidTr="00C77D61">
        <w:trPr>
          <w:trHeight w:val="2552"/>
        </w:trPr>
        <w:tc>
          <w:tcPr>
            <w:tcW w:w="5492" w:type="dxa"/>
          </w:tcPr>
          <w:p w:rsidR="00F93ABB" w:rsidRPr="008270E0" w:rsidRDefault="00CE528B" w:rsidP="00C77D61">
            <w:pPr>
              <w:framePr w:hSpace="180" w:wrap="around" w:vAnchor="text" w:hAnchor="margin" w:xAlign="right" w:y="1"/>
              <w:jc w:val="right"/>
              <w:rPr>
                <w:sz w:val="18"/>
                <w:highlight w:val="yellow"/>
              </w:rPr>
            </w:pPr>
            <w:r>
              <w:rPr>
                <w:noProof/>
                <w:sz w:val="18"/>
                <w:lang w:val="en-GB" w:eastAsia="en-GB"/>
              </w:rPr>
              <w:drawing>
                <wp:inline distT="0" distB="0" distL="0" distR="0">
                  <wp:extent cx="3343275" cy="523875"/>
                  <wp:effectExtent l="19050" t="0" r="9525" b="0"/>
                  <wp:docPr id="21" name="Picture 8" descr="Waht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htblk"/>
                          <pic:cNvPicPr>
                            <a:picLocks noChangeAspect="1" noChangeArrowheads="1"/>
                          </pic:cNvPicPr>
                        </pic:nvPicPr>
                        <pic:blipFill>
                          <a:blip r:embed="rId47"/>
                          <a:srcRect/>
                          <a:stretch>
                            <a:fillRect/>
                          </a:stretch>
                        </pic:blipFill>
                        <pic:spPr bwMode="auto">
                          <a:xfrm>
                            <a:off x="0" y="0"/>
                            <a:ext cx="3343275" cy="523875"/>
                          </a:xfrm>
                          <a:prstGeom prst="rect">
                            <a:avLst/>
                          </a:prstGeom>
                          <a:noFill/>
                          <a:ln w="9525">
                            <a:noFill/>
                            <a:miter lim="800000"/>
                            <a:headEnd/>
                            <a:tailEnd/>
                          </a:ln>
                        </pic:spPr>
                      </pic:pic>
                    </a:graphicData>
                  </a:graphic>
                </wp:inline>
              </w:drawing>
            </w:r>
          </w:p>
          <w:p w:rsidR="00F93ABB" w:rsidRPr="008270E0" w:rsidRDefault="00F93ABB" w:rsidP="00C77D61">
            <w:pPr>
              <w:framePr w:hSpace="180" w:wrap="around" w:vAnchor="text" w:hAnchor="margin" w:xAlign="right" w:y="1"/>
              <w:jc w:val="right"/>
              <w:rPr>
                <w:rFonts w:ascii="Frutiger" w:hAnsi="Frutiger"/>
                <w:sz w:val="18"/>
                <w:highlight w:val="yellow"/>
              </w:rPr>
            </w:pPr>
          </w:p>
          <w:p w:rsidR="00F93ABB" w:rsidRPr="008270E0" w:rsidRDefault="00F93ABB" w:rsidP="00C77D61">
            <w:pPr>
              <w:framePr w:hSpace="180" w:wrap="around" w:vAnchor="text" w:hAnchor="margin" w:xAlign="right" w:y="1"/>
              <w:jc w:val="right"/>
              <w:rPr>
                <w:rFonts w:ascii="Frutiger" w:hAnsi="Frutiger"/>
                <w:sz w:val="18"/>
                <w:highlight w:val="yellow"/>
              </w:rPr>
            </w:pPr>
          </w:p>
          <w:p w:rsidR="00F93ABB" w:rsidRPr="008270E0" w:rsidRDefault="00F93ABB" w:rsidP="00C77D61">
            <w:pPr>
              <w:framePr w:hSpace="180" w:wrap="around" w:vAnchor="text" w:hAnchor="margin" w:xAlign="right" w:y="1"/>
              <w:jc w:val="right"/>
              <w:rPr>
                <w:rFonts w:ascii="Frutiger" w:hAnsi="Frutiger"/>
                <w:b/>
                <w:sz w:val="18"/>
                <w:highlight w:val="yellow"/>
              </w:rPr>
            </w:pPr>
            <w:r w:rsidRPr="008270E0">
              <w:rPr>
                <w:rFonts w:ascii="Frutiger" w:hAnsi="Frutiger"/>
                <w:b/>
                <w:sz w:val="18"/>
                <w:highlight w:val="yellow"/>
              </w:rPr>
              <w:t>FINANCE DEPARTMENT</w:t>
            </w:r>
          </w:p>
          <w:p w:rsidR="00F93ABB" w:rsidRPr="008270E0" w:rsidRDefault="00F93ABB" w:rsidP="00C77D61">
            <w:pPr>
              <w:framePr w:hSpace="180" w:wrap="around" w:vAnchor="text" w:hAnchor="margin" w:xAlign="right" w:y="1"/>
              <w:jc w:val="right"/>
              <w:rPr>
                <w:rFonts w:ascii="Frutiger" w:hAnsi="Frutiger"/>
                <w:sz w:val="18"/>
                <w:highlight w:val="yellow"/>
              </w:rPr>
            </w:pPr>
            <w:r w:rsidRPr="008270E0">
              <w:rPr>
                <w:rFonts w:ascii="Frutiger" w:hAnsi="Frutiger"/>
                <w:sz w:val="18"/>
                <w:highlight w:val="yellow"/>
              </w:rPr>
              <w:t xml:space="preserve">Weston </w:t>
            </w:r>
            <w:smartTag w:uri="urn:schemas-microsoft-com:office:smarttags" w:element="PlaceName">
              <w:r w:rsidRPr="008270E0">
                <w:rPr>
                  <w:rFonts w:ascii="Frutiger" w:hAnsi="Frutiger"/>
                  <w:sz w:val="18"/>
                  <w:highlight w:val="yellow"/>
                </w:rPr>
                <w:t>General</w:t>
              </w:r>
            </w:smartTag>
            <w:r w:rsidRPr="008270E0">
              <w:rPr>
                <w:rFonts w:ascii="Frutiger" w:hAnsi="Frutiger"/>
                <w:sz w:val="18"/>
                <w:highlight w:val="yellow"/>
              </w:rPr>
              <w:t xml:space="preserve"> </w:t>
            </w:r>
            <w:smartTag w:uri="urn:schemas-microsoft-com:office:smarttags" w:element="PlaceType">
              <w:r w:rsidRPr="008270E0">
                <w:rPr>
                  <w:rFonts w:ascii="Frutiger" w:hAnsi="Frutiger"/>
                  <w:sz w:val="18"/>
                  <w:highlight w:val="yellow"/>
                </w:rPr>
                <w:t>Hospital</w:t>
              </w:r>
            </w:smartTag>
          </w:p>
          <w:p w:rsidR="00F93ABB" w:rsidRPr="008270E0" w:rsidRDefault="00F93ABB" w:rsidP="00C77D61">
            <w:pPr>
              <w:framePr w:hSpace="180" w:wrap="around" w:vAnchor="text" w:hAnchor="margin" w:xAlign="right" w:y="1"/>
              <w:jc w:val="right"/>
              <w:rPr>
                <w:rFonts w:ascii="Frutiger" w:hAnsi="Frutiger"/>
                <w:sz w:val="18"/>
                <w:highlight w:val="yellow"/>
              </w:rPr>
            </w:pPr>
            <w:r w:rsidRPr="008270E0">
              <w:rPr>
                <w:rFonts w:ascii="Frutiger" w:hAnsi="Frutiger"/>
                <w:sz w:val="18"/>
                <w:highlight w:val="yellow"/>
              </w:rPr>
              <w:t>Grange Road, Uphill</w:t>
            </w:r>
          </w:p>
          <w:p w:rsidR="00F93ABB" w:rsidRPr="008270E0" w:rsidRDefault="00F93ABB" w:rsidP="00C77D61">
            <w:pPr>
              <w:framePr w:hSpace="180" w:wrap="around" w:vAnchor="text" w:hAnchor="margin" w:xAlign="right" w:y="1"/>
              <w:jc w:val="right"/>
              <w:rPr>
                <w:rFonts w:ascii="Frutiger" w:hAnsi="Frutiger"/>
                <w:sz w:val="18"/>
                <w:highlight w:val="yellow"/>
              </w:rPr>
            </w:pPr>
            <w:r w:rsidRPr="008270E0">
              <w:rPr>
                <w:rFonts w:ascii="Frutiger" w:hAnsi="Frutiger"/>
                <w:sz w:val="18"/>
                <w:highlight w:val="yellow"/>
              </w:rPr>
              <w:t>Weston-super-Mare</w:t>
            </w:r>
          </w:p>
          <w:p w:rsidR="00F93ABB" w:rsidRPr="008270E0" w:rsidRDefault="00F93ABB" w:rsidP="00C77D61">
            <w:pPr>
              <w:framePr w:hSpace="180" w:wrap="around" w:vAnchor="text" w:hAnchor="margin" w:xAlign="right" w:y="1"/>
              <w:jc w:val="right"/>
              <w:rPr>
                <w:rFonts w:ascii="Frutiger" w:hAnsi="Frutiger"/>
                <w:sz w:val="18"/>
                <w:highlight w:val="yellow"/>
              </w:rPr>
            </w:pPr>
            <w:r w:rsidRPr="008270E0">
              <w:rPr>
                <w:rFonts w:ascii="Frutiger" w:hAnsi="Frutiger"/>
                <w:sz w:val="18"/>
                <w:highlight w:val="yellow"/>
              </w:rPr>
              <w:t>Somerset</w:t>
            </w:r>
          </w:p>
          <w:p w:rsidR="00F93ABB" w:rsidRPr="008270E0" w:rsidRDefault="00F93ABB" w:rsidP="00C77D61">
            <w:pPr>
              <w:framePr w:hSpace="180" w:wrap="around" w:vAnchor="text" w:hAnchor="margin" w:xAlign="right" w:y="1"/>
              <w:jc w:val="right"/>
              <w:rPr>
                <w:rFonts w:ascii="Frutiger" w:hAnsi="Frutiger"/>
                <w:sz w:val="18"/>
                <w:highlight w:val="yellow"/>
              </w:rPr>
            </w:pPr>
            <w:r w:rsidRPr="008270E0">
              <w:rPr>
                <w:rFonts w:ascii="Frutiger" w:hAnsi="Frutiger"/>
                <w:sz w:val="18"/>
                <w:highlight w:val="yellow"/>
              </w:rPr>
              <w:t>BS23 4TQ</w:t>
            </w:r>
          </w:p>
          <w:p w:rsidR="00F93ABB" w:rsidRPr="008270E0" w:rsidRDefault="00F93ABB" w:rsidP="00C77D61">
            <w:pPr>
              <w:framePr w:hSpace="180" w:wrap="around" w:vAnchor="text" w:hAnchor="margin" w:xAlign="right" w:y="1"/>
              <w:jc w:val="right"/>
              <w:rPr>
                <w:highlight w:val="yellow"/>
              </w:rPr>
            </w:pPr>
          </w:p>
          <w:p w:rsidR="00F93ABB" w:rsidRPr="008270E0" w:rsidRDefault="00F93ABB" w:rsidP="00C77D61">
            <w:pPr>
              <w:framePr w:hSpace="180" w:wrap="around" w:vAnchor="text" w:hAnchor="margin" w:xAlign="right" w:y="1"/>
              <w:tabs>
                <w:tab w:val="left" w:pos="2880"/>
                <w:tab w:val="left" w:pos="3015"/>
              </w:tabs>
              <w:rPr>
                <w:rFonts w:ascii="Frutiger" w:hAnsi="Frutiger"/>
                <w:sz w:val="18"/>
                <w:highlight w:val="yellow"/>
              </w:rPr>
            </w:pPr>
            <w:r w:rsidRPr="008270E0">
              <w:rPr>
                <w:rFonts w:ascii="Frutiger" w:hAnsi="Frutiger"/>
                <w:sz w:val="18"/>
                <w:highlight w:val="yellow"/>
              </w:rPr>
              <w:t xml:space="preserve">                                                            Tel:  </w:t>
            </w:r>
            <w:r w:rsidR="000558FF" w:rsidRPr="008270E0">
              <w:rPr>
                <w:rFonts w:ascii="Frutiger" w:hAnsi="Frutiger"/>
                <w:sz w:val="18"/>
                <w:highlight w:val="yellow"/>
              </w:rPr>
              <w:fldChar w:fldCharType="begin">
                <w:ffData>
                  <w:name w:val=""/>
                  <w:enabled w:val="0"/>
                  <w:calcOnExit w:val="0"/>
                  <w:textInput>
                    <w:default w:val="01934 636363"/>
                    <w:maxLength w:val="12"/>
                  </w:textInput>
                </w:ffData>
              </w:fldChar>
            </w:r>
            <w:r w:rsidRPr="008270E0">
              <w:rPr>
                <w:rFonts w:ascii="Frutiger" w:hAnsi="Frutiger"/>
                <w:sz w:val="18"/>
                <w:highlight w:val="yellow"/>
              </w:rPr>
              <w:instrText xml:space="preserve"> FORMTEXT </w:instrText>
            </w:r>
            <w:r w:rsidR="000558FF" w:rsidRPr="008270E0">
              <w:rPr>
                <w:rFonts w:ascii="Frutiger" w:hAnsi="Frutiger"/>
                <w:sz w:val="18"/>
                <w:highlight w:val="yellow"/>
              </w:rPr>
            </w:r>
            <w:r w:rsidR="000558FF" w:rsidRPr="008270E0">
              <w:rPr>
                <w:rFonts w:ascii="Frutiger" w:hAnsi="Frutiger"/>
                <w:sz w:val="18"/>
                <w:highlight w:val="yellow"/>
              </w:rPr>
              <w:fldChar w:fldCharType="separate"/>
            </w:r>
            <w:r w:rsidRPr="008270E0">
              <w:rPr>
                <w:rFonts w:ascii="Frutiger" w:hAnsi="Frutiger"/>
                <w:noProof/>
                <w:sz w:val="18"/>
                <w:highlight w:val="yellow"/>
              </w:rPr>
              <w:t>01934 636363</w:t>
            </w:r>
            <w:r w:rsidR="000558FF" w:rsidRPr="008270E0">
              <w:rPr>
                <w:rFonts w:ascii="Frutiger" w:hAnsi="Frutiger"/>
                <w:sz w:val="18"/>
                <w:highlight w:val="yellow"/>
              </w:rPr>
              <w:fldChar w:fldCharType="end"/>
            </w:r>
          </w:p>
          <w:p w:rsidR="00F93ABB" w:rsidRPr="008270E0" w:rsidRDefault="00F93ABB" w:rsidP="00C77D61">
            <w:pPr>
              <w:framePr w:hSpace="180" w:wrap="around" w:vAnchor="text" w:hAnchor="margin" w:xAlign="right" w:y="1"/>
              <w:rPr>
                <w:rFonts w:ascii="Frutiger" w:hAnsi="Frutiger"/>
                <w:sz w:val="18"/>
                <w:highlight w:val="yellow"/>
              </w:rPr>
            </w:pPr>
            <w:r w:rsidRPr="008270E0">
              <w:rPr>
                <w:rFonts w:ascii="Frutiger" w:hAnsi="Frutiger"/>
                <w:sz w:val="18"/>
                <w:highlight w:val="yellow"/>
              </w:rPr>
              <w:t xml:space="preserve">                                              Direct Line:  01934 647002</w:t>
            </w:r>
          </w:p>
          <w:p w:rsidR="00F93ABB" w:rsidRPr="008270E0" w:rsidRDefault="00F93ABB" w:rsidP="00C77D61">
            <w:pPr>
              <w:framePr w:hSpace="180" w:wrap="around" w:vAnchor="text" w:hAnchor="margin" w:xAlign="right" w:y="1"/>
              <w:rPr>
                <w:rFonts w:ascii="Frutiger" w:hAnsi="Frutiger"/>
                <w:sz w:val="18"/>
                <w:highlight w:val="yellow"/>
              </w:rPr>
            </w:pPr>
            <w:r w:rsidRPr="008270E0">
              <w:rPr>
                <w:rFonts w:ascii="Frutiger" w:hAnsi="Frutiger"/>
                <w:sz w:val="18"/>
                <w:highlight w:val="yellow"/>
              </w:rPr>
              <w:t xml:space="preserve">                                                 </w:t>
            </w:r>
          </w:p>
          <w:p w:rsidR="00F93ABB" w:rsidRPr="008270E0" w:rsidRDefault="00F93ABB" w:rsidP="00C77D61">
            <w:pPr>
              <w:framePr w:hSpace="180" w:wrap="around" w:vAnchor="text" w:hAnchor="margin" w:xAlign="right" w:y="1"/>
              <w:jc w:val="right"/>
              <w:rPr>
                <w:rFonts w:ascii="Frutiger" w:hAnsi="Frutiger"/>
                <w:sz w:val="18"/>
                <w:highlight w:val="yellow"/>
              </w:rPr>
            </w:pPr>
            <w:r w:rsidRPr="008270E0">
              <w:rPr>
                <w:rFonts w:ascii="Frutiger" w:hAnsi="Frutiger"/>
                <w:sz w:val="18"/>
                <w:highlight w:val="yellow"/>
              </w:rPr>
              <w:t xml:space="preserve">                           Website:  </w:t>
            </w:r>
            <w:hyperlink r:id="rId48" w:tgtFrame="_blank" w:history="1">
              <w:r w:rsidRPr="008270E0">
                <w:rPr>
                  <w:rStyle w:val="Hyperlink"/>
                  <w:rFonts w:ascii="Frutiger" w:hAnsi="Frutiger"/>
                  <w:sz w:val="18"/>
                  <w:highlight w:val="yellow"/>
                </w:rPr>
                <w:t>http://www.waht.nhs.uk/</w:t>
              </w:r>
            </w:hyperlink>
            <w:r w:rsidRPr="008270E0">
              <w:rPr>
                <w:rFonts w:ascii="Frutiger" w:hAnsi="Frutiger"/>
                <w:sz w:val="18"/>
                <w:highlight w:val="yellow"/>
              </w:rPr>
              <w:t xml:space="preserve"> </w:t>
            </w:r>
          </w:p>
        </w:tc>
      </w:tr>
    </w:tbl>
    <w:p w:rsidR="00F93ABB" w:rsidRPr="00C44CA0" w:rsidRDefault="00F93ABB">
      <w:pPr>
        <w:ind w:firstLine="360"/>
        <w:rPr>
          <w:sz w:val="28"/>
          <w:szCs w:val="28"/>
          <w:highlight w:val="yellow"/>
          <w:lang w:val="en-GB"/>
        </w:rPr>
        <w:sectPr w:rsidR="00F93ABB" w:rsidRPr="00C44CA0" w:rsidSect="002D60D8">
          <w:footerReference w:type="first" r:id="rId49"/>
          <w:pgSz w:w="12242" w:h="15842" w:code="1"/>
          <w:pgMar w:top="709" w:right="851" w:bottom="720" w:left="851" w:header="708" w:footer="708" w:gutter="0"/>
          <w:cols w:space="708"/>
          <w:docGrid w:linePitch="360"/>
        </w:sectPr>
      </w:pPr>
    </w:p>
    <w:p w:rsidR="00F93ABB" w:rsidRPr="007073E1" w:rsidRDefault="00F93ABB" w:rsidP="00636EB5">
      <w:pPr>
        <w:pStyle w:val="Title"/>
        <w:rPr>
          <w:lang w:val="en-GB"/>
        </w:rPr>
      </w:pPr>
      <w:bookmarkStart w:id="81" w:name="_Toc325024803"/>
      <w:bookmarkStart w:id="82" w:name="_Toc293584019"/>
      <w:r w:rsidRPr="007073E1">
        <w:rPr>
          <w:lang w:val="en-GB"/>
        </w:rPr>
        <w:lastRenderedPageBreak/>
        <w:t>Glossary</w:t>
      </w:r>
      <w:bookmarkEnd w:id="81"/>
    </w:p>
    <w:p w:rsidR="00F93ABB" w:rsidRPr="007073E1" w:rsidRDefault="00F93ABB" w:rsidP="009D197D">
      <w:pPr>
        <w:pStyle w:val="Heading1"/>
        <w:rPr>
          <w:lang w:val="en-GB"/>
        </w:rPr>
      </w:pPr>
      <w:bookmarkStart w:id="83" w:name="_Toc325024804"/>
      <w:bookmarkStart w:id="84" w:name="_Toc326062010"/>
      <w:bookmarkStart w:id="85" w:name="_Toc387747687"/>
      <w:r w:rsidRPr="007073E1">
        <w:rPr>
          <w:lang w:val="en-GB"/>
        </w:rPr>
        <w:t>Glossary of Financial Terms</w:t>
      </w:r>
      <w:bookmarkEnd w:id="82"/>
      <w:bookmarkEnd w:id="83"/>
      <w:bookmarkEnd w:id="84"/>
      <w:bookmarkEnd w:id="85"/>
    </w:p>
    <w:p w:rsidR="00F93ABB" w:rsidRPr="007073E1" w:rsidRDefault="00F93ABB" w:rsidP="001A30D8">
      <w:pPr>
        <w:rPr>
          <w:rFonts w:cs="Arial"/>
          <w:b/>
          <w:sz w:val="4"/>
          <w:szCs w:val="4"/>
        </w:rPr>
      </w:pPr>
    </w:p>
    <w:tbl>
      <w:tblPr>
        <w:tblW w:w="0" w:type="auto"/>
        <w:tblLook w:val="01E0"/>
      </w:tblPr>
      <w:tblGrid>
        <w:gridCol w:w="2455"/>
        <w:gridCol w:w="7394"/>
      </w:tblGrid>
      <w:tr w:rsidR="0001217E" w:rsidRPr="008270E0" w:rsidTr="001F7345">
        <w:trPr>
          <w:trHeight w:val="994"/>
        </w:trPr>
        <w:tc>
          <w:tcPr>
            <w:tcW w:w="2455" w:type="dxa"/>
          </w:tcPr>
          <w:p w:rsidR="0001217E" w:rsidRPr="008270E0" w:rsidRDefault="0001217E" w:rsidP="001F7345">
            <w:pPr>
              <w:jc w:val="left"/>
              <w:rPr>
                <w:rFonts w:cs="Arial"/>
                <w:lang w:val="en-GB"/>
              </w:rPr>
            </w:pPr>
            <w:r w:rsidRPr="008270E0">
              <w:rPr>
                <w:rFonts w:cs="Arial"/>
                <w:lang w:val="en-GB"/>
              </w:rPr>
              <w:t>Assets</w:t>
            </w:r>
          </w:p>
        </w:tc>
        <w:tc>
          <w:tcPr>
            <w:tcW w:w="7394" w:type="dxa"/>
          </w:tcPr>
          <w:p w:rsidR="0001217E" w:rsidRPr="008270E0" w:rsidRDefault="0001217E" w:rsidP="001F7345">
            <w:pPr>
              <w:rPr>
                <w:rFonts w:cs="Arial"/>
                <w:lang w:val="en-GB"/>
              </w:rPr>
            </w:pPr>
            <w:r w:rsidRPr="008270E0">
              <w:rPr>
                <w:rFonts w:cs="Arial"/>
                <w:lang w:val="en-GB"/>
              </w:rPr>
              <w:t>An item that has a value in the future.  For example, a debtor (someone who owes money) is an asset as they will in future pay.  A building is an asset because it houses activity that will provide a future income stream.</w:t>
            </w:r>
          </w:p>
          <w:p w:rsidR="0001217E" w:rsidRPr="008270E0" w:rsidRDefault="0001217E" w:rsidP="001F7345">
            <w:pPr>
              <w:rPr>
                <w:rFonts w:cs="Arial"/>
                <w:lang w:val="en-GB"/>
              </w:rPr>
            </w:pPr>
          </w:p>
        </w:tc>
      </w:tr>
      <w:tr w:rsidR="0001217E" w:rsidRPr="008270E0" w:rsidTr="001F7345">
        <w:trPr>
          <w:trHeight w:val="757"/>
        </w:trPr>
        <w:tc>
          <w:tcPr>
            <w:tcW w:w="2455" w:type="dxa"/>
          </w:tcPr>
          <w:p w:rsidR="0001217E" w:rsidRPr="008270E0" w:rsidRDefault="0001217E" w:rsidP="001F7345">
            <w:pPr>
              <w:jc w:val="left"/>
              <w:rPr>
                <w:rFonts w:cs="Arial"/>
                <w:lang w:val="en-GB"/>
              </w:rPr>
            </w:pPr>
            <w:r w:rsidRPr="008270E0">
              <w:rPr>
                <w:rFonts w:cs="Arial"/>
                <w:lang w:val="en-GB"/>
              </w:rPr>
              <w:t>Audit</w:t>
            </w:r>
          </w:p>
        </w:tc>
        <w:tc>
          <w:tcPr>
            <w:tcW w:w="7394" w:type="dxa"/>
          </w:tcPr>
          <w:p w:rsidR="0001217E" w:rsidRPr="008270E0" w:rsidRDefault="0001217E" w:rsidP="001F7345">
            <w:pPr>
              <w:rPr>
                <w:rFonts w:cs="Arial"/>
                <w:lang w:val="en-GB"/>
              </w:rPr>
            </w:pPr>
            <w:r w:rsidRPr="008270E0">
              <w:rPr>
                <w:rFonts w:cs="Arial"/>
                <w:lang w:val="en-GB"/>
              </w:rPr>
              <w:t>The process of validation of the accuracy, completeness and adequacy of disclosure of financial records.</w:t>
            </w:r>
          </w:p>
          <w:p w:rsidR="0001217E" w:rsidRPr="008270E0" w:rsidRDefault="0001217E" w:rsidP="001F7345">
            <w:pPr>
              <w:rPr>
                <w:rFonts w:cs="Arial"/>
                <w:lang w:val="en-GB"/>
              </w:rPr>
            </w:pPr>
          </w:p>
        </w:tc>
      </w:tr>
      <w:tr w:rsidR="0001217E" w:rsidRPr="008270E0" w:rsidTr="001F7345">
        <w:trPr>
          <w:trHeight w:val="1499"/>
        </w:trPr>
        <w:tc>
          <w:tcPr>
            <w:tcW w:w="2455" w:type="dxa"/>
          </w:tcPr>
          <w:p w:rsidR="0001217E" w:rsidRPr="008270E0" w:rsidRDefault="0001217E" w:rsidP="001F7345">
            <w:pPr>
              <w:jc w:val="left"/>
              <w:rPr>
                <w:rFonts w:cs="Arial"/>
                <w:lang w:val="en-GB"/>
              </w:rPr>
            </w:pPr>
            <w:r w:rsidRPr="008270E0">
              <w:rPr>
                <w:rFonts w:cs="Arial"/>
                <w:lang w:val="en-GB"/>
              </w:rPr>
              <w:t>Average Relevant Net Assets</w:t>
            </w:r>
          </w:p>
        </w:tc>
        <w:tc>
          <w:tcPr>
            <w:tcW w:w="7394" w:type="dxa"/>
          </w:tcPr>
          <w:p w:rsidR="0001217E" w:rsidRPr="008270E0" w:rsidRDefault="0001217E" w:rsidP="001F7345">
            <w:pPr>
              <w:rPr>
                <w:rFonts w:cs="Arial"/>
                <w:lang w:val="en-GB"/>
              </w:rPr>
            </w:pPr>
            <w:r w:rsidRPr="008270E0">
              <w:rPr>
                <w:rFonts w:cs="Arial"/>
                <w:lang w:val="en-GB"/>
              </w:rPr>
              <w:t>Average relevant net assets are normally found by adding the opening and closing balances for the year and dividing by two.  Balances consist of the total capital and reserves (total assets employed) less donated asset reserve less cash balances in Government Banking Services accounts. This is used to calculate the Capital Cost Absorption Rate.</w:t>
            </w:r>
          </w:p>
          <w:p w:rsidR="0001217E" w:rsidRPr="008270E0" w:rsidRDefault="0001217E" w:rsidP="001F7345">
            <w:pPr>
              <w:rPr>
                <w:rFonts w:cs="Arial"/>
                <w:lang w:val="en-GB"/>
              </w:rPr>
            </w:pPr>
          </w:p>
        </w:tc>
      </w:tr>
      <w:tr w:rsidR="0001217E" w:rsidRPr="008270E0" w:rsidTr="001F7345">
        <w:trPr>
          <w:trHeight w:val="994"/>
        </w:trPr>
        <w:tc>
          <w:tcPr>
            <w:tcW w:w="2455" w:type="dxa"/>
          </w:tcPr>
          <w:p w:rsidR="0001217E" w:rsidRPr="008270E0" w:rsidRDefault="0001217E" w:rsidP="001F7345">
            <w:pPr>
              <w:jc w:val="left"/>
              <w:rPr>
                <w:rFonts w:cs="Arial"/>
                <w:lang w:val="en-GB"/>
              </w:rPr>
            </w:pPr>
            <w:r w:rsidRPr="008270E0">
              <w:rPr>
                <w:rFonts w:cs="Arial"/>
                <w:lang w:val="en-GB"/>
              </w:rPr>
              <w:t>Capital</w:t>
            </w:r>
          </w:p>
        </w:tc>
        <w:tc>
          <w:tcPr>
            <w:tcW w:w="7394" w:type="dxa"/>
          </w:tcPr>
          <w:p w:rsidR="0001217E" w:rsidRPr="008270E0" w:rsidRDefault="0001217E" w:rsidP="001F7345">
            <w:pPr>
              <w:rPr>
                <w:rFonts w:cs="Arial"/>
                <w:lang w:val="en-GB"/>
              </w:rPr>
            </w:pPr>
            <w:r w:rsidRPr="008270E0">
              <w:rPr>
                <w:rFonts w:cs="Arial"/>
                <w:lang w:val="en-GB"/>
              </w:rPr>
              <w:t>Land, buildings, equipment and other long-term assets owned by the Trust, the cost of which exceeds £5,000 and has an expected life of more than one year.</w:t>
            </w:r>
          </w:p>
          <w:p w:rsidR="0001217E" w:rsidRPr="008270E0" w:rsidRDefault="0001217E" w:rsidP="001F7345">
            <w:pPr>
              <w:rPr>
                <w:rFonts w:cs="Arial"/>
                <w:lang w:val="en-GB"/>
              </w:rPr>
            </w:pPr>
          </w:p>
        </w:tc>
      </w:tr>
      <w:tr w:rsidR="0001217E" w:rsidRPr="008270E0" w:rsidTr="001F7345">
        <w:trPr>
          <w:trHeight w:val="757"/>
        </w:trPr>
        <w:tc>
          <w:tcPr>
            <w:tcW w:w="2455" w:type="dxa"/>
          </w:tcPr>
          <w:p w:rsidR="0001217E" w:rsidRPr="008270E0" w:rsidRDefault="0001217E" w:rsidP="001F7345">
            <w:pPr>
              <w:jc w:val="left"/>
              <w:rPr>
                <w:rFonts w:cs="Arial"/>
                <w:lang w:val="en-GB"/>
              </w:rPr>
            </w:pPr>
            <w:r w:rsidRPr="008270E0">
              <w:rPr>
                <w:rFonts w:cs="Arial"/>
                <w:lang w:val="en-GB"/>
              </w:rPr>
              <w:t>Capital Resource Limit (CRL)</w:t>
            </w:r>
          </w:p>
        </w:tc>
        <w:tc>
          <w:tcPr>
            <w:tcW w:w="7394" w:type="dxa"/>
          </w:tcPr>
          <w:p w:rsidR="0001217E" w:rsidRPr="008270E0" w:rsidRDefault="0001217E" w:rsidP="001F7345">
            <w:pPr>
              <w:rPr>
                <w:rFonts w:cs="Arial"/>
                <w:lang w:val="en-GB"/>
              </w:rPr>
            </w:pPr>
            <w:r w:rsidRPr="008270E0">
              <w:rPr>
                <w:rFonts w:cs="Arial"/>
                <w:lang w:val="en-GB"/>
              </w:rPr>
              <w:t>A control set by the Department of Health onto NHS organisations to limit the level of capital expenditure that may be incurred in year.</w:t>
            </w:r>
          </w:p>
          <w:p w:rsidR="0001217E" w:rsidRPr="008270E0" w:rsidRDefault="0001217E" w:rsidP="001F7345">
            <w:pPr>
              <w:rPr>
                <w:rFonts w:cs="Arial"/>
                <w:lang w:val="en-GB"/>
              </w:rPr>
            </w:pPr>
          </w:p>
        </w:tc>
      </w:tr>
      <w:tr w:rsidR="0001217E" w:rsidRPr="008270E0" w:rsidTr="001F7345">
        <w:trPr>
          <w:trHeight w:val="1751"/>
        </w:trPr>
        <w:tc>
          <w:tcPr>
            <w:tcW w:w="2455" w:type="dxa"/>
          </w:tcPr>
          <w:p w:rsidR="0001217E" w:rsidRPr="008270E0" w:rsidRDefault="0001217E" w:rsidP="001F7345">
            <w:pPr>
              <w:jc w:val="left"/>
              <w:rPr>
                <w:rFonts w:cs="Arial"/>
                <w:lang w:val="en-GB"/>
              </w:rPr>
            </w:pPr>
            <w:r w:rsidRPr="008270E0">
              <w:rPr>
                <w:rFonts w:cs="Arial"/>
                <w:lang w:val="en-GB"/>
              </w:rPr>
              <w:t>External Financing Limit (EFL)</w:t>
            </w:r>
          </w:p>
        </w:tc>
        <w:tc>
          <w:tcPr>
            <w:tcW w:w="7394" w:type="dxa"/>
          </w:tcPr>
          <w:p w:rsidR="0001217E" w:rsidRPr="008270E0" w:rsidRDefault="0001217E" w:rsidP="001F7345">
            <w:pPr>
              <w:rPr>
                <w:rFonts w:cs="Arial"/>
                <w:lang w:val="en-GB"/>
              </w:rPr>
            </w:pPr>
            <w:r w:rsidRPr="008270E0">
              <w:rPr>
                <w:rFonts w:cs="Arial"/>
                <w:lang w:val="en-GB"/>
              </w:rPr>
              <w:t>The External Financing Limit (EFL) is a fundamental element of the NHS Trusts financial regime.  It is cash based public control set by the Department of Health.  It represents the excess of its approved level of capital spending over the cash a trust can generate internally (mainly surpluses and depreciation) essentially controlling the amount of “externally” generated funding.</w:t>
            </w:r>
          </w:p>
          <w:p w:rsidR="0001217E" w:rsidRPr="008270E0" w:rsidRDefault="0001217E" w:rsidP="001F7345">
            <w:pPr>
              <w:rPr>
                <w:rFonts w:cs="Arial"/>
                <w:lang w:val="en-GB"/>
              </w:rPr>
            </w:pPr>
          </w:p>
        </w:tc>
      </w:tr>
      <w:tr w:rsidR="0001217E" w:rsidRPr="008270E0" w:rsidTr="001F7345">
        <w:trPr>
          <w:trHeight w:val="757"/>
        </w:trPr>
        <w:tc>
          <w:tcPr>
            <w:tcW w:w="2455" w:type="dxa"/>
          </w:tcPr>
          <w:p w:rsidR="0001217E" w:rsidRPr="008270E0" w:rsidRDefault="0001217E" w:rsidP="001F7345">
            <w:pPr>
              <w:jc w:val="left"/>
              <w:rPr>
                <w:rFonts w:cs="Arial"/>
                <w:lang w:val="en-GB"/>
              </w:rPr>
            </w:pPr>
            <w:r w:rsidRPr="008270E0">
              <w:rPr>
                <w:rFonts w:cs="Arial"/>
                <w:lang w:val="en-GB"/>
              </w:rPr>
              <w:t>Fixed Assets</w:t>
            </w:r>
          </w:p>
        </w:tc>
        <w:tc>
          <w:tcPr>
            <w:tcW w:w="7394" w:type="dxa"/>
          </w:tcPr>
          <w:p w:rsidR="0001217E" w:rsidRPr="008270E0" w:rsidRDefault="0001217E" w:rsidP="001F7345">
            <w:pPr>
              <w:rPr>
                <w:rFonts w:cs="Arial"/>
                <w:lang w:val="en-GB"/>
              </w:rPr>
            </w:pPr>
            <w:r w:rsidRPr="008270E0">
              <w:rPr>
                <w:rFonts w:cs="Arial"/>
                <w:lang w:val="en-GB"/>
              </w:rPr>
              <w:t>Land, buildings, equipment and other long term assets that are expected to have a life of more than one year.</w:t>
            </w:r>
          </w:p>
          <w:p w:rsidR="0001217E" w:rsidRPr="008270E0" w:rsidRDefault="0001217E" w:rsidP="001F7345">
            <w:pPr>
              <w:rPr>
                <w:rFonts w:cs="Arial"/>
                <w:lang w:val="en-GB"/>
              </w:rPr>
            </w:pPr>
          </w:p>
        </w:tc>
      </w:tr>
      <w:tr w:rsidR="0001217E" w:rsidRPr="008270E0" w:rsidTr="001F7345">
        <w:trPr>
          <w:trHeight w:val="1499"/>
        </w:trPr>
        <w:tc>
          <w:tcPr>
            <w:tcW w:w="2455" w:type="dxa"/>
          </w:tcPr>
          <w:p w:rsidR="0001217E" w:rsidRDefault="0001217E" w:rsidP="001F7345">
            <w:pPr>
              <w:jc w:val="left"/>
              <w:rPr>
                <w:rFonts w:cs="Arial"/>
                <w:lang w:val="en-GB"/>
              </w:rPr>
            </w:pPr>
            <w:r w:rsidRPr="008270E0">
              <w:rPr>
                <w:rFonts w:cs="Arial"/>
                <w:lang w:val="en-GB"/>
              </w:rPr>
              <w:t>Governance</w:t>
            </w:r>
          </w:p>
          <w:p w:rsidR="0001217E" w:rsidRDefault="0001217E" w:rsidP="001F7345">
            <w:pPr>
              <w:jc w:val="left"/>
              <w:rPr>
                <w:rFonts w:cs="Arial"/>
                <w:lang w:val="en-GB"/>
              </w:rPr>
            </w:pPr>
          </w:p>
          <w:p w:rsidR="0001217E" w:rsidRDefault="0001217E" w:rsidP="001F7345">
            <w:pPr>
              <w:jc w:val="left"/>
              <w:rPr>
                <w:rFonts w:cs="Arial"/>
                <w:lang w:val="en-GB"/>
              </w:rPr>
            </w:pPr>
          </w:p>
          <w:p w:rsidR="0001217E" w:rsidRDefault="0001217E" w:rsidP="001F7345">
            <w:pPr>
              <w:jc w:val="left"/>
              <w:rPr>
                <w:rFonts w:cs="Arial"/>
                <w:lang w:val="en-GB"/>
              </w:rPr>
            </w:pPr>
          </w:p>
          <w:p w:rsidR="0001217E" w:rsidRDefault="0001217E" w:rsidP="001F7345">
            <w:pPr>
              <w:jc w:val="left"/>
              <w:rPr>
                <w:rFonts w:cs="Arial"/>
                <w:lang w:val="en-GB"/>
              </w:rPr>
            </w:pPr>
          </w:p>
          <w:p w:rsidR="0001217E" w:rsidRDefault="0001217E" w:rsidP="001F7345">
            <w:pPr>
              <w:jc w:val="left"/>
              <w:rPr>
                <w:rFonts w:cs="Arial"/>
                <w:lang w:val="en-GB"/>
              </w:rPr>
            </w:pPr>
          </w:p>
          <w:p w:rsidR="0001217E" w:rsidRDefault="0001217E" w:rsidP="001F7345">
            <w:pPr>
              <w:jc w:val="left"/>
              <w:rPr>
                <w:rFonts w:cs="Arial"/>
                <w:lang w:val="en-GB"/>
              </w:rPr>
            </w:pPr>
            <w:r>
              <w:rPr>
                <w:rFonts w:cs="Arial"/>
                <w:lang w:val="en-GB"/>
              </w:rPr>
              <w:t>Impairment loss</w:t>
            </w:r>
          </w:p>
          <w:p w:rsidR="0001217E" w:rsidRPr="008270E0" w:rsidRDefault="0001217E" w:rsidP="001F7345">
            <w:pPr>
              <w:jc w:val="left"/>
              <w:rPr>
                <w:rFonts w:cs="Arial"/>
                <w:lang w:val="en-GB"/>
              </w:rPr>
            </w:pPr>
          </w:p>
        </w:tc>
        <w:tc>
          <w:tcPr>
            <w:tcW w:w="7394" w:type="dxa"/>
          </w:tcPr>
          <w:p w:rsidR="0001217E" w:rsidRPr="008270E0" w:rsidRDefault="0001217E" w:rsidP="001F7345">
            <w:pPr>
              <w:rPr>
                <w:rFonts w:cs="Arial"/>
                <w:lang w:val="en-GB"/>
              </w:rPr>
            </w:pPr>
            <w:r w:rsidRPr="008270E0">
              <w:rPr>
                <w:rFonts w:cs="Arial"/>
                <w:lang w:val="en-GB"/>
              </w:rPr>
              <w:t>Governance is a system by which organisations are directed and controlled.  It is concerned with how the organisation is run, how it is structured and how it is led. Corporate Governance should underpin all that an organisation does.  In the NHS this means it must encompass clinical, financial and organisational aspects.</w:t>
            </w:r>
          </w:p>
          <w:p w:rsidR="0001217E" w:rsidRDefault="0001217E" w:rsidP="001F7345">
            <w:pPr>
              <w:rPr>
                <w:rFonts w:cs="Arial"/>
                <w:lang w:val="en-GB"/>
              </w:rPr>
            </w:pPr>
          </w:p>
          <w:p w:rsidR="0001217E" w:rsidRPr="008127DB" w:rsidRDefault="0001217E" w:rsidP="001F7345">
            <w:pPr>
              <w:rPr>
                <w:rFonts w:cs="Arial"/>
                <w:lang w:val="en-GB"/>
              </w:rPr>
            </w:pPr>
            <w:r>
              <w:rPr>
                <w:rFonts w:cs="Arial"/>
                <w:lang w:val="en-GB"/>
              </w:rPr>
              <w:t>T</w:t>
            </w:r>
            <w:r w:rsidRPr="008127DB">
              <w:rPr>
                <w:rFonts w:cs="Arial"/>
                <w:lang w:val="en-GB"/>
              </w:rPr>
              <w:t>he amount by which the carrying amount of an asset or cash-generating unit exceeds its recoverable amount</w:t>
            </w:r>
            <w:r>
              <w:rPr>
                <w:rFonts w:cs="Arial"/>
                <w:lang w:val="en-GB"/>
              </w:rPr>
              <w:t>.</w:t>
            </w:r>
          </w:p>
          <w:p w:rsidR="0001217E" w:rsidRPr="008270E0" w:rsidRDefault="0001217E" w:rsidP="001F7345">
            <w:pPr>
              <w:rPr>
                <w:rFonts w:cs="Arial"/>
                <w:lang w:val="en-GB"/>
              </w:rPr>
            </w:pPr>
          </w:p>
        </w:tc>
      </w:tr>
      <w:tr w:rsidR="0001217E" w:rsidRPr="008270E0" w:rsidTr="001F7345">
        <w:trPr>
          <w:trHeight w:val="994"/>
        </w:trPr>
        <w:tc>
          <w:tcPr>
            <w:tcW w:w="2455" w:type="dxa"/>
          </w:tcPr>
          <w:p w:rsidR="0001217E" w:rsidRPr="008270E0" w:rsidRDefault="0001217E" w:rsidP="001F7345">
            <w:pPr>
              <w:jc w:val="left"/>
              <w:rPr>
                <w:rFonts w:cs="Arial"/>
                <w:lang w:val="en-GB"/>
              </w:rPr>
            </w:pPr>
            <w:r w:rsidRPr="008270E0">
              <w:rPr>
                <w:rFonts w:cs="Arial"/>
                <w:lang w:val="en-GB"/>
              </w:rPr>
              <w:t>Intangible Assets</w:t>
            </w:r>
          </w:p>
        </w:tc>
        <w:tc>
          <w:tcPr>
            <w:tcW w:w="7394" w:type="dxa"/>
          </w:tcPr>
          <w:p w:rsidR="0001217E" w:rsidRPr="008270E0" w:rsidRDefault="0001217E" w:rsidP="001F7345">
            <w:pPr>
              <w:autoSpaceDE w:val="0"/>
              <w:autoSpaceDN w:val="0"/>
              <w:adjustRightInd w:val="0"/>
              <w:rPr>
                <w:rFonts w:cs="Arial"/>
                <w:lang w:val="en-GB" w:eastAsia="en-GB"/>
              </w:rPr>
            </w:pPr>
            <w:r w:rsidRPr="008270E0">
              <w:rPr>
                <w:rFonts w:cs="Arial"/>
                <w:lang w:val="en-GB" w:eastAsia="en-GB"/>
              </w:rPr>
              <w:t>Intangible assets are assets that cannot be seen, touched or physically measured. Examples include software licences, trademarks, patents and</w:t>
            </w:r>
          </w:p>
          <w:p w:rsidR="0001217E" w:rsidRPr="008270E0" w:rsidRDefault="0001217E" w:rsidP="001F7345">
            <w:pPr>
              <w:rPr>
                <w:rFonts w:cs="Arial"/>
                <w:lang w:val="en-GB" w:eastAsia="en-GB"/>
              </w:rPr>
            </w:pPr>
            <w:r w:rsidRPr="008270E0">
              <w:rPr>
                <w:rFonts w:cs="Arial"/>
                <w:lang w:val="en-GB" w:eastAsia="en-GB"/>
              </w:rPr>
              <w:t>some research and development expenditure</w:t>
            </w:r>
            <w:r>
              <w:rPr>
                <w:rFonts w:cs="Arial"/>
                <w:lang w:val="en-GB" w:eastAsia="en-GB"/>
              </w:rPr>
              <w:t>.</w:t>
            </w:r>
          </w:p>
          <w:p w:rsidR="0001217E" w:rsidRPr="008270E0" w:rsidRDefault="0001217E" w:rsidP="001F7345">
            <w:pPr>
              <w:rPr>
                <w:rFonts w:cs="Arial"/>
                <w:lang w:val="en-GB"/>
              </w:rPr>
            </w:pPr>
          </w:p>
        </w:tc>
      </w:tr>
      <w:tr w:rsidR="0001217E" w:rsidRPr="008270E0" w:rsidTr="001F7345">
        <w:trPr>
          <w:trHeight w:val="757"/>
        </w:trPr>
        <w:tc>
          <w:tcPr>
            <w:tcW w:w="2455" w:type="dxa"/>
          </w:tcPr>
          <w:p w:rsidR="0001217E" w:rsidRPr="008270E0" w:rsidRDefault="0001217E" w:rsidP="001F7345">
            <w:pPr>
              <w:jc w:val="left"/>
              <w:rPr>
                <w:rFonts w:cs="Arial"/>
                <w:lang w:val="en-GB"/>
              </w:rPr>
            </w:pPr>
            <w:r w:rsidRPr="008270E0">
              <w:rPr>
                <w:rFonts w:cs="Arial"/>
                <w:lang w:val="en-GB"/>
              </w:rPr>
              <w:lastRenderedPageBreak/>
              <w:t>Property, Plant and Equipment</w:t>
            </w:r>
          </w:p>
          <w:p w:rsidR="0001217E" w:rsidRPr="008270E0" w:rsidRDefault="0001217E" w:rsidP="001F7345">
            <w:pPr>
              <w:jc w:val="left"/>
              <w:rPr>
                <w:rFonts w:cs="Arial"/>
                <w:lang w:val="en-GB"/>
              </w:rPr>
            </w:pPr>
          </w:p>
        </w:tc>
        <w:tc>
          <w:tcPr>
            <w:tcW w:w="7394" w:type="dxa"/>
          </w:tcPr>
          <w:p w:rsidR="0001217E" w:rsidRPr="008270E0" w:rsidRDefault="0001217E" w:rsidP="001F7345">
            <w:pPr>
              <w:rPr>
                <w:rFonts w:cs="Arial"/>
                <w:lang w:val="en-GB"/>
              </w:rPr>
            </w:pPr>
            <w:r w:rsidRPr="008270E0">
              <w:rPr>
                <w:rFonts w:cs="Arial"/>
                <w:lang w:val="en-GB"/>
              </w:rPr>
              <w:t>A sub-classification of fixed assets which include land, buildings, equipment and fixtures and fittings.</w:t>
            </w:r>
          </w:p>
        </w:tc>
      </w:tr>
      <w:tr w:rsidR="0001217E" w:rsidRPr="008270E0" w:rsidTr="001F7345">
        <w:trPr>
          <w:trHeight w:val="1247"/>
        </w:trPr>
        <w:tc>
          <w:tcPr>
            <w:tcW w:w="2455" w:type="dxa"/>
          </w:tcPr>
          <w:p w:rsidR="0001217E" w:rsidRPr="008270E0" w:rsidRDefault="0001217E" w:rsidP="001F7345">
            <w:pPr>
              <w:jc w:val="left"/>
              <w:rPr>
                <w:rFonts w:cs="Arial"/>
                <w:lang w:val="en-GB"/>
              </w:rPr>
            </w:pPr>
            <w:r w:rsidRPr="008270E0">
              <w:rPr>
                <w:rFonts w:cs="Arial"/>
                <w:lang w:val="en-GB"/>
              </w:rPr>
              <w:t>Public Dividend Capital</w:t>
            </w:r>
          </w:p>
          <w:p w:rsidR="0001217E" w:rsidRPr="008270E0" w:rsidRDefault="0001217E" w:rsidP="001F7345">
            <w:pPr>
              <w:jc w:val="left"/>
              <w:rPr>
                <w:rFonts w:cs="Arial"/>
                <w:lang w:val="en-GB"/>
              </w:rPr>
            </w:pPr>
          </w:p>
        </w:tc>
        <w:tc>
          <w:tcPr>
            <w:tcW w:w="7394" w:type="dxa"/>
          </w:tcPr>
          <w:p w:rsidR="0001217E" w:rsidRPr="008270E0" w:rsidRDefault="0001217E" w:rsidP="001F7345">
            <w:pPr>
              <w:autoSpaceDE w:val="0"/>
              <w:autoSpaceDN w:val="0"/>
              <w:adjustRightInd w:val="0"/>
              <w:rPr>
                <w:rFonts w:cs="Arial"/>
                <w:color w:val="111111"/>
              </w:rPr>
            </w:pPr>
            <w:r w:rsidRPr="008270E0">
              <w:rPr>
                <w:rFonts w:cs="Arial"/>
                <w:lang w:val="en-GB" w:eastAsia="en-GB"/>
              </w:rPr>
              <w:t>When NHS trusts were first created, everything they owned (land, buildings, equipment and working capital) was transferred to them from the government. The value of these assets is in effect the public’s equity stake in the new NHS trusts and is known as public dividend capital</w:t>
            </w:r>
          </w:p>
          <w:p w:rsidR="0001217E" w:rsidRPr="008270E0" w:rsidRDefault="0001217E" w:rsidP="001F7345">
            <w:pPr>
              <w:rPr>
                <w:rFonts w:cs="Arial"/>
                <w:lang w:val="en-GB"/>
              </w:rPr>
            </w:pPr>
          </w:p>
        </w:tc>
      </w:tr>
      <w:tr w:rsidR="0001217E" w:rsidRPr="008270E0" w:rsidTr="001F7345">
        <w:trPr>
          <w:trHeight w:val="505"/>
        </w:trPr>
        <w:tc>
          <w:tcPr>
            <w:tcW w:w="2455" w:type="dxa"/>
          </w:tcPr>
          <w:p w:rsidR="0001217E" w:rsidRPr="008270E0" w:rsidRDefault="0001217E" w:rsidP="001F7345">
            <w:pPr>
              <w:jc w:val="left"/>
              <w:rPr>
                <w:rFonts w:cs="Arial"/>
                <w:lang w:val="en-GB"/>
              </w:rPr>
            </w:pPr>
            <w:r w:rsidRPr="008270E0">
              <w:rPr>
                <w:rFonts w:cs="Arial"/>
                <w:lang w:val="en-GB"/>
              </w:rPr>
              <w:t>Retained Earnings Reserve</w:t>
            </w:r>
          </w:p>
        </w:tc>
        <w:tc>
          <w:tcPr>
            <w:tcW w:w="7394" w:type="dxa"/>
          </w:tcPr>
          <w:p w:rsidR="0001217E" w:rsidRPr="008270E0" w:rsidRDefault="0001217E" w:rsidP="001F7345">
            <w:pPr>
              <w:rPr>
                <w:rFonts w:cs="Arial"/>
                <w:color w:val="111111"/>
              </w:rPr>
            </w:pPr>
            <w:r w:rsidRPr="008270E0">
              <w:rPr>
                <w:rFonts w:cs="Arial"/>
                <w:lang w:val="en-GB" w:eastAsia="en-GB"/>
              </w:rPr>
              <w:t>Retained earnings are the aggregate surplus or deficit the NHS trust has made in former years.</w:t>
            </w:r>
          </w:p>
        </w:tc>
      </w:tr>
    </w:tbl>
    <w:p w:rsidR="0001217E" w:rsidRPr="007073E1" w:rsidRDefault="0001217E" w:rsidP="0001217E"/>
    <w:p w:rsidR="0001217E" w:rsidRPr="007073E1" w:rsidRDefault="0001217E" w:rsidP="0001217E">
      <w:pPr>
        <w:rPr>
          <w:b/>
          <w:bCs/>
          <w:color w:val="365F91"/>
          <w:sz w:val="24"/>
          <w:szCs w:val="24"/>
        </w:rPr>
      </w:pPr>
      <w:bookmarkStart w:id="86" w:name="_Toc293584020"/>
      <w:r w:rsidRPr="007073E1">
        <w:br w:type="page"/>
      </w:r>
    </w:p>
    <w:p w:rsidR="0001217E" w:rsidRPr="00CB6D16" w:rsidRDefault="0001217E" w:rsidP="0001217E">
      <w:pPr>
        <w:pStyle w:val="Heading1"/>
      </w:pPr>
      <w:bookmarkStart w:id="87" w:name="_Toc325024805"/>
      <w:bookmarkStart w:id="88" w:name="_Toc326062011"/>
      <w:bookmarkStart w:id="89" w:name="_Toc386468346"/>
      <w:bookmarkStart w:id="90" w:name="_Toc387747688"/>
      <w:r w:rsidRPr="00CB6D16">
        <w:lastRenderedPageBreak/>
        <w:t>Glossary of Abbreviations</w:t>
      </w:r>
      <w:bookmarkEnd w:id="86"/>
      <w:bookmarkEnd w:id="87"/>
      <w:bookmarkEnd w:id="88"/>
      <w:bookmarkEnd w:id="89"/>
      <w:bookmarkEnd w:id="90"/>
    </w:p>
    <w:p w:rsidR="0001217E" w:rsidRPr="00CB6D16" w:rsidRDefault="0001217E" w:rsidP="0001217E">
      <w:pPr>
        <w:rPr>
          <w:rFonts w:cs="Arial"/>
        </w:rPr>
      </w:pPr>
    </w:p>
    <w:p w:rsidR="0001217E" w:rsidRPr="009C7AF7" w:rsidRDefault="0001217E" w:rsidP="0001217E">
      <w:pPr>
        <w:rPr>
          <w:rFonts w:cs="Arial"/>
        </w:rPr>
      </w:pPr>
      <w:r w:rsidRPr="009C7AF7">
        <w:rPr>
          <w:rFonts w:cs="Arial"/>
        </w:rPr>
        <w:t xml:space="preserve">BNSSSG </w:t>
      </w:r>
      <w:r w:rsidRPr="009C7AF7">
        <w:rPr>
          <w:rFonts w:cs="Arial"/>
        </w:rPr>
        <w:tab/>
        <w:t>Bristol, North Somerset, Somerset &amp; South Gloucestershire Area</w:t>
      </w:r>
    </w:p>
    <w:p w:rsidR="0001217E" w:rsidRPr="009C7AF7" w:rsidRDefault="0001217E" w:rsidP="0001217E">
      <w:pPr>
        <w:rPr>
          <w:rFonts w:cs="Arial"/>
        </w:rPr>
      </w:pPr>
    </w:p>
    <w:p w:rsidR="0001217E" w:rsidRPr="009C7AF7" w:rsidRDefault="0001217E" w:rsidP="0001217E">
      <w:pPr>
        <w:rPr>
          <w:rFonts w:cs="Arial"/>
        </w:rPr>
      </w:pPr>
      <w:r w:rsidRPr="009C7AF7">
        <w:rPr>
          <w:rFonts w:cs="Arial"/>
        </w:rPr>
        <w:t xml:space="preserve">CBI </w:t>
      </w:r>
      <w:r w:rsidRPr="009C7AF7">
        <w:rPr>
          <w:rFonts w:cs="Arial"/>
        </w:rPr>
        <w:tab/>
      </w:r>
      <w:r w:rsidRPr="009C7AF7">
        <w:rPr>
          <w:rFonts w:cs="Arial"/>
        </w:rPr>
        <w:tab/>
        <w:t xml:space="preserve">Confederation </w:t>
      </w:r>
      <w:r w:rsidRPr="009C7AF7">
        <w:rPr>
          <w:rFonts w:cs="Arial"/>
          <w:sz w:val="20"/>
          <w:szCs w:val="20"/>
        </w:rPr>
        <w:t>of</w:t>
      </w:r>
      <w:r w:rsidRPr="009C7AF7">
        <w:rPr>
          <w:rFonts w:cs="Arial"/>
        </w:rPr>
        <w:t xml:space="preserve"> British Industry</w:t>
      </w:r>
    </w:p>
    <w:p w:rsidR="0001217E" w:rsidRPr="009C7AF7" w:rsidRDefault="0001217E" w:rsidP="0001217E">
      <w:pPr>
        <w:rPr>
          <w:rFonts w:cs="Arial"/>
        </w:rPr>
      </w:pPr>
    </w:p>
    <w:p w:rsidR="0001217E" w:rsidRPr="009C7AF7" w:rsidRDefault="0001217E" w:rsidP="0001217E">
      <w:pPr>
        <w:rPr>
          <w:rFonts w:cs="Arial"/>
        </w:rPr>
      </w:pPr>
      <w:r w:rsidRPr="009C7AF7">
        <w:rPr>
          <w:rFonts w:cs="Arial"/>
        </w:rPr>
        <w:t>CCG</w:t>
      </w:r>
      <w:r w:rsidRPr="009C7AF7">
        <w:rPr>
          <w:rFonts w:cs="Arial"/>
        </w:rPr>
        <w:tab/>
      </w:r>
      <w:r w:rsidRPr="009C7AF7">
        <w:rPr>
          <w:rFonts w:cs="Arial"/>
        </w:rPr>
        <w:tab/>
        <w:t>Clinical Commissioning Group</w:t>
      </w:r>
    </w:p>
    <w:p w:rsidR="0001217E" w:rsidRPr="009C7AF7" w:rsidRDefault="0001217E" w:rsidP="0001217E">
      <w:pPr>
        <w:rPr>
          <w:rFonts w:cs="Arial"/>
        </w:rPr>
      </w:pPr>
    </w:p>
    <w:p w:rsidR="0001217E" w:rsidRPr="009C7AF7" w:rsidRDefault="0001217E" w:rsidP="0001217E">
      <w:pPr>
        <w:rPr>
          <w:rFonts w:cs="Arial"/>
        </w:rPr>
      </w:pPr>
      <w:r w:rsidRPr="009C7AF7">
        <w:rPr>
          <w:rFonts w:cs="Arial"/>
        </w:rPr>
        <w:t xml:space="preserve">CCA </w:t>
      </w:r>
      <w:r w:rsidRPr="009C7AF7">
        <w:rPr>
          <w:rFonts w:cs="Arial"/>
        </w:rPr>
        <w:tab/>
      </w:r>
      <w:r w:rsidRPr="009C7AF7">
        <w:rPr>
          <w:rFonts w:cs="Arial"/>
        </w:rPr>
        <w:tab/>
        <w:t>The Civil Contingencies Act</w:t>
      </w:r>
    </w:p>
    <w:p w:rsidR="0001217E" w:rsidRPr="009C7AF7" w:rsidRDefault="0001217E" w:rsidP="0001217E">
      <w:pPr>
        <w:rPr>
          <w:rFonts w:cs="Arial"/>
        </w:rPr>
      </w:pPr>
    </w:p>
    <w:p w:rsidR="0001217E" w:rsidRPr="009C7AF7" w:rsidRDefault="0001217E" w:rsidP="0001217E">
      <w:pPr>
        <w:rPr>
          <w:rFonts w:cs="Arial"/>
        </w:rPr>
      </w:pPr>
      <w:r w:rsidRPr="009C7AF7">
        <w:rPr>
          <w:rFonts w:cs="Arial"/>
        </w:rPr>
        <w:t>CCG</w:t>
      </w:r>
      <w:r w:rsidRPr="009C7AF7">
        <w:rPr>
          <w:rFonts w:cs="Arial"/>
        </w:rPr>
        <w:tab/>
      </w:r>
      <w:r w:rsidRPr="009C7AF7">
        <w:rPr>
          <w:rFonts w:cs="Arial"/>
        </w:rPr>
        <w:tab/>
        <w:t>Clinical Commissioning Group</w:t>
      </w:r>
    </w:p>
    <w:p w:rsidR="0001217E" w:rsidRPr="009C7AF7" w:rsidRDefault="0001217E" w:rsidP="0001217E">
      <w:pPr>
        <w:rPr>
          <w:rFonts w:cs="Arial"/>
        </w:rPr>
      </w:pPr>
    </w:p>
    <w:p w:rsidR="0001217E" w:rsidRPr="009C7AF7" w:rsidRDefault="0001217E" w:rsidP="0001217E">
      <w:pPr>
        <w:rPr>
          <w:rFonts w:cs="Arial"/>
        </w:rPr>
      </w:pPr>
      <w:r w:rsidRPr="009C7AF7">
        <w:rPr>
          <w:rFonts w:cs="Arial"/>
        </w:rPr>
        <w:t>CDI</w:t>
      </w:r>
      <w:r w:rsidRPr="009C7AF7">
        <w:rPr>
          <w:rFonts w:cs="Arial"/>
        </w:rPr>
        <w:tab/>
      </w:r>
      <w:r w:rsidRPr="009C7AF7">
        <w:rPr>
          <w:rFonts w:cs="Arial"/>
        </w:rPr>
        <w:tab/>
        <w:t>Clostridium difficile infection</w:t>
      </w:r>
    </w:p>
    <w:p w:rsidR="0001217E" w:rsidRPr="009C7AF7" w:rsidRDefault="0001217E" w:rsidP="0001217E">
      <w:pPr>
        <w:rPr>
          <w:rFonts w:cs="Arial"/>
        </w:rPr>
      </w:pPr>
    </w:p>
    <w:p w:rsidR="0001217E" w:rsidRPr="009C7AF7" w:rsidRDefault="0001217E" w:rsidP="0001217E">
      <w:pPr>
        <w:rPr>
          <w:rFonts w:cs="Arial"/>
        </w:rPr>
      </w:pPr>
      <w:r w:rsidRPr="009C7AF7">
        <w:rPr>
          <w:rFonts w:cs="Arial"/>
        </w:rPr>
        <w:t>CHKS</w:t>
      </w:r>
      <w:r w:rsidRPr="009C7AF7">
        <w:rPr>
          <w:rFonts w:cs="Arial"/>
        </w:rPr>
        <w:tab/>
      </w:r>
      <w:r w:rsidRPr="009C7AF7">
        <w:rPr>
          <w:rFonts w:cs="Arial"/>
        </w:rPr>
        <w:tab/>
        <w:t>Caspe Healthcare Knowledge Systems</w:t>
      </w:r>
    </w:p>
    <w:p w:rsidR="0001217E" w:rsidRPr="009C7AF7" w:rsidRDefault="0001217E" w:rsidP="0001217E">
      <w:pPr>
        <w:rPr>
          <w:rFonts w:cs="Arial"/>
        </w:rPr>
      </w:pPr>
    </w:p>
    <w:p w:rsidR="0001217E" w:rsidRPr="009C7AF7" w:rsidRDefault="0001217E" w:rsidP="0001217E">
      <w:pPr>
        <w:rPr>
          <w:rFonts w:cs="Arial"/>
        </w:rPr>
      </w:pPr>
      <w:r w:rsidRPr="009C7AF7">
        <w:rPr>
          <w:rFonts w:cs="Arial"/>
        </w:rPr>
        <w:t>CHP</w:t>
      </w:r>
      <w:r w:rsidRPr="009C7AF7">
        <w:rPr>
          <w:rFonts w:cs="Arial"/>
        </w:rPr>
        <w:tab/>
      </w:r>
      <w:r w:rsidRPr="009C7AF7">
        <w:rPr>
          <w:rFonts w:cs="Arial"/>
        </w:rPr>
        <w:tab/>
        <w:t>Combined Heat and Power</w:t>
      </w:r>
    </w:p>
    <w:p w:rsidR="0001217E" w:rsidRPr="009C7AF7" w:rsidRDefault="0001217E" w:rsidP="0001217E">
      <w:pPr>
        <w:rPr>
          <w:rFonts w:cs="Arial"/>
        </w:rPr>
      </w:pPr>
    </w:p>
    <w:p w:rsidR="0001217E" w:rsidRPr="009C7AF7" w:rsidRDefault="0001217E" w:rsidP="0001217E">
      <w:pPr>
        <w:rPr>
          <w:rFonts w:cs="Arial"/>
        </w:rPr>
      </w:pPr>
      <w:r w:rsidRPr="009C7AF7">
        <w:rPr>
          <w:rFonts w:cs="Arial"/>
        </w:rPr>
        <w:t>CO2e</w:t>
      </w:r>
      <w:r w:rsidRPr="009C7AF7">
        <w:rPr>
          <w:rFonts w:cs="Arial"/>
        </w:rPr>
        <w:tab/>
      </w:r>
      <w:r w:rsidRPr="009C7AF7">
        <w:rPr>
          <w:rFonts w:cs="Arial"/>
        </w:rPr>
        <w:tab/>
        <w:t>Carbon Dioxide Equivalent</w:t>
      </w:r>
    </w:p>
    <w:p w:rsidR="0001217E" w:rsidRPr="009C7AF7" w:rsidRDefault="0001217E" w:rsidP="0001217E">
      <w:pPr>
        <w:rPr>
          <w:rFonts w:cs="Arial"/>
        </w:rPr>
      </w:pPr>
    </w:p>
    <w:p w:rsidR="0001217E" w:rsidRPr="009C7AF7" w:rsidRDefault="0001217E" w:rsidP="0001217E">
      <w:pPr>
        <w:rPr>
          <w:rFonts w:cs="Arial"/>
        </w:rPr>
      </w:pPr>
      <w:r w:rsidRPr="009C7AF7">
        <w:rPr>
          <w:rFonts w:cs="Arial"/>
        </w:rPr>
        <w:t xml:space="preserve">CQC </w:t>
      </w:r>
      <w:r w:rsidRPr="009C7AF7">
        <w:rPr>
          <w:rFonts w:cs="Arial"/>
        </w:rPr>
        <w:tab/>
      </w:r>
      <w:r w:rsidRPr="009C7AF7">
        <w:rPr>
          <w:rFonts w:cs="Arial"/>
        </w:rPr>
        <w:tab/>
        <w:t>Care Quality Commission</w:t>
      </w:r>
    </w:p>
    <w:p w:rsidR="0001217E" w:rsidRPr="009C7AF7" w:rsidRDefault="0001217E" w:rsidP="0001217E">
      <w:pPr>
        <w:rPr>
          <w:rFonts w:cs="Arial"/>
        </w:rPr>
      </w:pPr>
    </w:p>
    <w:p w:rsidR="0001217E" w:rsidRPr="009C7AF7" w:rsidRDefault="0001217E" w:rsidP="0001217E">
      <w:pPr>
        <w:rPr>
          <w:rFonts w:cs="Arial"/>
        </w:rPr>
      </w:pPr>
      <w:r w:rsidRPr="009C7AF7">
        <w:rPr>
          <w:rFonts w:cs="Arial"/>
        </w:rPr>
        <w:t xml:space="preserve">CQUINS </w:t>
      </w:r>
      <w:r w:rsidRPr="009C7AF7">
        <w:rPr>
          <w:rFonts w:cs="Arial"/>
        </w:rPr>
        <w:tab/>
        <w:t>Commissioning for Quality &amp; Innovation Schemes</w:t>
      </w:r>
    </w:p>
    <w:p w:rsidR="0001217E" w:rsidRPr="009C7AF7" w:rsidRDefault="0001217E" w:rsidP="0001217E">
      <w:pPr>
        <w:rPr>
          <w:rFonts w:cs="Arial"/>
        </w:rPr>
      </w:pPr>
    </w:p>
    <w:p w:rsidR="0001217E" w:rsidRPr="009C7AF7" w:rsidRDefault="0001217E" w:rsidP="0001217E">
      <w:pPr>
        <w:rPr>
          <w:rFonts w:cs="Arial"/>
        </w:rPr>
      </w:pPr>
      <w:r w:rsidRPr="009C7AF7">
        <w:rPr>
          <w:rFonts w:cs="Arial"/>
        </w:rPr>
        <w:t xml:space="preserve">CRL </w:t>
      </w:r>
      <w:r w:rsidRPr="009C7AF7">
        <w:rPr>
          <w:rFonts w:cs="Arial"/>
        </w:rPr>
        <w:tab/>
      </w:r>
      <w:r w:rsidRPr="009C7AF7">
        <w:rPr>
          <w:rFonts w:cs="Arial"/>
        </w:rPr>
        <w:tab/>
        <w:t>Capital Resource Limit</w:t>
      </w:r>
    </w:p>
    <w:p w:rsidR="0001217E" w:rsidRPr="009C7AF7" w:rsidRDefault="0001217E" w:rsidP="0001217E">
      <w:pPr>
        <w:rPr>
          <w:rFonts w:cs="Arial"/>
        </w:rPr>
      </w:pPr>
    </w:p>
    <w:p w:rsidR="0001217E" w:rsidRPr="009C7AF7" w:rsidRDefault="0001217E" w:rsidP="0001217E">
      <w:pPr>
        <w:rPr>
          <w:rFonts w:cs="Arial"/>
        </w:rPr>
      </w:pPr>
      <w:r w:rsidRPr="009C7AF7">
        <w:rPr>
          <w:rFonts w:cs="Arial"/>
        </w:rPr>
        <w:t>DGH</w:t>
      </w:r>
      <w:r w:rsidRPr="009C7AF7">
        <w:rPr>
          <w:rFonts w:cs="Arial"/>
        </w:rPr>
        <w:tab/>
      </w:r>
      <w:r w:rsidRPr="009C7AF7">
        <w:rPr>
          <w:rFonts w:cs="Arial"/>
        </w:rPr>
        <w:tab/>
        <w:t>District General Hospital</w:t>
      </w:r>
    </w:p>
    <w:p w:rsidR="0001217E" w:rsidRPr="009C7AF7" w:rsidRDefault="0001217E" w:rsidP="0001217E">
      <w:pPr>
        <w:rPr>
          <w:rFonts w:cs="Arial"/>
        </w:rPr>
      </w:pPr>
    </w:p>
    <w:p w:rsidR="0001217E" w:rsidRPr="009C7AF7" w:rsidRDefault="0001217E" w:rsidP="0001217E">
      <w:pPr>
        <w:rPr>
          <w:rFonts w:cs="Arial"/>
        </w:rPr>
      </w:pPr>
      <w:r w:rsidRPr="009C7AF7">
        <w:rPr>
          <w:rFonts w:cs="Arial"/>
        </w:rPr>
        <w:t>DEFRA GHG</w:t>
      </w:r>
      <w:r w:rsidRPr="009C7AF7">
        <w:rPr>
          <w:rFonts w:cs="Arial"/>
        </w:rPr>
        <w:tab/>
        <w:t>Department of the Environment, Fisheries and Rural Affairs Green House Gases</w:t>
      </w:r>
    </w:p>
    <w:p w:rsidR="0001217E" w:rsidRPr="009C7AF7" w:rsidRDefault="0001217E" w:rsidP="0001217E">
      <w:pPr>
        <w:rPr>
          <w:rFonts w:cs="Arial"/>
        </w:rPr>
      </w:pPr>
    </w:p>
    <w:p w:rsidR="0001217E" w:rsidRPr="009C7AF7" w:rsidRDefault="0001217E" w:rsidP="0001217E">
      <w:pPr>
        <w:rPr>
          <w:rFonts w:cs="Arial"/>
        </w:rPr>
      </w:pPr>
      <w:r w:rsidRPr="009C7AF7">
        <w:rPr>
          <w:rFonts w:cs="Arial"/>
        </w:rPr>
        <w:t>EAP</w:t>
      </w:r>
      <w:r w:rsidRPr="009C7AF7">
        <w:rPr>
          <w:rFonts w:cs="Arial"/>
        </w:rPr>
        <w:tab/>
      </w:r>
      <w:r w:rsidRPr="009C7AF7">
        <w:rPr>
          <w:rFonts w:cs="Arial"/>
        </w:rPr>
        <w:tab/>
        <w:t>Employee Assistance Programme</w:t>
      </w:r>
    </w:p>
    <w:p w:rsidR="0001217E" w:rsidRPr="009C7AF7" w:rsidRDefault="0001217E" w:rsidP="0001217E">
      <w:pPr>
        <w:rPr>
          <w:rFonts w:cs="Arial"/>
        </w:rPr>
      </w:pPr>
    </w:p>
    <w:p w:rsidR="0001217E" w:rsidRPr="009C7AF7" w:rsidRDefault="0001217E" w:rsidP="0001217E">
      <w:pPr>
        <w:rPr>
          <w:rFonts w:cs="Arial"/>
        </w:rPr>
      </w:pPr>
      <w:r w:rsidRPr="009C7AF7">
        <w:rPr>
          <w:rFonts w:cs="Arial"/>
        </w:rPr>
        <w:t xml:space="preserve">ED </w:t>
      </w:r>
      <w:r w:rsidRPr="009C7AF7">
        <w:rPr>
          <w:rFonts w:cs="Arial"/>
        </w:rPr>
        <w:tab/>
      </w:r>
      <w:r w:rsidRPr="009C7AF7">
        <w:rPr>
          <w:rFonts w:cs="Arial"/>
        </w:rPr>
        <w:tab/>
        <w:t>Emergency Department</w:t>
      </w:r>
    </w:p>
    <w:p w:rsidR="0001217E" w:rsidRPr="009C7AF7" w:rsidRDefault="0001217E" w:rsidP="0001217E">
      <w:pPr>
        <w:rPr>
          <w:rFonts w:cs="Arial"/>
        </w:rPr>
      </w:pPr>
    </w:p>
    <w:p w:rsidR="0001217E" w:rsidRPr="009C7AF7" w:rsidRDefault="0001217E" w:rsidP="0001217E">
      <w:pPr>
        <w:rPr>
          <w:rFonts w:cs="Arial"/>
        </w:rPr>
      </w:pPr>
      <w:r w:rsidRPr="009C7AF7">
        <w:rPr>
          <w:rFonts w:cs="Arial"/>
        </w:rPr>
        <w:t xml:space="preserve">EFL </w:t>
      </w:r>
      <w:r w:rsidRPr="009C7AF7">
        <w:rPr>
          <w:rFonts w:cs="Arial"/>
        </w:rPr>
        <w:tab/>
      </w:r>
      <w:r w:rsidRPr="009C7AF7">
        <w:rPr>
          <w:rFonts w:cs="Arial"/>
        </w:rPr>
        <w:tab/>
        <w:t>External Financing Limit</w:t>
      </w:r>
    </w:p>
    <w:p w:rsidR="0001217E" w:rsidRPr="009C7AF7" w:rsidRDefault="0001217E" w:rsidP="0001217E">
      <w:pPr>
        <w:rPr>
          <w:rFonts w:cs="Arial"/>
        </w:rPr>
      </w:pPr>
    </w:p>
    <w:p w:rsidR="0001217E" w:rsidRPr="009C7AF7" w:rsidRDefault="0001217E" w:rsidP="0001217E">
      <w:pPr>
        <w:rPr>
          <w:rFonts w:cs="Arial"/>
        </w:rPr>
      </w:pPr>
      <w:r w:rsidRPr="009C7AF7">
        <w:rPr>
          <w:rFonts w:cs="Arial"/>
        </w:rPr>
        <w:t>EPRR</w:t>
      </w:r>
      <w:r w:rsidRPr="009C7AF7">
        <w:rPr>
          <w:rFonts w:cs="Arial"/>
        </w:rPr>
        <w:tab/>
      </w:r>
      <w:r w:rsidRPr="009C7AF7">
        <w:rPr>
          <w:rFonts w:cs="Arial"/>
        </w:rPr>
        <w:tab/>
        <w:t>Emergency Preparedness Resilience and. Response</w:t>
      </w:r>
    </w:p>
    <w:p w:rsidR="0001217E" w:rsidRPr="009C7AF7" w:rsidRDefault="0001217E" w:rsidP="0001217E">
      <w:pPr>
        <w:rPr>
          <w:rFonts w:cs="Arial"/>
        </w:rPr>
      </w:pPr>
    </w:p>
    <w:p w:rsidR="0001217E" w:rsidRPr="009C7AF7" w:rsidRDefault="0001217E" w:rsidP="0001217E">
      <w:pPr>
        <w:rPr>
          <w:rFonts w:cs="Arial"/>
        </w:rPr>
      </w:pPr>
      <w:r w:rsidRPr="009C7AF7">
        <w:rPr>
          <w:rFonts w:cs="Arial"/>
        </w:rPr>
        <w:t>FMA’s</w:t>
      </w:r>
      <w:r w:rsidRPr="009C7AF7">
        <w:rPr>
          <w:rFonts w:cs="Arial"/>
        </w:rPr>
        <w:tab/>
      </w:r>
      <w:r w:rsidRPr="009C7AF7">
        <w:rPr>
          <w:rFonts w:cs="Arial"/>
        </w:rPr>
        <w:tab/>
        <w:t>Financial Monitoring and Accounts</w:t>
      </w:r>
    </w:p>
    <w:p w:rsidR="0001217E" w:rsidRPr="009C7AF7" w:rsidRDefault="0001217E" w:rsidP="0001217E">
      <w:pPr>
        <w:rPr>
          <w:rFonts w:cs="Arial"/>
        </w:rPr>
      </w:pPr>
    </w:p>
    <w:p w:rsidR="0001217E" w:rsidRPr="009C7AF7" w:rsidRDefault="0001217E" w:rsidP="0001217E">
      <w:pPr>
        <w:rPr>
          <w:rFonts w:cs="Arial"/>
        </w:rPr>
      </w:pPr>
      <w:r w:rsidRPr="009C7AF7">
        <w:rPr>
          <w:rFonts w:cs="Arial"/>
        </w:rPr>
        <w:t>FT</w:t>
      </w:r>
      <w:r w:rsidRPr="009C7AF7">
        <w:rPr>
          <w:rFonts w:cs="Arial"/>
        </w:rPr>
        <w:tab/>
      </w:r>
      <w:r w:rsidRPr="009C7AF7">
        <w:rPr>
          <w:rFonts w:cs="Arial"/>
        </w:rPr>
        <w:tab/>
        <w:t>Foundation Trust</w:t>
      </w:r>
    </w:p>
    <w:p w:rsidR="003C00D8" w:rsidRPr="009C7AF7" w:rsidRDefault="003C00D8" w:rsidP="0001217E">
      <w:pPr>
        <w:rPr>
          <w:rFonts w:cs="Arial"/>
        </w:rPr>
      </w:pPr>
    </w:p>
    <w:p w:rsidR="003C00D8" w:rsidRPr="009C7AF7" w:rsidRDefault="003C00D8" w:rsidP="0001217E">
      <w:pPr>
        <w:rPr>
          <w:rFonts w:cs="Arial"/>
        </w:rPr>
      </w:pPr>
      <w:r w:rsidRPr="009C7AF7">
        <w:rPr>
          <w:rFonts w:cs="Arial"/>
        </w:rPr>
        <w:t>GHG</w:t>
      </w:r>
      <w:r w:rsidRPr="009C7AF7">
        <w:rPr>
          <w:rFonts w:cs="Arial"/>
        </w:rPr>
        <w:tab/>
      </w:r>
      <w:r w:rsidRPr="009C7AF7">
        <w:rPr>
          <w:rFonts w:cs="Arial"/>
        </w:rPr>
        <w:tab/>
        <w:t>Green House Gases</w:t>
      </w:r>
    </w:p>
    <w:p w:rsidR="0001217E" w:rsidRPr="009C7AF7" w:rsidRDefault="0001217E" w:rsidP="0001217E">
      <w:pPr>
        <w:rPr>
          <w:rFonts w:cs="Arial"/>
        </w:rPr>
      </w:pPr>
    </w:p>
    <w:p w:rsidR="0001217E" w:rsidRPr="009C7AF7" w:rsidRDefault="0001217E" w:rsidP="0001217E">
      <w:pPr>
        <w:rPr>
          <w:rFonts w:cs="Arial"/>
        </w:rPr>
      </w:pPr>
      <w:r w:rsidRPr="009C7AF7">
        <w:rPr>
          <w:rFonts w:cs="Arial"/>
        </w:rPr>
        <w:t>GP</w:t>
      </w:r>
      <w:r w:rsidRPr="009C7AF7">
        <w:rPr>
          <w:rFonts w:cs="Arial"/>
        </w:rPr>
        <w:tab/>
      </w:r>
      <w:r w:rsidRPr="009C7AF7">
        <w:rPr>
          <w:rFonts w:cs="Arial"/>
        </w:rPr>
        <w:tab/>
        <w:t>G</w:t>
      </w:r>
      <w:r w:rsidRPr="009C7AF7">
        <w:t>eneral practitioner</w:t>
      </w:r>
    </w:p>
    <w:p w:rsidR="0001217E" w:rsidRPr="009C7AF7" w:rsidRDefault="0001217E" w:rsidP="0001217E">
      <w:pPr>
        <w:rPr>
          <w:rFonts w:cs="Arial"/>
        </w:rPr>
      </w:pPr>
    </w:p>
    <w:p w:rsidR="0001217E" w:rsidRPr="009C7AF7" w:rsidRDefault="0001217E" w:rsidP="0001217E">
      <w:pPr>
        <w:rPr>
          <w:rFonts w:cs="Arial"/>
        </w:rPr>
      </w:pPr>
      <w:r w:rsidRPr="009C7AF7">
        <w:rPr>
          <w:rFonts w:cs="Arial"/>
        </w:rPr>
        <w:t xml:space="preserve">IFRS </w:t>
      </w:r>
      <w:r w:rsidRPr="009C7AF7">
        <w:rPr>
          <w:rFonts w:cs="Arial"/>
        </w:rPr>
        <w:tab/>
      </w:r>
      <w:r w:rsidRPr="009C7AF7">
        <w:rPr>
          <w:rFonts w:cs="Arial"/>
        </w:rPr>
        <w:tab/>
        <w:t>International Financial Reporting Standards</w:t>
      </w:r>
    </w:p>
    <w:p w:rsidR="0001217E" w:rsidRPr="009C7AF7" w:rsidRDefault="0001217E" w:rsidP="0001217E">
      <w:pPr>
        <w:rPr>
          <w:rFonts w:cs="Arial"/>
        </w:rPr>
      </w:pPr>
    </w:p>
    <w:p w:rsidR="0001217E" w:rsidRPr="009C7AF7" w:rsidRDefault="0001217E" w:rsidP="0001217E">
      <w:pPr>
        <w:rPr>
          <w:rFonts w:cs="Arial"/>
        </w:rPr>
      </w:pPr>
      <w:r w:rsidRPr="009C7AF7">
        <w:rPr>
          <w:rFonts w:cs="Arial"/>
        </w:rPr>
        <w:t>ILM</w:t>
      </w:r>
      <w:r w:rsidRPr="009C7AF7">
        <w:rPr>
          <w:rFonts w:cs="Arial"/>
        </w:rPr>
        <w:tab/>
      </w:r>
      <w:r w:rsidRPr="009C7AF7">
        <w:rPr>
          <w:rFonts w:cs="Arial"/>
        </w:rPr>
        <w:tab/>
        <w:t>Institute of Leadership and Management</w:t>
      </w:r>
    </w:p>
    <w:p w:rsidR="0001217E" w:rsidRPr="009C7AF7" w:rsidRDefault="0001217E" w:rsidP="0001217E">
      <w:pPr>
        <w:rPr>
          <w:rFonts w:cs="Arial"/>
        </w:rPr>
      </w:pPr>
    </w:p>
    <w:p w:rsidR="0001217E" w:rsidRPr="009C7AF7" w:rsidRDefault="0001217E" w:rsidP="0001217E">
      <w:pPr>
        <w:rPr>
          <w:rFonts w:cs="Arial"/>
        </w:rPr>
      </w:pPr>
      <w:r w:rsidRPr="009C7AF7">
        <w:rPr>
          <w:rFonts w:cs="Arial"/>
        </w:rPr>
        <w:t xml:space="preserve">IM &amp; T </w:t>
      </w:r>
      <w:r w:rsidRPr="009C7AF7">
        <w:rPr>
          <w:rFonts w:cs="Arial"/>
        </w:rPr>
        <w:tab/>
      </w:r>
      <w:r w:rsidRPr="009C7AF7">
        <w:rPr>
          <w:rFonts w:cs="Arial"/>
        </w:rPr>
        <w:tab/>
        <w:t>Information Management and Technology</w:t>
      </w:r>
    </w:p>
    <w:p w:rsidR="0001217E" w:rsidRPr="009C7AF7" w:rsidRDefault="0001217E" w:rsidP="0001217E">
      <w:pPr>
        <w:rPr>
          <w:rFonts w:cs="Arial"/>
        </w:rPr>
      </w:pPr>
    </w:p>
    <w:p w:rsidR="0001217E" w:rsidRPr="009C7AF7" w:rsidRDefault="0001217E" w:rsidP="0001217E">
      <w:pPr>
        <w:rPr>
          <w:rFonts w:cs="Arial"/>
        </w:rPr>
      </w:pPr>
      <w:r w:rsidRPr="009C7AF7">
        <w:rPr>
          <w:rFonts w:cs="Arial"/>
        </w:rPr>
        <w:lastRenderedPageBreak/>
        <w:t xml:space="preserve">KPI </w:t>
      </w:r>
      <w:r w:rsidRPr="009C7AF7">
        <w:rPr>
          <w:rFonts w:cs="Arial"/>
        </w:rPr>
        <w:tab/>
      </w:r>
      <w:r w:rsidRPr="009C7AF7">
        <w:rPr>
          <w:rFonts w:cs="Arial"/>
        </w:rPr>
        <w:tab/>
        <w:t>Key Performance Indicator</w:t>
      </w:r>
    </w:p>
    <w:p w:rsidR="0001217E" w:rsidRPr="009C7AF7" w:rsidRDefault="0001217E" w:rsidP="0001217E">
      <w:pPr>
        <w:rPr>
          <w:rFonts w:cs="Arial"/>
        </w:rPr>
      </w:pPr>
    </w:p>
    <w:p w:rsidR="0001217E" w:rsidRPr="009C7AF7" w:rsidRDefault="0001217E" w:rsidP="0001217E">
      <w:pPr>
        <w:outlineLvl w:val="3"/>
        <w:rPr>
          <w:rFonts w:cs="Arial"/>
        </w:rPr>
      </w:pPr>
      <w:r w:rsidRPr="009C7AF7">
        <w:rPr>
          <w:rFonts w:cs="Arial"/>
        </w:rPr>
        <w:t>LED</w:t>
      </w:r>
      <w:r w:rsidRPr="009C7AF7">
        <w:rPr>
          <w:rFonts w:cs="Arial"/>
        </w:rPr>
        <w:tab/>
      </w:r>
      <w:r w:rsidRPr="009C7AF7">
        <w:rPr>
          <w:rFonts w:cs="Arial"/>
        </w:rPr>
        <w:tab/>
        <w:t>Light-emitting diode</w:t>
      </w:r>
    </w:p>
    <w:p w:rsidR="0001217E" w:rsidRPr="009C7AF7" w:rsidRDefault="0001217E" w:rsidP="0001217E">
      <w:pPr>
        <w:outlineLvl w:val="3"/>
        <w:rPr>
          <w:rFonts w:cs="Arial"/>
        </w:rPr>
      </w:pPr>
    </w:p>
    <w:p w:rsidR="0001217E" w:rsidRPr="009C7AF7" w:rsidRDefault="0001217E" w:rsidP="0001217E">
      <w:pPr>
        <w:outlineLvl w:val="3"/>
        <w:rPr>
          <w:rFonts w:cs="Arial"/>
        </w:rPr>
      </w:pPr>
      <w:r w:rsidRPr="009C7AF7">
        <w:rPr>
          <w:rFonts w:cs="Arial"/>
        </w:rPr>
        <w:t>LQAF</w:t>
      </w:r>
      <w:r w:rsidRPr="009C7AF7">
        <w:rPr>
          <w:rFonts w:cs="Arial"/>
        </w:rPr>
        <w:tab/>
      </w:r>
      <w:r w:rsidRPr="009C7AF7">
        <w:rPr>
          <w:rFonts w:cs="Arial"/>
        </w:rPr>
        <w:tab/>
        <w:t>NHS Library Quality Assurance Framework</w:t>
      </w:r>
    </w:p>
    <w:p w:rsidR="0001217E" w:rsidRPr="009C7AF7" w:rsidRDefault="0001217E" w:rsidP="0001217E">
      <w:pPr>
        <w:outlineLvl w:val="3"/>
        <w:rPr>
          <w:rFonts w:cs="Arial"/>
        </w:rPr>
      </w:pPr>
    </w:p>
    <w:p w:rsidR="0001217E" w:rsidRPr="009C7AF7" w:rsidRDefault="0001217E" w:rsidP="0001217E">
      <w:pPr>
        <w:outlineLvl w:val="3"/>
        <w:rPr>
          <w:rFonts w:cs="Arial"/>
        </w:rPr>
      </w:pPr>
      <w:r w:rsidRPr="009C7AF7">
        <w:rPr>
          <w:rFonts w:cs="Arial"/>
        </w:rPr>
        <w:t>LHRP</w:t>
      </w:r>
      <w:r w:rsidRPr="009C7AF7">
        <w:rPr>
          <w:rFonts w:cs="Arial"/>
        </w:rPr>
        <w:tab/>
      </w:r>
      <w:r w:rsidRPr="009C7AF7">
        <w:rPr>
          <w:rFonts w:cs="Arial"/>
        </w:rPr>
        <w:tab/>
        <w:t>Local Health Resilience Partnership</w:t>
      </w:r>
    </w:p>
    <w:p w:rsidR="0001217E" w:rsidRPr="009C7AF7" w:rsidRDefault="0001217E" w:rsidP="0001217E">
      <w:pPr>
        <w:outlineLvl w:val="3"/>
        <w:rPr>
          <w:rFonts w:cs="Arial"/>
        </w:rPr>
      </w:pPr>
    </w:p>
    <w:p w:rsidR="0001217E" w:rsidRPr="009C7AF7" w:rsidRDefault="0001217E" w:rsidP="0001217E">
      <w:pPr>
        <w:outlineLvl w:val="3"/>
        <w:rPr>
          <w:rFonts w:cs="Arial"/>
          <w:b/>
        </w:rPr>
      </w:pPr>
      <w:r w:rsidRPr="009C7AF7">
        <w:rPr>
          <w:rFonts w:cs="Arial"/>
        </w:rPr>
        <w:t xml:space="preserve">MRSA </w:t>
      </w:r>
      <w:r w:rsidRPr="009C7AF7">
        <w:rPr>
          <w:rFonts w:cs="Arial"/>
        </w:rPr>
        <w:tab/>
      </w:r>
      <w:r w:rsidRPr="009C7AF7">
        <w:rPr>
          <w:rFonts w:cs="Arial"/>
        </w:rPr>
        <w:tab/>
      </w:r>
      <w:hyperlink r:id="rId50" w:history="1">
        <w:r w:rsidRPr="009C7AF7">
          <w:rPr>
            <w:rStyle w:val="Emphasis"/>
            <w:rFonts w:cs="Arial"/>
            <w:b w:val="0"/>
            <w:bCs/>
            <w:iCs/>
            <w:color w:val="auto"/>
          </w:rPr>
          <w:t>Methicillin-resistant Staphylococcus Aureus</w:t>
        </w:r>
        <w:r w:rsidRPr="009C7AF7">
          <w:rPr>
            <w:rStyle w:val="Hyperlink"/>
            <w:rFonts w:cs="Arial"/>
            <w:b/>
            <w:color w:val="auto"/>
          </w:rPr>
          <w:t xml:space="preserve"> </w:t>
        </w:r>
      </w:hyperlink>
    </w:p>
    <w:p w:rsidR="0001217E" w:rsidRPr="009C7AF7" w:rsidRDefault="0001217E" w:rsidP="0001217E">
      <w:pPr>
        <w:rPr>
          <w:rFonts w:cs="Arial"/>
        </w:rPr>
      </w:pPr>
    </w:p>
    <w:p w:rsidR="0001217E" w:rsidRPr="009C7AF7" w:rsidRDefault="0001217E" w:rsidP="0001217E">
      <w:pPr>
        <w:rPr>
          <w:rFonts w:cs="Arial"/>
        </w:rPr>
      </w:pPr>
      <w:r w:rsidRPr="009C7AF7">
        <w:rPr>
          <w:rFonts w:cs="Arial"/>
        </w:rPr>
        <w:t xml:space="preserve">NICE </w:t>
      </w:r>
      <w:r w:rsidRPr="009C7AF7">
        <w:rPr>
          <w:rFonts w:cs="Arial"/>
        </w:rPr>
        <w:tab/>
      </w:r>
      <w:r w:rsidRPr="009C7AF7">
        <w:rPr>
          <w:rFonts w:cs="Arial"/>
        </w:rPr>
        <w:tab/>
        <w:t>National Institute for Health &amp; Clinical Excellence</w:t>
      </w:r>
    </w:p>
    <w:p w:rsidR="0001217E" w:rsidRPr="009C7AF7" w:rsidRDefault="0001217E" w:rsidP="0001217E">
      <w:pPr>
        <w:rPr>
          <w:rFonts w:cs="Arial"/>
        </w:rPr>
      </w:pPr>
    </w:p>
    <w:p w:rsidR="0001217E" w:rsidRPr="009C7AF7" w:rsidRDefault="0001217E" w:rsidP="0001217E">
      <w:pPr>
        <w:rPr>
          <w:rFonts w:cs="Arial"/>
        </w:rPr>
      </w:pPr>
      <w:r w:rsidRPr="009C7AF7">
        <w:rPr>
          <w:rFonts w:cs="Arial"/>
        </w:rPr>
        <w:t xml:space="preserve">NPSA </w:t>
      </w:r>
      <w:r w:rsidRPr="009C7AF7">
        <w:rPr>
          <w:rFonts w:cs="Arial"/>
        </w:rPr>
        <w:tab/>
      </w:r>
      <w:r w:rsidRPr="009C7AF7">
        <w:rPr>
          <w:rFonts w:cs="Arial"/>
        </w:rPr>
        <w:tab/>
        <w:t>National Patients Safety Agency</w:t>
      </w:r>
    </w:p>
    <w:p w:rsidR="0001217E" w:rsidRPr="009C7AF7" w:rsidRDefault="0001217E" w:rsidP="0001217E">
      <w:pPr>
        <w:rPr>
          <w:rFonts w:cs="Arial"/>
        </w:rPr>
      </w:pPr>
    </w:p>
    <w:p w:rsidR="0001217E" w:rsidRPr="009C7AF7" w:rsidRDefault="0001217E" w:rsidP="0001217E">
      <w:pPr>
        <w:rPr>
          <w:rFonts w:cs="Arial"/>
        </w:rPr>
      </w:pPr>
      <w:r w:rsidRPr="009C7AF7">
        <w:rPr>
          <w:rFonts w:cs="Arial"/>
        </w:rPr>
        <w:t>NHSTDA</w:t>
      </w:r>
      <w:r w:rsidRPr="009C7AF7">
        <w:rPr>
          <w:rFonts w:cs="Arial"/>
        </w:rPr>
        <w:tab/>
        <w:t>NHS Trust Development Authority</w:t>
      </w:r>
    </w:p>
    <w:p w:rsidR="0001217E" w:rsidRPr="009C7AF7" w:rsidRDefault="0001217E" w:rsidP="0001217E">
      <w:pPr>
        <w:rPr>
          <w:rFonts w:cs="Arial"/>
        </w:rPr>
      </w:pPr>
    </w:p>
    <w:p w:rsidR="0001217E" w:rsidRPr="009C7AF7" w:rsidRDefault="0001217E" w:rsidP="0001217E">
      <w:pPr>
        <w:rPr>
          <w:rFonts w:cs="Arial"/>
        </w:rPr>
      </w:pPr>
      <w:r w:rsidRPr="009C7AF7">
        <w:rPr>
          <w:rFonts w:cs="Arial"/>
        </w:rPr>
        <w:t xml:space="preserve">PALS </w:t>
      </w:r>
      <w:r w:rsidRPr="009C7AF7">
        <w:rPr>
          <w:rFonts w:cs="Arial"/>
        </w:rPr>
        <w:tab/>
      </w:r>
      <w:r w:rsidRPr="009C7AF7">
        <w:rPr>
          <w:rFonts w:cs="Arial"/>
        </w:rPr>
        <w:tab/>
        <w:t>Patient Advice &amp; Liaison Service</w:t>
      </w:r>
    </w:p>
    <w:p w:rsidR="0001217E" w:rsidRPr="009C7AF7" w:rsidRDefault="0001217E" w:rsidP="0001217E">
      <w:pPr>
        <w:rPr>
          <w:rFonts w:cs="Arial"/>
        </w:rPr>
      </w:pPr>
    </w:p>
    <w:p w:rsidR="0001217E" w:rsidRPr="009C7AF7" w:rsidRDefault="0001217E" w:rsidP="0001217E">
      <w:pPr>
        <w:rPr>
          <w:rFonts w:cs="Arial"/>
        </w:rPr>
      </w:pPr>
      <w:r w:rsidRPr="009C7AF7">
        <w:rPr>
          <w:rFonts w:cs="Arial"/>
        </w:rPr>
        <w:t>PPC</w:t>
      </w:r>
      <w:r w:rsidRPr="009C7AF7">
        <w:rPr>
          <w:rFonts w:cs="Arial"/>
        </w:rPr>
        <w:tab/>
      </w:r>
      <w:r w:rsidRPr="009C7AF7">
        <w:rPr>
          <w:rFonts w:cs="Arial"/>
        </w:rPr>
        <w:tab/>
        <w:t>Positive People Company</w:t>
      </w:r>
    </w:p>
    <w:p w:rsidR="0001217E" w:rsidRPr="009C7AF7" w:rsidRDefault="0001217E" w:rsidP="0001217E">
      <w:pPr>
        <w:rPr>
          <w:rFonts w:cs="Arial"/>
        </w:rPr>
      </w:pPr>
    </w:p>
    <w:p w:rsidR="0001217E" w:rsidRPr="009C7AF7" w:rsidRDefault="0001217E" w:rsidP="0001217E">
      <w:pPr>
        <w:rPr>
          <w:rFonts w:cs="Arial"/>
        </w:rPr>
      </w:pPr>
      <w:r w:rsidRPr="009C7AF7">
        <w:rPr>
          <w:rFonts w:cs="Arial"/>
        </w:rPr>
        <w:t xml:space="preserve">PRIDE </w:t>
      </w:r>
      <w:r w:rsidRPr="009C7AF7">
        <w:rPr>
          <w:rFonts w:cs="Arial"/>
        </w:rPr>
        <w:tab/>
        <w:t>Patients First, Recognise &amp; Respect, Invest in people, Delivery and Explain</w:t>
      </w:r>
    </w:p>
    <w:p w:rsidR="0001217E" w:rsidRPr="009C7AF7" w:rsidRDefault="0001217E" w:rsidP="0001217E">
      <w:pPr>
        <w:rPr>
          <w:rFonts w:cs="Arial"/>
        </w:rPr>
      </w:pPr>
    </w:p>
    <w:p w:rsidR="0001217E" w:rsidRPr="009C7AF7" w:rsidRDefault="0001217E" w:rsidP="0001217E">
      <w:pPr>
        <w:rPr>
          <w:rFonts w:cs="Arial"/>
        </w:rPr>
      </w:pPr>
      <w:r w:rsidRPr="009C7AF7">
        <w:rPr>
          <w:rFonts w:cs="Arial"/>
        </w:rPr>
        <w:t xml:space="preserve">QCF </w:t>
      </w:r>
      <w:r w:rsidRPr="009C7AF7">
        <w:rPr>
          <w:rFonts w:cs="Arial"/>
        </w:rPr>
        <w:tab/>
      </w:r>
      <w:r w:rsidRPr="009C7AF7">
        <w:rPr>
          <w:rFonts w:cs="Arial"/>
        </w:rPr>
        <w:tab/>
        <w:t>Qualifications &amp; Credit Framework</w:t>
      </w:r>
    </w:p>
    <w:p w:rsidR="0001217E" w:rsidRPr="009C7AF7" w:rsidRDefault="0001217E" w:rsidP="0001217E">
      <w:pPr>
        <w:rPr>
          <w:rFonts w:cs="Arial"/>
        </w:rPr>
      </w:pPr>
    </w:p>
    <w:p w:rsidR="0001217E" w:rsidRPr="009C7AF7" w:rsidRDefault="0001217E" w:rsidP="0001217E">
      <w:pPr>
        <w:rPr>
          <w:rFonts w:cs="Arial"/>
        </w:rPr>
      </w:pPr>
      <w:r w:rsidRPr="009C7AF7">
        <w:rPr>
          <w:rFonts w:cs="Arial"/>
        </w:rPr>
        <w:t>QIPP</w:t>
      </w:r>
      <w:r w:rsidRPr="009C7AF7">
        <w:rPr>
          <w:rFonts w:cs="Arial"/>
        </w:rPr>
        <w:tab/>
      </w:r>
      <w:r w:rsidRPr="009C7AF7">
        <w:rPr>
          <w:rFonts w:cs="Arial"/>
        </w:rPr>
        <w:tab/>
        <w:t xml:space="preserve">Quality, Innovation, Productivity &amp; Prevention </w:t>
      </w:r>
    </w:p>
    <w:p w:rsidR="0001217E" w:rsidRPr="009C7AF7" w:rsidRDefault="0001217E" w:rsidP="0001217E">
      <w:pPr>
        <w:rPr>
          <w:rFonts w:cs="Arial"/>
        </w:rPr>
      </w:pPr>
    </w:p>
    <w:p w:rsidR="0001217E" w:rsidRPr="009C7AF7" w:rsidRDefault="0001217E" w:rsidP="0001217E">
      <w:pPr>
        <w:rPr>
          <w:rFonts w:cs="Arial"/>
        </w:rPr>
      </w:pPr>
      <w:r w:rsidRPr="009C7AF7">
        <w:rPr>
          <w:rFonts w:cs="Arial"/>
        </w:rPr>
        <w:t>RTT</w:t>
      </w:r>
      <w:r w:rsidRPr="009C7AF7">
        <w:rPr>
          <w:rFonts w:cs="Arial"/>
        </w:rPr>
        <w:tab/>
      </w:r>
      <w:r w:rsidRPr="009C7AF7">
        <w:rPr>
          <w:rFonts w:cs="Arial"/>
        </w:rPr>
        <w:tab/>
        <w:t>Referral to treatment</w:t>
      </w:r>
    </w:p>
    <w:p w:rsidR="0001217E" w:rsidRPr="009C7AF7" w:rsidRDefault="0001217E" w:rsidP="0001217E">
      <w:pPr>
        <w:rPr>
          <w:rFonts w:cs="Arial"/>
        </w:rPr>
      </w:pPr>
    </w:p>
    <w:p w:rsidR="0001217E" w:rsidRPr="009C7AF7" w:rsidRDefault="0001217E" w:rsidP="0001217E">
      <w:pPr>
        <w:rPr>
          <w:rFonts w:cs="Arial"/>
        </w:rPr>
      </w:pPr>
      <w:r w:rsidRPr="009C7AF7">
        <w:rPr>
          <w:rFonts w:cs="Arial"/>
        </w:rPr>
        <w:t xml:space="preserve">VTE </w:t>
      </w:r>
      <w:r w:rsidRPr="009C7AF7">
        <w:rPr>
          <w:rFonts w:cs="Arial"/>
        </w:rPr>
        <w:tab/>
      </w:r>
      <w:r w:rsidRPr="009C7AF7">
        <w:rPr>
          <w:rFonts w:cs="Arial"/>
        </w:rPr>
        <w:tab/>
        <w:t>Venous Thromboembolism</w:t>
      </w:r>
    </w:p>
    <w:p w:rsidR="0001217E" w:rsidRPr="00B35296" w:rsidRDefault="0001217E" w:rsidP="0001217E">
      <w:pPr>
        <w:rPr>
          <w:rFonts w:cs="Arial"/>
          <w:color w:val="FF0000"/>
        </w:rPr>
      </w:pPr>
    </w:p>
    <w:p w:rsidR="0001217E" w:rsidRPr="00B35296" w:rsidRDefault="0001217E" w:rsidP="0001217E">
      <w:pPr>
        <w:rPr>
          <w:rFonts w:cs="Arial"/>
          <w:color w:val="FF0000"/>
        </w:rPr>
      </w:pPr>
    </w:p>
    <w:p w:rsidR="00F93ABB" w:rsidRPr="00093FBF" w:rsidRDefault="00F93ABB" w:rsidP="0014359B">
      <w:pPr>
        <w:rPr>
          <w:rFonts w:cs="Arial"/>
        </w:rPr>
      </w:pPr>
    </w:p>
    <w:sectPr w:rsidR="00F93ABB" w:rsidRPr="00093FBF" w:rsidSect="002D60D8">
      <w:pgSz w:w="12242" w:h="15842" w:code="1"/>
      <w:pgMar w:top="709" w:right="851" w:bottom="1440"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6212" w:rsidRDefault="00FA6212">
      <w:r>
        <w:separator/>
      </w:r>
    </w:p>
  </w:endnote>
  <w:endnote w:type="continuationSeparator" w:id="0">
    <w:p w:rsidR="00FA6212" w:rsidRDefault="00FA6212">
      <w:r>
        <w:continuationSeparator/>
      </w:r>
    </w:p>
  </w:endnote>
  <w:endnote w:id="1">
    <w:p w:rsidR="00FA6212" w:rsidRPr="0038513B" w:rsidRDefault="00FA6212" w:rsidP="00147FEA">
      <w:pPr>
        <w:pStyle w:val="EndnoteText"/>
        <w:rPr>
          <w:lang w:val="en-GB"/>
        </w:rPr>
      </w:pPr>
      <w:r>
        <w:rPr>
          <w:rStyle w:val="EndnoteReference"/>
        </w:rPr>
        <w:endnoteRef/>
      </w:r>
      <w:r>
        <w:t xml:space="preserve"> </w:t>
      </w:r>
      <w:hyperlink r:id="rId1" w:history="1">
        <w:r w:rsidRPr="0038513B">
          <w:rPr>
            <w:rStyle w:val="Hyperlink"/>
          </w:rPr>
          <w:t>N:\Governance guidance\Healthy NHS Board Principles for Good Governance.pdf</w:t>
        </w:r>
      </w:hyperlink>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Frutiger">
    <w:altName w:val="Century Gothic"/>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212" w:rsidRDefault="00FA6212" w:rsidP="006F70E4">
    <w:pPr>
      <w:spacing w:before="120"/>
      <w:jc w:val="right"/>
    </w:pPr>
    <w:r w:rsidRPr="00902D3F">
      <w:rPr>
        <w:b/>
        <w:color w:val="548DD4"/>
        <w:sz w:val="20"/>
        <w:szCs w:val="20"/>
      </w:rPr>
      <w:t xml:space="preserve">Weston Area Health NHS Trust – </w:t>
    </w:r>
    <w:r>
      <w:rPr>
        <w:b/>
        <w:color w:val="548DD4"/>
        <w:sz w:val="20"/>
        <w:szCs w:val="20"/>
      </w:rPr>
      <w:t xml:space="preserve">Annual Report 2013-14 </w:t>
    </w:r>
    <w:r w:rsidRPr="00D776E8">
      <w:rPr>
        <w:sz w:val="18"/>
        <w:szCs w:val="18"/>
      </w:rPr>
      <w:t xml:space="preserve">Page </w:t>
    </w:r>
    <w:r w:rsidRPr="00D776E8">
      <w:rPr>
        <w:sz w:val="18"/>
        <w:szCs w:val="18"/>
      </w:rPr>
      <w:fldChar w:fldCharType="begin"/>
    </w:r>
    <w:r w:rsidRPr="00D776E8">
      <w:rPr>
        <w:sz w:val="18"/>
        <w:szCs w:val="18"/>
      </w:rPr>
      <w:instrText xml:space="preserve"> PAGE </w:instrText>
    </w:r>
    <w:r w:rsidRPr="00D776E8">
      <w:rPr>
        <w:sz w:val="18"/>
        <w:szCs w:val="18"/>
      </w:rPr>
      <w:fldChar w:fldCharType="separate"/>
    </w:r>
    <w:r w:rsidR="00F557EF">
      <w:rPr>
        <w:noProof/>
        <w:sz w:val="18"/>
        <w:szCs w:val="18"/>
      </w:rPr>
      <w:t>2</w:t>
    </w:r>
    <w:r w:rsidRPr="00D776E8">
      <w:rPr>
        <w:sz w:val="18"/>
        <w:szCs w:val="18"/>
      </w:rPr>
      <w:fldChar w:fldCharType="end"/>
    </w:r>
    <w:r w:rsidRPr="00D776E8">
      <w:rPr>
        <w:sz w:val="18"/>
        <w:szCs w:val="18"/>
      </w:rPr>
      <w:t xml:space="preserve"> of </w:t>
    </w:r>
    <w:r w:rsidRPr="00D776E8">
      <w:rPr>
        <w:sz w:val="18"/>
        <w:szCs w:val="18"/>
      </w:rPr>
      <w:fldChar w:fldCharType="begin"/>
    </w:r>
    <w:r w:rsidRPr="00D776E8">
      <w:rPr>
        <w:sz w:val="18"/>
        <w:szCs w:val="18"/>
      </w:rPr>
      <w:instrText xml:space="preserve"> NUMPAGES  </w:instrText>
    </w:r>
    <w:r w:rsidRPr="00D776E8">
      <w:rPr>
        <w:sz w:val="18"/>
        <w:szCs w:val="18"/>
      </w:rPr>
      <w:fldChar w:fldCharType="separate"/>
    </w:r>
    <w:r w:rsidR="00F557EF">
      <w:rPr>
        <w:noProof/>
        <w:sz w:val="18"/>
        <w:szCs w:val="18"/>
      </w:rPr>
      <w:t>70</w:t>
    </w:r>
    <w:r w:rsidRPr="00D776E8">
      <w:rPr>
        <w:sz w:val="18"/>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212" w:rsidRPr="00816711" w:rsidRDefault="00FA6212" w:rsidP="00816711">
    <w:pPr>
      <w:pStyle w:val="Footer"/>
      <w:jc w:val="center"/>
      <w:rPr>
        <w:b/>
        <w:color w:val="548DD4"/>
        <w:sz w:val="20"/>
        <w:szCs w:val="20"/>
      </w:rPr>
    </w:pPr>
    <w:r w:rsidRPr="00D776E8">
      <w:rPr>
        <w:sz w:val="18"/>
        <w:szCs w:val="18"/>
      </w:rPr>
      <w:t xml:space="preserve">Page </w:t>
    </w:r>
    <w:r w:rsidRPr="00D776E8">
      <w:rPr>
        <w:sz w:val="18"/>
        <w:szCs w:val="18"/>
      </w:rPr>
      <w:fldChar w:fldCharType="begin"/>
    </w:r>
    <w:r w:rsidRPr="00D776E8">
      <w:rPr>
        <w:sz w:val="18"/>
        <w:szCs w:val="18"/>
      </w:rPr>
      <w:instrText xml:space="preserve"> PAGE </w:instrText>
    </w:r>
    <w:r w:rsidRPr="00D776E8">
      <w:rPr>
        <w:sz w:val="18"/>
        <w:szCs w:val="18"/>
      </w:rPr>
      <w:fldChar w:fldCharType="separate"/>
    </w:r>
    <w:r w:rsidR="00F557EF">
      <w:rPr>
        <w:noProof/>
        <w:sz w:val="18"/>
        <w:szCs w:val="18"/>
      </w:rPr>
      <w:t>1</w:t>
    </w:r>
    <w:r w:rsidRPr="00D776E8">
      <w:rPr>
        <w:sz w:val="18"/>
        <w:szCs w:val="18"/>
      </w:rPr>
      <w:fldChar w:fldCharType="end"/>
    </w:r>
    <w:r w:rsidRPr="00D776E8">
      <w:rPr>
        <w:sz w:val="18"/>
        <w:szCs w:val="18"/>
      </w:rPr>
      <w:t xml:space="preserve"> of </w:t>
    </w:r>
    <w:r w:rsidRPr="00D776E8">
      <w:rPr>
        <w:sz w:val="18"/>
        <w:szCs w:val="18"/>
      </w:rPr>
      <w:fldChar w:fldCharType="begin"/>
    </w:r>
    <w:r w:rsidRPr="00D776E8">
      <w:rPr>
        <w:sz w:val="18"/>
        <w:szCs w:val="18"/>
      </w:rPr>
      <w:instrText xml:space="preserve"> NUMPAGES  </w:instrText>
    </w:r>
    <w:r w:rsidRPr="00D776E8">
      <w:rPr>
        <w:sz w:val="18"/>
        <w:szCs w:val="18"/>
      </w:rPr>
      <w:fldChar w:fldCharType="separate"/>
    </w:r>
    <w:r w:rsidR="00F557EF">
      <w:rPr>
        <w:noProof/>
        <w:sz w:val="18"/>
        <w:szCs w:val="18"/>
      </w:rPr>
      <w:t>70</w:t>
    </w:r>
    <w:r w:rsidRPr="00D776E8">
      <w:rPr>
        <w:sz w:val="18"/>
        <w:szCs w:val="18"/>
      </w:rPr>
      <w:fldChar w:fldCharType="end"/>
    </w:r>
    <w:r>
      <w:rPr>
        <w:sz w:val="18"/>
        <w:szCs w:val="18"/>
      </w:rPr>
      <w:t xml:space="preserve">                                                                             </w:t>
    </w:r>
    <w:r w:rsidRPr="00902D3F">
      <w:rPr>
        <w:b/>
        <w:color w:val="548DD4"/>
        <w:sz w:val="20"/>
        <w:szCs w:val="20"/>
      </w:rPr>
      <w:t xml:space="preserve">Weston Area Health NHS Trust – </w:t>
    </w:r>
    <w:r>
      <w:rPr>
        <w:b/>
        <w:color w:val="548DD4"/>
        <w:sz w:val="20"/>
        <w:szCs w:val="20"/>
      </w:rPr>
      <w:t>Annual Report 2014-15</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000"/>
    </w:tblPr>
    <w:tblGrid>
      <w:gridCol w:w="8752"/>
    </w:tblGrid>
    <w:tr w:rsidR="00FA6212" w:rsidRPr="008270E0">
      <w:trPr>
        <w:trHeight w:val="726"/>
      </w:trPr>
      <w:tc>
        <w:tcPr>
          <w:tcW w:w="8752" w:type="dxa"/>
        </w:tcPr>
        <w:p w:rsidR="00FA6212" w:rsidRPr="008270E0" w:rsidRDefault="00FA6212" w:rsidP="00D63D4E">
          <w:pPr>
            <w:pStyle w:val="TOC1"/>
          </w:pPr>
        </w:p>
      </w:tc>
    </w:tr>
  </w:tbl>
  <w:p w:rsidR="00FA6212" w:rsidRDefault="00FA621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6212" w:rsidRDefault="00FA6212">
      <w:r>
        <w:separator/>
      </w:r>
    </w:p>
  </w:footnote>
  <w:footnote w:type="continuationSeparator" w:id="0">
    <w:p w:rsidR="00FA6212" w:rsidRDefault="00FA621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212" w:rsidRPr="00E30BCC" w:rsidRDefault="00FA6212" w:rsidP="00E30BCC">
    <w:pPr>
      <w:pStyle w:val="Header"/>
      <w:tabs>
        <w:tab w:val="left" w:pos="10080"/>
      </w:tabs>
      <w:rPr>
        <w:rFonts w:cs="Arial"/>
        <w:b/>
        <w:sz w:val="20"/>
        <w:szCs w:val="20"/>
        <w:u w:val="singl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D6FED"/>
    <w:multiLevelType w:val="hybridMultilevel"/>
    <w:tmpl w:val="59E40C9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1109D5"/>
    <w:multiLevelType w:val="hybridMultilevel"/>
    <w:tmpl w:val="E6C01A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D0E14BE"/>
    <w:multiLevelType w:val="hybridMultilevel"/>
    <w:tmpl w:val="E5848854"/>
    <w:lvl w:ilvl="0" w:tplc="5FF4996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F46FB2"/>
    <w:multiLevelType w:val="hybridMultilevel"/>
    <w:tmpl w:val="C9763E50"/>
    <w:lvl w:ilvl="0" w:tplc="87A2EC64">
      <w:start w:val="1"/>
      <w:numFmt w:val="bullet"/>
      <w:pStyle w:val="Bullet"/>
      <w:lvlText w:val="■"/>
      <w:lvlJc w:val="left"/>
      <w:pPr>
        <w:tabs>
          <w:tab w:val="num" w:pos="1644"/>
        </w:tabs>
        <w:ind w:left="1644" w:hanging="567"/>
      </w:pPr>
      <w:rPr>
        <w:rFonts w:hint="default"/>
        <w:color w:val="auto"/>
      </w:rPr>
    </w:lvl>
    <w:lvl w:ilvl="1" w:tplc="08090001">
      <w:start w:val="1"/>
      <w:numFmt w:val="bullet"/>
      <w:lvlText w:val=""/>
      <w:lvlJc w:val="left"/>
      <w:pPr>
        <w:tabs>
          <w:tab w:val="num" w:pos="1440"/>
        </w:tabs>
        <w:ind w:left="1440" w:hanging="360"/>
      </w:pPr>
      <w:rPr>
        <w:rFonts w:ascii="Symbol" w:hAnsi="Symbol" w:hint="default"/>
        <w:color w:val="auto"/>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nsid w:val="115C1E6A"/>
    <w:multiLevelType w:val="hybridMultilevel"/>
    <w:tmpl w:val="1ADA5D66"/>
    <w:lvl w:ilvl="0" w:tplc="08090003">
      <w:start w:val="1"/>
      <w:numFmt w:val="bullet"/>
      <w:lvlText w:val="o"/>
      <w:lvlJc w:val="left"/>
      <w:pPr>
        <w:tabs>
          <w:tab w:val="num" w:pos="720"/>
        </w:tabs>
        <w:ind w:left="720" w:hanging="360"/>
      </w:pPr>
      <w:rPr>
        <w:rFonts w:ascii="Courier New" w:hAnsi="Courier New" w:cs="Courier New" w:hint="default"/>
      </w:rPr>
    </w:lvl>
    <w:lvl w:ilvl="1" w:tplc="D49AB9B2" w:tentative="1">
      <w:start w:val="1"/>
      <w:numFmt w:val="bullet"/>
      <w:lvlText w:val="•"/>
      <w:lvlJc w:val="left"/>
      <w:pPr>
        <w:tabs>
          <w:tab w:val="num" w:pos="1440"/>
        </w:tabs>
        <w:ind w:left="1440" w:hanging="360"/>
      </w:pPr>
      <w:rPr>
        <w:rFonts w:ascii="Arial" w:hAnsi="Arial" w:hint="default"/>
      </w:rPr>
    </w:lvl>
    <w:lvl w:ilvl="2" w:tplc="8578E4EC" w:tentative="1">
      <w:start w:val="1"/>
      <w:numFmt w:val="bullet"/>
      <w:lvlText w:val="•"/>
      <w:lvlJc w:val="left"/>
      <w:pPr>
        <w:tabs>
          <w:tab w:val="num" w:pos="2160"/>
        </w:tabs>
        <w:ind w:left="2160" w:hanging="360"/>
      </w:pPr>
      <w:rPr>
        <w:rFonts w:ascii="Arial" w:hAnsi="Arial" w:hint="default"/>
      </w:rPr>
    </w:lvl>
    <w:lvl w:ilvl="3" w:tplc="EC504124" w:tentative="1">
      <w:start w:val="1"/>
      <w:numFmt w:val="bullet"/>
      <w:lvlText w:val="•"/>
      <w:lvlJc w:val="left"/>
      <w:pPr>
        <w:tabs>
          <w:tab w:val="num" w:pos="2880"/>
        </w:tabs>
        <w:ind w:left="2880" w:hanging="360"/>
      </w:pPr>
      <w:rPr>
        <w:rFonts w:ascii="Arial" w:hAnsi="Arial" w:hint="default"/>
      </w:rPr>
    </w:lvl>
    <w:lvl w:ilvl="4" w:tplc="63A2AEC6" w:tentative="1">
      <w:start w:val="1"/>
      <w:numFmt w:val="bullet"/>
      <w:lvlText w:val="•"/>
      <w:lvlJc w:val="left"/>
      <w:pPr>
        <w:tabs>
          <w:tab w:val="num" w:pos="3600"/>
        </w:tabs>
        <w:ind w:left="3600" w:hanging="360"/>
      </w:pPr>
      <w:rPr>
        <w:rFonts w:ascii="Arial" w:hAnsi="Arial" w:hint="default"/>
      </w:rPr>
    </w:lvl>
    <w:lvl w:ilvl="5" w:tplc="55AE9084" w:tentative="1">
      <w:start w:val="1"/>
      <w:numFmt w:val="bullet"/>
      <w:lvlText w:val="•"/>
      <w:lvlJc w:val="left"/>
      <w:pPr>
        <w:tabs>
          <w:tab w:val="num" w:pos="4320"/>
        </w:tabs>
        <w:ind w:left="4320" w:hanging="360"/>
      </w:pPr>
      <w:rPr>
        <w:rFonts w:ascii="Arial" w:hAnsi="Arial" w:hint="default"/>
      </w:rPr>
    </w:lvl>
    <w:lvl w:ilvl="6" w:tplc="866A0016" w:tentative="1">
      <w:start w:val="1"/>
      <w:numFmt w:val="bullet"/>
      <w:lvlText w:val="•"/>
      <w:lvlJc w:val="left"/>
      <w:pPr>
        <w:tabs>
          <w:tab w:val="num" w:pos="5040"/>
        </w:tabs>
        <w:ind w:left="5040" w:hanging="360"/>
      </w:pPr>
      <w:rPr>
        <w:rFonts w:ascii="Arial" w:hAnsi="Arial" w:hint="default"/>
      </w:rPr>
    </w:lvl>
    <w:lvl w:ilvl="7" w:tplc="CE02C2E2" w:tentative="1">
      <w:start w:val="1"/>
      <w:numFmt w:val="bullet"/>
      <w:lvlText w:val="•"/>
      <w:lvlJc w:val="left"/>
      <w:pPr>
        <w:tabs>
          <w:tab w:val="num" w:pos="5760"/>
        </w:tabs>
        <w:ind w:left="5760" w:hanging="360"/>
      </w:pPr>
      <w:rPr>
        <w:rFonts w:ascii="Arial" w:hAnsi="Arial" w:hint="default"/>
      </w:rPr>
    </w:lvl>
    <w:lvl w:ilvl="8" w:tplc="FFC8261E" w:tentative="1">
      <w:start w:val="1"/>
      <w:numFmt w:val="bullet"/>
      <w:lvlText w:val="•"/>
      <w:lvlJc w:val="left"/>
      <w:pPr>
        <w:tabs>
          <w:tab w:val="num" w:pos="6480"/>
        </w:tabs>
        <w:ind w:left="6480" w:hanging="360"/>
      </w:pPr>
      <w:rPr>
        <w:rFonts w:ascii="Arial" w:hAnsi="Arial" w:hint="default"/>
      </w:rPr>
    </w:lvl>
  </w:abstractNum>
  <w:abstractNum w:abstractNumId="5">
    <w:nsid w:val="161F532C"/>
    <w:multiLevelType w:val="hybridMultilevel"/>
    <w:tmpl w:val="6F020184"/>
    <w:lvl w:ilvl="0" w:tplc="45AEABC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8B51FA0"/>
    <w:multiLevelType w:val="hybridMultilevel"/>
    <w:tmpl w:val="1006F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C807E3A"/>
    <w:multiLevelType w:val="hybridMultilevel"/>
    <w:tmpl w:val="C4CEB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DED54F2"/>
    <w:multiLevelType w:val="hybridMultilevel"/>
    <w:tmpl w:val="0FCEC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7674726"/>
    <w:multiLevelType w:val="hybridMultilevel"/>
    <w:tmpl w:val="67744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A1D6249"/>
    <w:multiLevelType w:val="hybridMultilevel"/>
    <w:tmpl w:val="AE1E5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E9A7E6D"/>
    <w:multiLevelType w:val="hybridMultilevel"/>
    <w:tmpl w:val="E39EE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F131E01"/>
    <w:multiLevelType w:val="singleLevel"/>
    <w:tmpl w:val="5094AA62"/>
    <w:lvl w:ilvl="0">
      <w:start w:val="1"/>
      <w:numFmt w:val="decimal"/>
      <w:pStyle w:val="MFAAnnex"/>
      <w:lvlText w:val="%1."/>
      <w:lvlJc w:val="left"/>
      <w:pPr>
        <w:tabs>
          <w:tab w:val="num" w:pos="360"/>
        </w:tabs>
        <w:ind w:left="360" w:hanging="360"/>
      </w:pPr>
      <w:rPr>
        <w:rFonts w:cs="Times New Roman" w:hint="default"/>
        <w:b w:val="0"/>
        <w:i w:val="0"/>
        <w:color w:val="auto"/>
      </w:rPr>
    </w:lvl>
  </w:abstractNum>
  <w:abstractNum w:abstractNumId="13">
    <w:nsid w:val="321F7D10"/>
    <w:multiLevelType w:val="hybridMultilevel"/>
    <w:tmpl w:val="55028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2970E00"/>
    <w:multiLevelType w:val="hybridMultilevel"/>
    <w:tmpl w:val="95B23A54"/>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37921B9C"/>
    <w:multiLevelType w:val="hybridMultilevel"/>
    <w:tmpl w:val="E3ACF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A1D20E8"/>
    <w:multiLevelType w:val="hybridMultilevel"/>
    <w:tmpl w:val="2C9A7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D261E01"/>
    <w:multiLevelType w:val="hybridMultilevel"/>
    <w:tmpl w:val="9ED25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ED127D1"/>
    <w:multiLevelType w:val="hybridMultilevel"/>
    <w:tmpl w:val="67E2B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FA276CC"/>
    <w:multiLevelType w:val="hybridMultilevel"/>
    <w:tmpl w:val="3578A114"/>
    <w:lvl w:ilvl="0" w:tplc="04090007">
      <w:start w:val="1"/>
      <w:numFmt w:val="bullet"/>
      <w:lvlText w:val=""/>
      <w:lvlJc w:val="left"/>
      <w:pPr>
        <w:tabs>
          <w:tab w:val="num" w:pos="720"/>
        </w:tabs>
        <w:ind w:left="720" w:hanging="360"/>
      </w:pPr>
      <w:rPr>
        <w:rFonts w:ascii="Wingdings" w:hAnsi="Wingdings" w:hint="default"/>
        <w:sz w:val="1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404A1F7C"/>
    <w:multiLevelType w:val="hybridMultilevel"/>
    <w:tmpl w:val="37C62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1686A7C"/>
    <w:multiLevelType w:val="hybridMultilevel"/>
    <w:tmpl w:val="064A8FA2"/>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2">
    <w:nsid w:val="448A23B2"/>
    <w:multiLevelType w:val="hybridMultilevel"/>
    <w:tmpl w:val="48C4E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E0B4540"/>
    <w:multiLevelType w:val="hybridMultilevel"/>
    <w:tmpl w:val="EDD80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E4211BC"/>
    <w:multiLevelType w:val="hybridMultilevel"/>
    <w:tmpl w:val="389C0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28A3B46"/>
    <w:multiLevelType w:val="hybridMultilevel"/>
    <w:tmpl w:val="67B6288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nsid w:val="531D504F"/>
    <w:multiLevelType w:val="hybridMultilevel"/>
    <w:tmpl w:val="3C169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52E0DC1"/>
    <w:multiLevelType w:val="singleLevel"/>
    <w:tmpl w:val="1048F030"/>
    <w:lvl w:ilvl="0">
      <w:start w:val="1"/>
      <w:numFmt w:val="bullet"/>
      <w:pStyle w:val="09ACBullet"/>
      <w:lvlText w:val=""/>
      <w:lvlJc w:val="left"/>
      <w:pPr>
        <w:tabs>
          <w:tab w:val="num" w:pos="1491"/>
        </w:tabs>
        <w:ind w:left="1491" w:hanging="357"/>
      </w:pPr>
      <w:rPr>
        <w:rFonts w:ascii="Symbol" w:hAnsi="Symbol" w:hint="default"/>
        <w:color w:val="083863"/>
      </w:rPr>
    </w:lvl>
  </w:abstractNum>
  <w:abstractNum w:abstractNumId="28">
    <w:nsid w:val="56F4059A"/>
    <w:multiLevelType w:val="hybridMultilevel"/>
    <w:tmpl w:val="24A41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77B45B0"/>
    <w:multiLevelType w:val="hybridMultilevel"/>
    <w:tmpl w:val="7262A2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6C03122"/>
    <w:multiLevelType w:val="hybridMultilevel"/>
    <w:tmpl w:val="2CB0A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E67232E"/>
    <w:multiLevelType w:val="hybridMultilevel"/>
    <w:tmpl w:val="B92C5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F206A04"/>
    <w:multiLevelType w:val="hybridMultilevel"/>
    <w:tmpl w:val="E14A64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nsid w:val="70276548"/>
    <w:multiLevelType w:val="hybridMultilevel"/>
    <w:tmpl w:val="8F460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68A5CC4"/>
    <w:multiLevelType w:val="hybridMultilevel"/>
    <w:tmpl w:val="2D3820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A347DDC"/>
    <w:multiLevelType w:val="hybridMultilevel"/>
    <w:tmpl w:val="64CA1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BFB224D"/>
    <w:multiLevelType w:val="hybridMultilevel"/>
    <w:tmpl w:val="56A2D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E25311C"/>
    <w:multiLevelType w:val="hybridMultilevel"/>
    <w:tmpl w:val="53569D26"/>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num w:numId="1">
    <w:abstractNumId w:val="12"/>
  </w:num>
  <w:num w:numId="2">
    <w:abstractNumId w:val="37"/>
  </w:num>
  <w:num w:numId="3">
    <w:abstractNumId w:val="3"/>
  </w:num>
  <w:num w:numId="4">
    <w:abstractNumId w:val="27"/>
  </w:num>
  <w:num w:numId="5">
    <w:abstractNumId w:val="14"/>
  </w:num>
  <w:num w:numId="6">
    <w:abstractNumId w:val="1"/>
  </w:num>
  <w:num w:numId="7">
    <w:abstractNumId w:val="19"/>
  </w:num>
  <w:num w:numId="8">
    <w:abstractNumId w:val="0"/>
  </w:num>
  <w:num w:numId="9">
    <w:abstractNumId w:val="33"/>
  </w:num>
  <w:num w:numId="10">
    <w:abstractNumId w:val="6"/>
  </w:num>
  <w:num w:numId="11">
    <w:abstractNumId w:val="21"/>
  </w:num>
  <w:num w:numId="12">
    <w:abstractNumId w:val="30"/>
  </w:num>
  <w:num w:numId="13">
    <w:abstractNumId w:val="31"/>
  </w:num>
  <w:num w:numId="14">
    <w:abstractNumId w:val="15"/>
  </w:num>
  <w:num w:numId="15">
    <w:abstractNumId w:val="17"/>
  </w:num>
  <w:num w:numId="16">
    <w:abstractNumId w:val="36"/>
  </w:num>
  <w:num w:numId="17">
    <w:abstractNumId w:val="26"/>
  </w:num>
  <w:num w:numId="18">
    <w:abstractNumId w:val="22"/>
  </w:num>
  <w:num w:numId="19">
    <w:abstractNumId w:val="9"/>
  </w:num>
  <w:num w:numId="20">
    <w:abstractNumId w:val="18"/>
  </w:num>
  <w:num w:numId="21">
    <w:abstractNumId w:val="13"/>
  </w:num>
  <w:num w:numId="22">
    <w:abstractNumId w:val="35"/>
  </w:num>
  <w:num w:numId="23">
    <w:abstractNumId w:val="34"/>
  </w:num>
  <w:num w:numId="24">
    <w:abstractNumId w:val="16"/>
  </w:num>
  <w:num w:numId="25">
    <w:abstractNumId w:val="24"/>
  </w:num>
  <w:num w:numId="26">
    <w:abstractNumId w:val="11"/>
  </w:num>
  <w:num w:numId="27">
    <w:abstractNumId w:val="20"/>
  </w:num>
  <w:num w:numId="28">
    <w:abstractNumId w:val="32"/>
  </w:num>
  <w:num w:numId="29">
    <w:abstractNumId w:val="23"/>
  </w:num>
  <w:num w:numId="30">
    <w:abstractNumId w:val="2"/>
  </w:num>
  <w:num w:numId="31">
    <w:abstractNumId w:val="4"/>
  </w:num>
  <w:num w:numId="32">
    <w:abstractNumId w:val="29"/>
  </w:num>
  <w:num w:numId="33">
    <w:abstractNumId w:val="28"/>
  </w:num>
  <w:num w:numId="3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10"/>
  </w:num>
  <w:num w:numId="38">
    <w:abstractNumId w:val="8"/>
  </w:num>
  <w:num w:numId="39">
    <w:abstractNumId w:val="25"/>
  </w:num>
  <w:num w:numId="40">
    <w:abstractNumId w:val="7"/>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stylePaneFormatFilter w:val="3F01"/>
  <w:defaultTabStop w:val="720"/>
  <w:evenAndOddHeaders/>
  <w:drawingGridHorizontalSpacing w:val="110"/>
  <w:displayHorizontalDrawingGridEvery w:val="2"/>
  <w:characterSpacingControl w:val="doNotCompress"/>
  <w:footnotePr>
    <w:footnote w:id="-1"/>
    <w:footnote w:id="0"/>
  </w:footnotePr>
  <w:endnotePr>
    <w:endnote w:id="-1"/>
    <w:endnote w:id="0"/>
  </w:endnotePr>
  <w:compat/>
  <w:rsids>
    <w:rsidRoot w:val="00B5456D"/>
    <w:rsid w:val="00000B9A"/>
    <w:rsid w:val="000026E9"/>
    <w:rsid w:val="0000291C"/>
    <w:rsid w:val="00003AAA"/>
    <w:rsid w:val="00004ADB"/>
    <w:rsid w:val="00006144"/>
    <w:rsid w:val="00006179"/>
    <w:rsid w:val="000069FE"/>
    <w:rsid w:val="0000758B"/>
    <w:rsid w:val="000103FE"/>
    <w:rsid w:val="00011A63"/>
    <w:rsid w:val="0001217E"/>
    <w:rsid w:val="00013F67"/>
    <w:rsid w:val="0001474D"/>
    <w:rsid w:val="00015FDE"/>
    <w:rsid w:val="000169D4"/>
    <w:rsid w:val="00017651"/>
    <w:rsid w:val="00022A69"/>
    <w:rsid w:val="00025AA0"/>
    <w:rsid w:val="00026310"/>
    <w:rsid w:val="000263DE"/>
    <w:rsid w:val="00026FBA"/>
    <w:rsid w:val="0003550F"/>
    <w:rsid w:val="00036862"/>
    <w:rsid w:val="00037373"/>
    <w:rsid w:val="0004000D"/>
    <w:rsid w:val="000403A9"/>
    <w:rsid w:val="00041391"/>
    <w:rsid w:val="000413E8"/>
    <w:rsid w:val="000419CA"/>
    <w:rsid w:val="000420BE"/>
    <w:rsid w:val="00042766"/>
    <w:rsid w:val="00043355"/>
    <w:rsid w:val="00043692"/>
    <w:rsid w:val="0004430D"/>
    <w:rsid w:val="000449CA"/>
    <w:rsid w:val="00045309"/>
    <w:rsid w:val="00045C28"/>
    <w:rsid w:val="0004675E"/>
    <w:rsid w:val="000474F4"/>
    <w:rsid w:val="00047CAA"/>
    <w:rsid w:val="00050A4D"/>
    <w:rsid w:val="00050FD2"/>
    <w:rsid w:val="00054B61"/>
    <w:rsid w:val="000558FF"/>
    <w:rsid w:val="00057A32"/>
    <w:rsid w:val="00060093"/>
    <w:rsid w:val="00061332"/>
    <w:rsid w:val="00062F91"/>
    <w:rsid w:val="000635BA"/>
    <w:rsid w:val="00064F7D"/>
    <w:rsid w:val="00066509"/>
    <w:rsid w:val="000666EC"/>
    <w:rsid w:val="00066866"/>
    <w:rsid w:val="00066888"/>
    <w:rsid w:val="000708C9"/>
    <w:rsid w:val="00070A92"/>
    <w:rsid w:val="0007118E"/>
    <w:rsid w:val="000711FD"/>
    <w:rsid w:val="00074432"/>
    <w:rsid w:val="00077BDC"/>
    <w:rsid w:val="000804B5"/>
    <w:rsid w:val="00080746"/>
    <w:rsid w:val="00085C98"/>
    <w:rsid w:val="0008675F"/>
    <w:rsid w:val="00092D3C"/>
    <w:rsid w:val="00092DCD"/>
    <w:rsid w:val="000931BD"/>
    <w:rsid w:val="00093BEB"/>
    <w:rsid w:val="00093C5A"/>
    <w:rsid w:val="00093FBF"/>
    <w:rsid w:val="000947BA"/>
    <w:rsid w:val="00095B4E"/>
    <w:rsid w:val="00096115"/>
    <w:rsid w:val="000A2D82"/>
    <w:rsid w:val="000B0365"/>
    <w:rsid w:val="000B3015"/>
    <w:rsid w:val="000B389B"/>
    <w:rsid w:val="000B3C17"/>
    <w:rsid w:val="000B3C7B"/>
    <w:rsid w:val="000B7DDB"/>
    <w:rsid w:val="000C0624"/>
    <w:rsid w:val="000C1CE9"/>
    <w:rsid w:val="000C3F45"/>
    <w:rsid w:val="000C431E"/>
    <w:rsid w:val="000C5939"/>
    <w:rsid w:val="000C5E25"/>
    <w:rsid w:val="000C6E42"/>
    <w:rsid w:val="000D05DD"/>
    <w:rsid w:val="000D2AAE"/>
    <w:rsid w:val="000D6238"/>
    <w:rsid w:val="000D7E3B"/>
    <w:rsid w:val="000E4325"/>
    <w:rsid w:val="000E5EEA"/>
    <w:rsid w:val="000E6001"/>
    <w:rsid w:val="000E64D6"/>
    <w:rsid w:val="000E7180"/>
    <w:rsid w:val="000E786D"/>
    <w:rsid w:val="000F3753"/>
    <w:rsid w:val="000F4399"/>
    <w:rsid w:val="000F44D9"/>
    <w:rsid w:val="000F78D9"/>
    <w:rsid w:val="000F7BC7"/>
    <w:rsid w:val="00100F24"/>
    <w:rsid w:val="00105CE3"/>
    <w:rsid w:val="00105F9B"/>
    <w:rsid w:val="00107F20"/>
    <w:rsid w:val="001108C4"/>
    <w:rsid w:val="00110BDB"/>
    <w:rsid w:val="00113F2F"/>
    <w:rsid w:val="001153E3"/>
    <w:rsid w:val="001159B9"/>
    <w:rsid w:val="00115DCD"/>
    <w:rsid w:val="00117774"/>
    <w:rsid w:val="00122EFE"/>
    <w:rsid w:val="00123B0F"/>
    <w:rsid w:val="0012437B"/>
    <w:rsid w:val="00124599"/>
    <w:rsid w:val="001335B5"/>
    <w:rsid w:val="001346F7"/>
    <w:rsid w:val="00135F8B"/>
    <w:rsid w:val="001364DC"/>
    <w:rsid w:val="0013650B"/>
    <w:rsid w:val="001403F9"/>
    <w:rsid w:val="001427A2"/>
    <w:rsid w:val="0014359B"/>
    <w:rsid w:val="0014497F"/>
    <w:rsid w:val="00144A10"/>
    <w:rsid w:val="0014517C"/>
    <w:rsid w:val="0014757E"/>
    <w:rsid w:val="00147FEA"/>
    <w:rsid w:val="0015049D"/>
    <w:rsid w:val="0015095A"/>
    <w:rsid w:val="001511CF"/>
    <w:rsid w:val="00151D63"/>
    <w:rsid w:val="00152014"/>
    <w:rsid w:val="00154BC8"/>
    <w:rsid w:val="00154C04"/>
    <w:rsid w:val="0015539B"/>
    <w:rsid w:val="00156026"/>
    <w:rsid w:val="0015667F"/>
    <w:rsid w:val="001573AE"/>
    <w:rsid w:val="00160972"/>
    <w:rsid w:val="00161EBF"/>
    <w:rsid w:val="00163EA3"/>
    <w:rsid w:val="00163ED1"/>
    <w:rsid w:val="00163F0F"/>
    <w:rsid w:val="0016448A"/>
    <w:rsid w:val="00165C42"/>
    <w:rsid w:val="00170860"/>
    <w:rsid w:val="00171F03"/>
    <w:rsid w:val="00173EF4"/>
    <w:rsid w:val="00174822"/>
    <w:rsid w:val="0018154A"/>
    <w:rsid w:val="00182701"/>
    <w:rsid w:val="00182D3C"/>
    <w:rsid w:val="001837EA"/>
    <w:rsid w:val="0018398C"/>
    <w:rsid w:val="00184F19"/>
    <w:rsid w:val="00191AA0"/>
    <w:rsid w:val="00192811"/>
    <w:rsid w:val="00192C6F"/>
    <w:rsid w:val="00193540"/>
    <w:rsid w:val="00193E85"/>
    <w:rsid w:val="00194480"/>
    <w:rsid w:val="00195090"/>
    <w:rsid w:val="00195659"/>
    <w:rsid w:val="001965F9"/>
    <w:rsid w:val="001A13C8"/>
    <w:rsid w:val="001A30D8"/>
    <w:rsid w:val="001A6D2A"/>
    <w:rsid w:val="001A7250"/>
    <w:rsid w:val="001A75D7"/>
    <w:rsid w:val="001A79ED"/>
    <w:rsid w:val="001B0920"/>
    <w:rsid w:val="001B21AE"/>
    <w:rsid w:val="001B2DAA"/>
    <w:rsid w:val="001B3538"/>
    <w:rsid w:val="001B64E4"/>
    <w:rsid w:val="001B7C63"/>
    <w:rsid w:val="001C0A5A"/>
    <w:rsid w:val="001C0EAC"/>
    <w:rsid w:val="001C2EAF"/>
    <w:rsid w:val="001C3279"/>
    <w:rsid w:val="001C47E9"/>
    <w:rsid w:val="001C6B89"/>
    <w:rsid w:val="001C71C9"/>
    <w:rsid w:val="001C797D"/>
    <w:rsid w:val="001D2D14"/>
    <w:rsid w:val="001D64C6"/>
    <w:rsid w:val="001D7BC0"/>
    <w:rsid w:val="001E11A6"/>
    <w:rsid w:val="001E200F"/>
    <w:rsid w:val="001E4632"/>
    <w:rsid w:val="001E647B"/>
    <w:rsid w:val="001F0C9D"/>
    <w:rsid w:val="001F4DDB"/>
    <w:rsid w:val="001F7345"/>
    <w:rsid w:val="0020200D"/>
    <w:rsid w:val="00202FAE"/>
    <w:rsid w:val="0020367D"/>
    <w:rsid w:val="0020393F"/>
    <w:rsid w:val="00203FB4"/>
    <w:rsid w:val="002047CC"/>
    <w:rsid w:val="00204A22"/>
    <w:rsid w:val="0020574F"/>
    <w:rsid w:val="0020752E"/>
    <w:rsid w:val="0021136D"/>
    <w:rsid w:val="0021173E"/>
    <w:rsid w:val="00212C0F"/>
    <w:rsid w:val="002137D9"/>
    <w:rsid w:val="00216F54"/>
    <w:rsid w:val="00216F66"/>
    <w:rsid w:val="002175EB"/>
    <w:rsid w:val="00217C62"/>
    <w:rsid w:val="002205CA"/>
    <w:rsid w:val="002224C5"/>
    <w:rsid w:val="00222915"/>
    <w:rsid w:val="00222F4A"/>
    <w:rsid w:val="00222F8F"/>
    <w:rsid w:val="00224B6F"/>
    <w:rsid w:val="00226EEC"/>
    <w:rsid w:val="002273C3"/>
    <w:rsid w:val="0022790C"/>
    <w:rsid w:val="0023010C"/>
    <w:rsid w:val="00230357"/>
    <w:rsid w:val="0023346D"/>
    <w:rsid w:val="002362A3"/>
    <w:rsid w:val="00241197"/>
    <w:rsid w:val="00241204"/>
    <w:rsid w:val="002448A0"/>
    <w:rsid w:val="002454CB"/>
    <w:rsid w:val="0024631E"/>
    <w:rsid w:val="00246627"/>
    <w:rsid w:val="00252EC7"/>
    <w:rsid w:val="00253354"/>
    <w:rsid w:val="00254B62"/>
    <w:rsid w:val="00254C49"/>
    <w:rsid w:val="00254DC4"/>
    <w:rsid w:val="002566C6"/>
    <w:rsid w:val="00261B30"/>
    <w:rsid w:val="00261F49"/>
    <w:rsid w:val="00262D0F"/>
    <w:rsid w:val="00271E3E"/>
    <w:rsid w:val="002721DE"/>
    <w:rsid w:val="00272BC0"/>
    <w:rsid w:val="00273219"/>
    <w:rsid w:val="00273A88"/>
    <w:rsid w:val="00276157"/>
    <w:rsid w:val="0027677D"/>
    <w:rsid w:val="00276C83"/>
    <w:rsid w:val="00277259"/>
    <w:rsid w:val="0027765D"/>
    <w:rsid w:val="0028070C"/>
    <w:rsid w:val="00281324"/>
    <w:rsid w:val="00284EDB"/>
    <w:rsid w:val="002913C4"/>
    <w:rsid w:val="00291E88"/>
    <w:rsid w:val="002931CF"/>
    <w:rsid w:val="0029399B"/>
    <w:rsid w:val="00294B88"/>
    <w:rsid w:val="00294DDC"/>
    <w:rsid w:val="00296128"/>
    <w:rsid w:val="002A22CA"/>
    <w:rsid w:val="002A33AA"/>
    <w:rsid w:val="002A384E"/>
    <w:rsid w:val="002A39BB"/>
    <w:rsid w:val="002A56A5"/>
    <w:rsid w:val="002A5F43"/>
    <w:rsid w:val="002A7B5E"/>
    <w:rsid w:val="002B01DC"/>
    <w:rsid w:val="002B0479"/>
    <w:rsid w:val="002B1078"/>
    <w:rsid w:val="002B25F0"/>
    <w:rsid w:val="002B480E"/>
    <w:rsid w:val="002B7462"/>
    <w:rsid w:val="002C035A"/>
    <w:rsid w:val="002C2B8F"/>
    <w:rsid w:val="002C3A84"/>
    <w:rsid w:val="002C46D0"/>
    <w:rsid w:val="002C491E"/>
    <w:rsid w:val="002C4D50"/>
    <w:rsid w:val="002C75E6"/>
    <w:rsid w:val="002C7FBC"/>
    <w:rsid w:val="002D18B7"/>
    <w:rsid w:val="002D3CE0"/>
    <w:rsid w:val="002D60D8"/>
    <w:rsid w:val="002D7ED9"/>
    <w:rsid w:val="002E0C8A"/>
    <w:rsid w:val="002E2C5D"/>
    <w:rsid w:val="002E5921"/>
    <w:rsid w:val="002E65BA"/>
    <w:rsid w:val="002E78BC"/>
    <w:rsid w:val="002E7DCD"/>
    <w:rsid w:val="002F03AF"/>
    <w:rsid w:val="002F4DB7"/>
    <w:rsid w:val="00300979"/>
    <w:rsid w:val="0030288D"/>
    <w:rsid w:val="00302A38"/>
    <w:rsid w:val="003038D6"/>
    <w:rsid w:val="0030459A"/>
    <w:rsid w:val="00306C61"/>
    <w:rsid w:val="003145B6"/>
    <w:rsid w:val="00314F80"/>
    <w:rsid w:val="003160BE"/>
    <w:rsid w:val="003169CC"/>
    <w:rsid w:val="0032078F"/>
    <w:rsid w:val="0032478E"/>
    <w:rsid w:val="00330DDC"/>
    <w:rsid w:val="00332F53"/>
    <w:rsid w:val="00333AAC"/>
    <w:rsid w:val="0033429D"/>
    <w:rsid w:val="003343F7"/>
    <w:rsid w:val="00334ED0"/>
    <w:rsid w:val="00335316"/>
    <w:rsid w:val="00337104"/>
    <w:rsid w:val="003452F0"/>
    <w:rsid w:val="00345D83"/>
    <w:rsid w:val="00346B02"/>
    <w:rsid w:val="00346FA4"/>
    <w:rsid w:val="003476DA"/>
    <w:rsid w:val="003508FA"/>
    <w:rsid w:val="00350B72"/>
    <w:rsid w:val="00352F24"/>
    <w:rsid w:val="003547E1"/>
    <w:rsid w:val="003549AF"/>
    <w:rsid w:val="00355B66"/>
    <w:rsid w:val="003568DB"/>
    <w:rsid w:val="00357844"/>
    <w:rsid w:val="00357F0F"/>
    <w:rsid w:val="00361048"/>
    <w:rsid w:val="0036238D"/>
    <w:rsid w:val="00363B60"/>
    <w:rsid w:val="00363E58"/>
    <w:rsid w:val="0036465D"/>
    <w:rsid w:val="0036474F"/>
    <w:rsid w:val="0036711F"/>
    <w:rsid w:val="00370E93"/>
    <w:rsid w:val="00370F09"/>
    <w:rsid w:val="00371734"/>
    <w:rsid w:val="00371A2E"/>
    <w:rsid w:val="00371D62"/>
    <w:rsid w:val="00374365"/>
    <w:rsid w:val="00374AEA"/>
    <w:rsid w:val="00375E1F"/>
    <w:rsid w:val="00376986"/>
    <w:rsid w:val="003772A5"/>
    <w:rsid w:val="00380CD4"/>
    <w:rsid w:val="00381E73"/>
    <w:rsid w:val="00381E99"/>
    <w:rsid w:val="00385862"/>
    <w:rsid w:val="00387B32"/>
    <w:rsid w:val="00387D3D"/>
    <w:rsid w:val="003900BF"/>
    <w:rsid w:val="003923AC"/>
    <w:rsid w:val="00392A1C"/>
    <w:rsid w:val="0039361E"/>
    <w:rsid w:val="00393B41"/>
    <w:rsid w:val="00394B35"/>
    <w:rsid w:val="00396F13"/>
    <w:rsid w:val="003A2C59"/>
    <w:rsid w:val="003A2C6D"/>
    <w:rsid w:val="003A461A"/>
    <w:rsid w:val="003A66F8"/>
    <w:rsid w:val="003A7F8E"/>
    <w:rsid w:val="003B03DD"/>
    <w:rsid w:val="003B5285"/>
    <w:rsid w:val="003B5C06"/>
    <w:rsid w:val="003B659D"/>
    <w:rsid w:val="003B6B6A"/>
    <w:rsid w:val="003C00D8"/>
    <w:rsid w:val="003C2B4B"/>
    <w:rsid w:val="003C3D89"/>
    <w:rsid w:val="003C45F9"/>
    <w:rsid w:val="003C5E38"/>
    <w:rsid w:val="003C6549"/>
    <w:rsid w:val="003C7758"/>
    <w:rsid w:val="003D0DA6"/>
    <w:rsid w:val="003D1EE1"/>
    <w:rsid w:val="003D3B91"/>
    <w:rsid w:val="003E037F"/>
    <w:rsid w:val="003E149E"/>
    <w:rsid w:val="003E1F0D"/>
    <w:rsid w:val="003E2186"/>
    <w:rsid w:val="003E33C2"/>
    <w:rsid w:val="003E3E16"/>
    <w:rsid w:val="003E4B95"/>
    <w:rsid w:val="003E4FC7"/>
    <w:rsid w:val="003E6E2F"/>
    <w:rsid w:val="003E73FF"/>
    <w:rsid w:val="003E7CA9"/>
    <w:rsid w:val="003F007A"/>
    <w:rsid w:val="003F1E0D"/>
    <w:rsid w:val="003F2BA4"/>
    <w:rsid w:val="003F49F7"/>
    <w:rsid w:val="003F69FA"/>
    <w:rsid w:val="004000DC"/>
    <w:rsid w:val="00401D7C"/>
    <w:rsid w:val="00403CA1"/>
    <w:rsid w:val="004043E3"/>
    <w:rsid w:val="00404E46"/>
    <w:rsid w:val="004107F4"/>
    <w:rsid w:val="00410A94"/>
    <w:rsid w:val="00412266"/>
    <w:rsid w:val="004138A3"/>
    <w:rsid w:val="00415941"/>
    <w:rsid w:val="00416FF3"/>
    <w:rsid w:val="00417D74"/>
    <w:rsid w:val="00417F18"/>
    <w:rsid w:val="004207F8"/>
    <w:rsid w:val="00422693"/>
    <w:rsid w:val="00423CE5"/>
    <w:rsid w:val="00424F71"/>
    <w:rsid w:val="00425D75"/>
    <w:rsid w:val="00426976"/>
    <w:rsid w:val="00426FD5"/>
    <w:rsid w:val="0042721D"/>
    <w:rsid w:val="00427CE5"/>
    <w:rsid w:val="0043026F"/>
    <w:rsid w:val="00430EF0"/>
    <w:rsid w:val="004346A6"/>
    <w:rsid w:val="004375F7"/>
    <w:rsid w:val="00437671"/>
    <w:rsid w:val="00440B8A"/>
    <w:rsid w:val="00440FC1"/>
    <w:rsid w:val="00445200"/>
    <w:rsid w:val="004465F5"/>
    <w:rsid w:val="00446D5D"/>
    <w:rsid w:val="004502CC"/>
    <w:rsid w:val="00450A87"/>
    <w:rsid w:val="00450F87"/>
    <w:rsid w:val="00451E3B"/>
    <w:rsid w:val="00452A90"/>
    <w:rsid w:val="00454ADC"/>
    <w:rsid w:val="00456A2A"/>
    <w:rsid w:val="00456F99"/>
    <w:rsid w:val="004572FE"/>
    <w:rsid w:val="00457A9E"/>
    <w:rsid w:val="00460515"/>
    <w:rsid w:val="00461F98"/>
    <w:rsid w:val="00462744"/>
    <w:rsid w:val="004648DB"/>
    <w:rsid w:val="004663C0"/>
    <w:rsid w:val="0046743C"/>
    <w:rsid w:val="00467ECC"/>
    <w:rsid w:val="00470AA5"/>
    <w:rsid w:val="00474AF1"/>
    <w:rsid w:val="00475233"/>
    <w:rsid w:val="00475CFB"/>
    <w:rsid w:val="004760C8"/>
    <w:rsid w:val="00477781"/>
    <w:rsid w:val="0048163D"/>
    <w:rsid w:val="004829A0"/>
    <w:rsid w:val="00485591"/>
    <w:rsid w:val="004857F0"/>
    <w:rsid w:val="00487111"/>
    <w:rsid w:val="00490A93"/>
    <w:rsid w:val="00495605"/>
    <w:rsid w:val="00495FC4"/>
    <w:rsid w:val="00496697"/>
    <w:rsid w:val="00497207"/>
    <w:rsid w:val="004979C3"/>
    <w:rsid w:val="004A0793"/>
    <w:rsid w:val="004A1377"/>
    <w:rsid w:val="004A25D5"/>
    <w:rsid w:val="004A5AEE"/>
    <w:rsid w:val="004A62ED"/>
    <w:rsid w:val="004A6ABF"/>
    <w:rsid w:val="004B73BE"/>
    <w:rsid w:val="004C291A"/>
    <w:rsid w:val="004C3BD8"/>
    <w:rsid w:val="004C3D27"/>
    <w:rsid w:val="004C4808"/>
    <w:rsid w:val="004C6892"/>
    <w:rsid w:val="004D27E2"/>
    <w:rsid w:val="004D3877"/>
    <w:rsid w:val="004D392D"/>
    <w:rsid w:val="004D49D7"/>
    <w:rsid w:val="004D5398"/>
    <w:rsid w:val="004D57A6"/>
    <w:rsid w:val="004E0FD1"/>
    <w:rsid w:val="004E2E83"/>
    <w:rsid w:val="004E672B"/>
    <w:rsid w:val="004E6A43"/>
    <w:rsid w:val="004E7043"/>
    <w:rsid w:val="004E7A93"/>
    <w:rsid w:val="004F24D6"/>
    <w:rsid w:val="004F2EB3"/>
    <w:rsid w:val="004F6276"/>
    <w:rsid w:val="004F6A6B"/>
    <w:rsid w:val="004F7641"/>
    <w:rsid w:val="005000F8"/>
    <w:rsid w:val="0050064A"/>
    <w:rsid w:val="005012CA"/>
    <w:rsid w:val="00501610"/>
    <w:rsid w:val="00501A67"/>
    <w:rsid w:val="00503CE1"/>
    <w:rsid w:val="00504473"/>
    <w:rsid w:val="00506A50"/>
    <w:rsid w:val="00506BE6"/>
    <w:rsid w:val="00513DC5"/>
    <w:rsid w:val="00514EEA"/>
    <w:rsid w:val="0051684D"/>
    <w:rsid w:val="005168A0"/>
    <w:rsid w:val="00520E10"/>
    <w:rsid w:val="00522907"/>
    <w:rsid w:val="00523546"/>
    <w:rsid w:val="00523A23"/>
    <w:rsid w:val="00524C6A"/>
    <w:rsid w:val="00524DAE"/>
    <w:rsid w:val="0052591E"/>
    <w:rsid w:val="00526EDF"/>
    <w:rsid w:val="005275A9"/>
    <w:rsid w:val="00530754"/>
    <w:rsid w:val="005317E2"/>
    <w:rsid w:val="005347CF"/>
    <w:rsid w:val="00536B9F"/>
    <w:rsid w:val="0054080B"/>
    <w:rsid w:val="005408E0"/>
    <w:rsid w:val="00541BA3"/>
    <w:rsid w:val="005423DC"/>
    <w:rsid w:val="00544A92"/>
    <w:rsid w:val="005466A7"/>
    <w:rsid w:val="005510F3"/>
    <w:rsid w:val="005519F4"/>
    <w:rsid w:val="00551E08"/>
    <w:rsid w:val="005522C6"/>
    <w:rsid w:val="005538C0"/>
    <w:rsid w:val="00553E0D"/>
    <w:rsid w:val="005542F4"/>
    <w:rsid w:val="00554EE3"/>
    <w:rsid w:val="005563DD"/>
    <w:rsid w:val="0055730B"/>
    <w:rsid w:val="00561103"/>
    <w:rsid w:val="005621C8"/>
    <w:rsid w:val="005629F9"/>
    <w:rsid w:val="00563C90"/>
    <w:rsid w:val="00563FE1"/>
    <w:rsid w:val="00564E39"/>
    <w:rsid w:val="00566053"/>
    <w:rsid w:val="005676A3"/>
    <w:rsid w:val="005701C5"/>
    <w:rsid w:val="00572255"/>
    <w:rsid w:val="00572CFF"/>
    <w:rsid w:val="005832B3"/>
    <w:rsid w:val="00584DEB"/>
    <w:rsid w:val="00585B9A"/>
    <w:rsid w:val="00585C9F"/>
    <w:rsid w:val="00586C16"/>
    <w:rsid w:val="005871AE"/>
    <w:rsid w:val="00587FE5"/>
    <w:rsid w:val="00590020"/>
    <w:rsid w:val="00591550"/>
    <w:rsid w:val="00594AB0"/>
    <w:rsid w:val="00597BEA"/>
    <w:rsid w:val="005A0CCA"/>
    <w:rsid w:val="005A0D7C"/>
    <w:rsid w:val="005A1968"/>
    <w:rsid w:val="005A325C"/>
    <w:rsid w:val="005A6483"/>
    <w:rsid w:val="005A798E"/>
    <w:rsid w:val="005B0BD2"/>
    <w:rsid w:val="005B1A71"/>
    <w:rsid w:val="005B35B4"/>
    <w:rsid w:val="005B399C"/>
    <w:rsid w:val="005B613F"/>
    <w:rsid w:val="005C0A3D"/>
    <w:rsid w:val="005C122D"/>
    <w:rsid w:val="005C40BB"/>
    <w:rsid w:val="005C6CC3"/>
    <w:rsid w:val="005C7C32"/>
    <w:rsid w:val="005D1339"/>
    <w:rsid w:val="005D2BFE"/>
    <w:rsid w:val="005D3142"/>
    <w:rsid w:val="005D3D16"/>
    <w:rsid w:val="005D47A0"/>
    <w:rsid w:val="005D503E"/>
    <w:rsid w:val="005D5E63"/>
    <w:rsid w:val="005E12A0"/>
    <w:rsid w:val="005E1C40"/>
    <w:rsid w:val="005E5E8D"/>
    <w:rsid w:val="005E6974"/>
    <w:rsid w:val="005F13C6"/>
    <w:rsid w:val="005F1527"/>
    <w:rsid w:val="005F27ED"/>
    <w:rsid w:val="005F409F"/>
    <w:rsid w:val="005F5102"/>
    <w:rsid w:val="005F55E3"/>
    <w:rsid w:val="005F650B"/>
    <w:rsid w:val="005F788D"/>
    <w:rsid w:val="005F7B7C"/>
    <w:rsid w:val="00603BAE"/>
    <w:rsid w:val="00603E60"/>
    <w:rsid w:val="00605720"/>
    <w:rsid w:val="00606002"/>
    <w:rsid w:val="00607007"/>
    <w:rsid w:val="006116FC"/>
    <w:rsid w:val="006139A5"/>
    <w:rsid w:val="0061429B"/>
    <w:rsid w:val="0061594B"/>
    <w:rsid w:val="006169AB"/>
    <w:rsid w:val="00617B18"/>
    <w:rsid w:val="006206B9"/>
    <w:rsid w:val="00622785"/>
    <w:rsid w:val="00624BF0"/>
    <w:rsid w:val="0062528D"/>
    <w:rsid w:val="00627084"/>
    <w:rsid w:val="00627349"/>
    <w:rsid w:val="00627E33"/>
    <w:rsid w:val="00631398"/>
    <w:rsid w:val="006318E8"/>
    <w:rsid w:val="0063249C"/>
    <w:rsid w:val="00633AC6"/>
    <w:rsid w:val="006357D2"/>
    <w:rsid w:val="006358CA"/>
    <w:rsid w:val="00635996"/>
    <w:rsid w:val="006366CB"/>
    <w:rsid w:val="00636EB5"/>
    <w:rsid w:val="00637150"/>
    <w:rsid w:val="006412B7"/>
    <w:rsid w:val="0064404B"/>
    <w:rsid w:val="00644A58"/>
    <w:rsid w:val="006450B0"/>
    <w:rsid w:val="0064511C"/>
    <w:rsid w:val="00645A24"/>
    <w:rsid w:val="00646865"/>
    <w:rsid w:val="006511A0"/>
    <w:rsid w:val="00651E62"/>
    <w:rsid w:val="00652CF6"/>
    <w:rsid w:val="00662A34"/>
    <w:rsid w:val="00664E1B"/>
    <w:rsid w:val="0066655B"/>
    <w:rsid w:val="00670688"/>
    <w:rsid w:val="00672AD0"/>
    <w:rsid w:val="00675035"/>
    <w:rsid w:val="006753BA"/>
    <w:rsid w:val="00677570"/>
    <w:rsid w:val="00680DBF"/>
    <w:rsid w:val="00682413"/>
    <w:rsid w:val="0068293A"/>
    <w:rsid w:val="00682A10"/>
    <w:rsid w:val="00684BA0"/>
    <w:rsid w:val="006865BC"/>
    <w:rsid w:val="00686F50"/>
    <w:rsid w:val="00690E00"/>
    <w:rsid w:val="00691F4B"/>
    <w:rsid w:val="00697C95"/>
    <w:rsid w:val="00697F8F"/>
    <w:rsid w:val="006A0FC7"/>
    <w:rsid w:val="006A1502"/>
    <w:rsid w:val="006A2AEF"/>
    <w:rsid w:val="006A4240"/>
    <w:rsid w:val="006A435B"/>
    <w:rsid w:val="006A578E"/>
    <w:rsid w:val="006A7024"/>
    <w:rsid w:val="006B175C"/>
    <w:rsid w:val="006B2CAF"/>
    <w:rsid w:val="006B3669"/>
    <w:rsid w:val="006B3E1A"/>
    <w:rsid w:val="006B45BA"/>
    <w:rsid w:val="006B5A91"/>
    <w:rsid w:val="006B7191"/>
    <w:rsid w:val="006C0126"/>
    <w:rsid w:val="006C0BFC"/>
    <w:rsid w:val="006C26FF"/>
    <w:rsid w:val="006C3115"/>
    <w:rsid w:val="006C48EE"/>
    <w:rsid w:val="006C4BA6"/>
    <w:rsid w:val="006C4C84"/>
    <w:rsid w:val="006C5325"/>
    <w:rsid w:val="006C5506"/>
    <w:rsid w:val="006D119E"/>
    <w:rsid w:val="006D16CB"/>
    <w:rsid w:val="006D3C1E"/>
    <w:rsid w:val="006D4E74"/>
    <w:rsid w:val="006D6018"/>
    <w:rsid w:val="006D6E40"/>
    <w:rsid w:val="006E0508"/>
    <w:rsid w:val="006E0712"/>
    <w:rsid w:val="006E0A3C"/>
    <w:rsid w:val="006E153F"/>
    <w:rsid w:val="006E3F9B"/>
    <w:rsid w:val="006E3F9D"/>
    <w:rsid w:val="006E6028"/>
    <w:rsid w:val="006E65D2"/>
    <w:rsid w:val="006F161D"/>
    <w:rsid w:val="006F1FD2"/>
    <w:rsid w:val="006F48EF"/>
    <w:rsid w:val="006F497B"/>
    <w:rsid w:val="006F517D"/>
    <w:rsid w:val="006F65B4"/>
    <w:rsid w:val="006F70E4"/>
    <w:rsid w:val="006F726F"/>
    <w:rsid w:val="007035D0"/>
    <w:rsid w:val="00703B90"/>
    <w:rsid w:val="00705336"/>
    <w:rsid w:val="007073E1"/>
    <w:rsid w:val="00710918"/>
    <w:rsid w:val="007143B5"/>
    <w:rsid w:val="00716AF8"/>
    <w:rsid w:val="0071743B"/>
    <w:rsid w:val="00720E59"/>
    <w:rsid w:val="0072303F"/>
    <w:rsid w:val="00725146"/>
    <w:rsid w:val="0072588E"/>
    <w:rsid w:val="007262C1"/>
    <w:rsid w:val="0072665C"/>
    <w:rsid w:val="007305A1"/>
    <w:rsid w:val="00730841"/>
    <w:rsid w:val="00730920"/>
    <w:rsid w:val="00731479"/>
    <w:rsid w:val="007314CD"/>
    <w:rsid w:val="00733BCF"/>
    <w:rsid w:val="00735F72"/>
    <w:rsid w:val="00736577"/>
    <w:rsid w:val="00736ED7"/>
    <w:rsid w:val="00737F42"/>
    <w:rsid w:val="00741558"/>
    <w:rsid w:val="00743949"/>
    <w:rsid w:val="007440EB"/>
    <w:rsid w:val="00744286"/>
    <w:rsid w:val="007442D9"/>
    <w:rsid w:val="0074452D"/>
    <w:rsid w:val="007508A0"/>
    <w:rsid w:val="00750F72"/>
    <w:rsid w:val="007532DF"/>
    <w:rsid w:val="007556F5"/>
    <w:rsid w:val="007561A9"/>
    <w:rsid w:val="00756A43"/>
    <w:rsid w:val="00756F56"/>
    <w:rsid w:val="007615AB"/>
    <w:rsid w:val="00761AB4"/>
    <w:rsid w:val="00761BEC"/>
    <w:rsid w:val="00762FB4"/>
    <w:rsid w:val="00763C6D"/>
    <w:rsid w:val="00764548"/>
    <w:rsid w:val="0077188C"/>
    <w:rsid w:val="00771DBC"/>
    <w:rsid w:val="007761F4"/>
    <w:rsid w:val="00777BF9"/>
    <w:rsid w:val="007835E3"/>
    <w:rsid w:val="00790600"/>
    <w:rsid w:val="00792198"/>
    <w:rsid w:val="00792912"/>
    <w:rsid w:val="00793AFA"/>
    <w:rsid w:val="00793E91"/>
    <w:rsid w:val="007940E5"/>
    <w:rsid w:val="00796CDB"/>
    <w:rsid w:val="007A213D"/>
    <w:rsid w:val="007A2549"/>
    <w:rsid w:val="007A56D0"/>
    <w:rsid w:val="007B04BD"/>
    <w:rsid w:val="007B0DD6"/>
    <w:rsid w:val="007B2971"/>
    <w:rsid w:val="007B2BA6"/>
    <w:rsid w:val="007B32D6"/>
    <w:rsid w:val="007B3675"/>
    <w:rsid w:val="007B378B"/>
    <w:rsid w:val="007B42AA"/>
    <w:rsid w:val="007B6E5C"/>
    <w:rsid w:val="007B70F2"/>
    <w:rsid w:val="007C0539"/>
    <w:rsid w:val="007C1E19"/>
    <w:rsid w:val="007C4291"/>
    <w:rsid w:val="007C5AB2"/>
    <w:rsid w:val="007C5D6F"/>
    <w:rsid w:val="007C6431"/>
    <w:rsid w:val="007D3857"/>
    <w:rsid w:val="007D4BF1"/>
    <w:rsid w:val="007E0934"/>
    <w:rsid w:val="007E30A5"/>
    <w:rsid w:val="007E3BD4"/>
    <w:rsid w:val="007E4D89"/>
    <w:rsid w:val="007E5AE8"/>
    <w:rsid w:val="007E7C35"/>
    <w:rsid w:val="007E7E6E"/>
    <w:rsid w:val="007F027A"/>
    <w:rsid w:val="007F057F"/>
    <w:rsid w:val="007F0953"/>
    <w:rsid w:val="007F1754"/>
    <w:rsid w:val="007F1F76"/>
    <w:rsid w:val="007F2AF6"/>
    <w:rsid w:val="007F3180"/>
    <w:rsid w:val="007F3C1C"/>
    <w:rsid w:val="007F52E1"/>
    <w:rsid w:val="007F5F96"/>
    <w:rsid w:val="007F6579"/>
    <w:rsid w:val="007F6845"/>
    <w:rsid w:val="007F6884"/>
    <w:rsid w:val="007F69EB"/>
    <w:rsid w:val="007F6A20"/>
    <w:rsid w:val="00802638"/>
    <w:rsid w:val="00802C29"/>
    <w:rsid w:val="00804D05"/>
    <w:rsid w:val="00810289"/>
    <w:rsid w:val="00810EA1"/>
    <w:rsid w:val="00810F39"/>
    <w:rsid w:val="00815092"/>
    <w:rsid w:val="00815922"/>
    <w:rsid w:val="00816711"/>
    <w:rsid w:val="00820B14"/>
    <w:rsid w:val="00822F89"/>
    <w:rsid w:val="00825896"/>
    <w:rsid w:val="008270E0"/>
    <w:rsid w:val="008319CF"/>
    <w:rsid w:val="008322C8"/>
    <w:rsid w:val="008338F2"/>
    <w:rsid w:val="008372D6"/>
    <w:rsid w:val="0084094F"/>
    <w:rsid w:val="008426B2"/>
    <w:rsid w:val="008455AB"/>
    <w:rsid w:val="00847F89"/>
    <w:rsid w:val="00850C81"/>
    <w:rsid w:val="00852AFC"/>
    <w:rsid w:val="00853FD8"/>
    <w:rsid w:val="00855144"/>
    <w:rsid w:val="00856338"/>
    <w:rsid w:val="0086069C"/>
    <w:rsid w:val="0086364E"/>
    <w:rsid w:val="00864628"/>
    <w:rsid w:val="00866BA0"/>
    <w:rsid w:val="0087237A"/>
    <w:rsid w:val="008742A7"/>
    <w:rsid w:val="0087437E"/>
    <w:rsid w:val="008751A8"/>
    <w:rsid w:val="00875689"/>
    <w:rsid w:val="00876094"/>
    <w:rsid w:val="008760C2"/>
    <w:rsid w:val="00876410"/>
    <w:rsid w:val="008800DE"/>
    <w:rsid w:val="008810AC"/>
    <w:rsid w:val="00881E1D"/>
    <w:rsid w:val="00882513"/>
    <w:rsid w:val="00883479"/>
    <w:rsid w:val="00885BF4"/>
    <w:rsid w:val="00886AA0"/>
    <w:rsid w:val="008905C9"/>
    <w:rsid w:val="00891F2F"/>
    <w:rsid w:val="00894688"/>
    <w:rsid w:val="0089551B"/>
    <w:rsid w:val="008961C4"/>
    <w:rsid w:val="008962B1"/>
    <w:rsid w:val="0089680C"/>
    <w:rsid w:val="008A08BF"/>
    <w:rsid w:val="008A2756"/>
    <w:rsid w:val="008A281C"/>
    <w:rsid w:val="008A5EB9"/>
    <w:rsid w:val="008A7C04"/>
    <w:rsid w:val="008B27B5"/>
    <w:rsid w:val="008B5A9C"/>
    <w:rsid w:val="008B642B"/>
    <w:rsid w:val="008B6C18"/>
    <w:rsid w:val="008B725A"/>
    <w:rsid w:val="008C0446"/>
    <w:rsid w:val="008C136E"/>
    <w:rsid w:val="008C313E"/>
    <w:rsid w:val="008C4860"/>
    <w:rsid w:val="008D070F"/>
    <w:rsid w:val="008D38D9"/>
    <w:rsid w:val="008D3EC8"/>
    <w:rsid w:val="008D6F8F"/>
    <w:rsid w:val="008D708C"/>
    <w:rsid w:val="008D78F7"/>
    <w:rsid w:val="008E0035"/>
    <w:rsid w:val="008E1D9B"/>
    <w:rsid w:val="008F01F9"/>
    <w:rsid w:val="008F0269"/>
    <w:rsid w:val="008F04E6"/>
    <w:rsid w:val="008F3769"/>
    <w:rsid w:val="008F5737"/>
    <w:rsid w:val="008F7CB1"/>
    <w:rsid w:val="008F7DCE"/>
    <w:rsid w:val="00902D3F"/>
    <w:rsid w:val="00905E9E"/>
    <w:rsid w:val="0090756E"/>
    <w:rsid w:val="00907CC0"/>
    <w:rsid w:val="009101BC"/>
    <w:rsid w:val="00910EDD"/>
    <w:rsid w:val="009112D0"/>
    <w:rsid w:val="00912ED2"/>
    <w:rsid w:val="00913869"/>
    <w:rsid w:val="009143F1"/>
    <w:rsid w:val="00914B8F"/>
    <w:rsid w:val="00914BBF"/>
    <w:rsid w:val="009204AE"/>
    <w:rsid w:val="00923552"/>
    <w:rsid w:val="009239FD"/>
    <w:rsid w:val="009240F4"/>
    <w:rsid w:val="00926413"/>
    <w:rsid w:val="00927420"/>
    <w:rsid w:val="00930DE9"/>
    <w:rsid w:val="00931D38"/>
    <w:rsid w:val="00933CC0"/>
    <w:rsid w:val="0093467D"/>
    <w:rsid w:val="009353CA"/>
    <w:rsid w:val="009370F5"/>
    <w:rsid w:val="009371A2"/>
    <w:rsid w:val="0094441C"/>
    <w:rsid w:val="00944D41"/>
    <w:rsid w:val="009467B8"/>
    <w:rsid w:val="009507B0"/>
    <w:rsid w:val="009510C2"/>
    <w:rsid w:val="00951238"/>
    <w:rsid w:val="009545B3"/>
    <w:rsid w:val="009560FD"/>
    <w:rsid w:val="00960D20"/>
    <w:rsid w:val="00960DBA"/>
    <w:rsid w:val="00961406"/>
    <w:rsid w:val="0096565E"/>
    <w:rsid w:val="009679EF"/>
    <w:rsid w:val="00967EBD"/>
    <w:rsid w:val="00971404"/>
    <w:rsid w:val="009728B9"/>
    <w:rsid w:val="009754E3"/>
    <w:rsid w:val="00975763"/>
    <w:rsid w:val="009767A7"/>
    <w:rsid w:val="00977C14"/>
    <w:rsid w:val="009815DD"/>
    <w:rsid w:val="00981DEE"/>
    <w:rsid w:val="00983DD7"/>
    <w:rsid w:val="00984309"/>
    <w:rsid w:val="00986039"/>
    <w:rsid w:val="0098683E"/>
    <w:rsid w:val="00986890"/>
    <w:rsid w:val="00987575"/>
    <w:rsid w:val="009909AF"/>
    <w:rsid w:val="00991E3A"/>
    <w:rsid w:val="00991F94"/>
    <w:rsid w:val="00992070"/>
    <w:rsid w:val="009921D6"/>
    <w:rsid w:val="00995780"/>
    <w:rsid w:val="0099633F"/>
    <w:rsid w:val="009A05CE"/>
    <w:rsid w:val="009A201E"/>
    <w:rsid w:val="009A70C9"/>
    <w:rsid w:val="009B1561"/>
    <w:rsid w:val="009B18A0"/>
    <w:rsid w:val="009B2845"/>
    <w:rsid w:val="009B2E97"/>
    <w:rsid w:val="009B5E81"/>
    <w:rsid w:val="009C0FEB"/>
    <w:rsid w:val="009C12BD"/>
    <w:rsid w:val="009C1A38"/>
    <w:rsid w:val="009C5303"/>
    <w:rsid w:val="009C6741"/>
    <w:rsid w:val="009C7AF7"/>
    <w:rsid w:val="009D197D"/>
    <w:rsid w:val="009D3AE1"/>
    <w:rsid w:val="009D48FD"/>
    <w:rsid w:val="009D6CE0"/>
    <w:rsid w:val="009D7349"/>
    <w:rsid w:val="009E0E6A"/>
    <w:rsid w:val="009E4DCF"/>
    <w:rsid w:val="009E5077"/>
    <w:rsid w:val="009F0EDE"/>
    <w:rsid w:val="009F1369"/>
    <w:rsid w:val="009F4088"/>
    <w:rsid w:val="009F5F92"/>
    <w:rsid w:val="009F747E"/>
    <w:rsid w:val="009F749B"/>
    <w:rsid w:val="009F7DF0"/>
    <w:rsid w:val="00A009D8"/>
    <w:rsid w:val="00A0108F"/>
    <w:rsid w:val="00A015A4"/>
    <w:rsid w:val="00A01989"/>
    <w:rsid w:val="00A01CE9"/>
    <w:rsid w:val="00A02DEE"/>
    <w:rsid w:val="00A03389"/>
    <w:rsid w:val="00A035E8"/>
    <w:rsid w:val="00A04BFE"/>
    <w:rsid w:val="00A05990"/>
    <w:rsid w:val="00A05F35"/>
    <w:rsid w:val="00A064CA"/>
    <w:rsid w:val="00A1149E"/>
    <w:rsid w:val="00A11ADC"/>
    <w:rsid w:val="00A1203D"/>
    <w:rsid w:val="00A13DCE"/>
    <w:rsid w:val="00A140F4"/>
    <w:rsid w:val="00A14867"/>
    <w:rsid w:val="00A159C6"/>
    <w:rsid w:val="00A2031C"/>
    <w:rsid w:val="00A20DC6"/>
    <w:rsid w:val="00A227B0"/>
    <w:rsid w:val="00A2307A"/>
    <w:rsid w:val="00A257B3"/>
    <w:rsid w:val="00A275CA"/>
    <w:rsid w:val="00A27FD2"/>
    <w:rsid w:val="00A304F2"/>
    <w:rsid w:val="00A31899"/>
    <w:rsid w:val="00A32982"/>
    <w:rsid w:val="00A329E7"/>
    <w:rsid w:val="00A3660B"/>
    <w:rsid w:val="00A37098"/>
    <w:rsid w:val="00A37216"/>
    <w:rsid w:val="00A40542"/>
    <w:rsid w:val="00A4366A"/>
    <w:rsid w:val="00A4447B"/>
    <w:rsid w:val="00A44DCB"/>
    <w:rsid w:val="00A465EE"/>
    <w:rsid w:val="00A47C5D"/>
    <w:rsid w:val="00A50065"/>
    <w:rsid w:val="00A508B9"/>
    <w:rsid w:val="00A51133"/>
    <w:rsid w:val="00A5158D"/>
    <w:rsid w:val="00A53F60"/>
    <w:rsid w:val="00A55D8C"/>
    <w:rsid w:val="00A569D7"/>
    <w:rsid w:val="00A61BC0"/>
    <w:rsid w:val="00A621DE"/>
    <w:rsid w:val="00A6278E"/>
    <w:rsid w:val="00A64561"/>
    <w:rsid w:val="00A6536C"/>
    <w:rsid w:val="00A706C2"/>
    <w:rsid w:val="00A72ED9"/>
    <w:rsid w:val="00A73451"/>
    <w:rsid w:val="00A80E62"/>
    <w:rsid w:val="00A8322B"/>
    <w:rsid w:val="00A85CEA"/>
    <w:rsid w:val="00A9014A"/>
    <w:rsid w:val="00A90725"/>
    <w:rsid w:val="00A90A3B"/>
    <w:rsid w:val="00A9155C"/>
    <w:rsid w:val="00A92F60"/>
    <w:rsid w:val="00A940C8"/>
    <w:rsid w:val="00A966EC"/>
    <w:rsid w:val="00A970B6"/>
    <w:rsid w:val="00AA0297"/>
    <w:rsid w:val="00AA17FF"/>
    <w:rsid w:val="00AA3011"/>
    <w:rsid w:val="00AA3A35"/>
    <w:rsid w:val="00AA3BE4"/>
    <w:rsid w:val="00AA654F"/>
    <w:rsid w:val="00AA67C6"/>
    <w:rsid w:val="00AA7186"/>
    <w:rsid w:val="00AB14E1"/>
    <w:rsid w:val="00AB16DD"/>
    <w:rsid w:val="00AB3A0E"/>
    <w:rsid w:val="00AB4E36"/>
    <w:rsid w:val="00AB5651"/>
    <w:rsid w:val="00AB6B85"/>
    <w:rsid w:val="00AB6C8E"/>
    <w:rsid w:val="00AB7AE3"/>
    <w:rsid w:val="00AC0B43"/>
    <w:rsid w:val="00AC0EF3"/>
    <w:rsid w:val="00AC366B"/>
    <w:rsid w:val="00AC5BA8"/>
    <w:rsid w:val="00AC5E48"/>
    <w:rsid w:val="00AC7B96"/>
    <w:rsid w:val="00AD116A"/>
    <w:rsid w:val="00AD1EEB"/>
    <w:rsid w:val="00AD205D"/>
    <w:rsid w:val="00AD4076"/>
    <w:rsid w:val="00AD45BE"/>
    <w:rsid w:val="00AD5062"/>
    <w:rsid w:val="00AD7F16"/>
    <w:rsid w:val="00AE0660"/>
    <w:rsid w:val="00AE47C2"/>
    <w:rsid w:val="00AE65D6"/>
    <w:rsid w:val="00AE729D"/>
    <w:rsid w:val="00AF125E"/>
    <w:rsid w:val="00AF1BB7"/>
    <w:rsid w:val="00AF25FD"/>
    <w:rsid w:val="00AF299C"/>
    <w:rsid w:val="00AF3427"/>
    <w:rsid w:val="00AF48EE"/>
    <w:rsid w:val="00AF4F7B"/>
    <w:rsid w:val="00AF6EDD"/>
    <w:rsid w:val="00AF74CD"/>
    <w:rsid w:val="00B007BE"/>
    <w:rsid w:val="00B01AC0"/>
    <w:rsid w:val="00B025E3"/>
    <w:rsid w:val="00B02A9E"/>
    <w:rsid w:val="00B04AA7"/>
    <w:rsid w:val="00B0574F"/>
    <w:rsid w:val="00B05EF6"/>
    <w:rsid w:val="00B06959"/>
    <w:rsid w:val="00B07323"/>
    <w:rsid w:val="00B10953"/>
    <w:rsid w:val="00B1570C"/>
    <w:rsid w:val="00B16957"/>
    <w:rsid w:val="00B16A2D"/>
    <w:rsid w:val="00B2027D"/>
    <w:rsid w:val="00B21A18"/>
    <w:rsid w:val="00B220F6"/>
    <w:rsid w:val="00B22368"/>
    <w:rsid w:val="00B23419"/>
    <w:rsid w:val="00B237FD"/>
    <w:rsid w:val="00B245DE"/>
    <w:rsid w:val="00B32BC7"/>
    <w:rsid w:val="00B4071C"/>
    <w:rsid w:val="00B40D59"/>
    <w:rsid w:val="00B42B02"/>
    <w:rsid w:val="00B50561"/>
    <w:rsid w:val="00B51430"/>
    <w:rsid w:val="00B52E88"/>
    <w:rsid w:val="00B5371F"/>
    <w:rsid w:val="00B5388E"/>
    <w:rsid w:val="00B5403D"/>
    <w:rsid w:val="00B5456D"/>
    <w:rsid w:val="00B566D8"/>
    <w:rsid w:val="00B611FB"/>
    <w:rsid w:val="00B616AC"/>
    <w:rsid w:val="00B62406"/>
    <w:rsid w:val="00B6286F"/>
    <w:rsid w:val="00B64EC8"/>
    <w:rsid w:val="00B6593C"/>
    <w:rsid w:val="00B6642A"/>
    <w:rsid w:val="00B71B8A"/>
    <w:rsid w:val="00B7460E"/>
    <w:rsid w:val="00B74BEE"/>
    <w:rsid w:val="00B74CA7"/>
    <w:rsid w:val="00B75BA5"/>
    <w:rsid w:val="00B75D77"/>
    <w:rsid w:val="00B76804"/>
    <w:rsid w:val="00B779BC"/>
    <w:rsid w:val="00B81E2D"/>
    <w:rsid w:val="00B81F34"/>
    <w:rsid w:val="00B827C6"/>
    <w:rsid w:val="00B83F43"/>
    <w:rsid w:val="00B85103"/>
    <w:rsid w:val="00B86590"/>
    <w:rsid w:val="00B87EFF"/>
    <w:rsid w:val="00B90F85"/>
    <w:rsid w:val="00B92A17"/>
    <w:rsid w:val="00B94314"/>
    <w:rsid w:val="00B97884"/>
    <w:rsid w:val="00BA044E"/>
    <w:rsid w:val="00BA4D5A"/>
    <w:rsid w:val="00BA5455"/>
    <w:rsid w:val="00BA7F6D"/>
    <w:rsid w:val="00BB5081"/>
    <w:rsid w:val="00BB5393"/>
    <w:rsid w:val="00BB7777"/>
    <w:rsid w:val="00BB7F49"/>
    <w:rsid w:val="00BC2516"/>
    <w:rsid w:val="00BC2E45"/>
    <w:rsid w:val="00BC35AB"/>
    <w:rsid w:val="00BC362E"/>
    <w:rsid w:val="00BC3DE9"/>
    <w:rsid w:val="00BC4CCC"/>
    <w:rsid w:val="00BC67F6"/>
    <w:rsid w:val="00BD109E"/>
    <w:rsid w:val="00BD1C03"/>
    <w:rsid w:val="00BD1FC5"/>
    <w:rsid w:val="00BD21FE"/>
    <w:rsid w:val="00BE074D"/>
    <w:rsid w:val="00BE1340"/>
    <w:rsid w:val="00BE3761"/>
    <w:rsid w:val="00BE4119"/>
    <w:rsid w:val="00BE4BE1"/>
    <w:rsid w:val="00BF0128"/>
    <w:rsid w:val="00BF0A42"/>
    <w:rsid w:val="00BF3A62"/>
    <w:rsid w:val="00BF3B5A"/>
    <w:rsid w:val="00BF5DDC"/>
    <w:rsid w:val="00C018D4"/>
    <w:rsid w:val="00C04A3A"/>
    <w:rsid w:val="00C05892"/>
    <w:rsid w:val="00C05C3B"/>
    <w:rsid w:val="00C0613E"/>
    <w:rsid w:val="00C06A15"/>
    <w:rsid w:val="00C10286"/>
    <w:rsid w:val="00C108B2"/>
    <w:rsid w:val="00C11F64"/>
    <w:rsid w:val="00C12FAD"/>
    <w:rsid w:val="00C138AF"/>
    <w:rsid w:val="00C145B6"/>
    <w:rsid w:val="00C17BEC"/>
    <w:rsid w:val="00C17C1A"/>
    <w:rsid w:val="00C21F8B"/>
    <w:rsid w:val="00C26A2F"/>
    <w:rsid w:val="00C3018E"/>
    <w:rsid w:val="00C30E92"/>
    <w:rsid w:val="00C3163B"/>
    <w:rsid w:val="00C35644"/>
    <w:rsid w:val="00C35CF8"/>
    <w:rsid w:val="00C35D21"/>
    <w:rsid w:val="00C41AC3"/>
    <w:rsid w:val="00C422EC"/>
    <w:rsid w:val="00C4250E"/>
    <w:rsid w:val="00C4268C"/>
    <w:rsid w:val="00C42A9D"/>
    <w:rsid w:val="00C439F7"/>
    <w:rsid w:val="00C44CA0"/>
    <w:rsid w:val="00C46DF8"/>
    <w:rsid w:val="00C503D8"/>
    <w:rsid w:val="00C52316"/>
    <w:rsid w:val="00C52AD1"/>
    <w:rsid w:val="00C55E93"/>
    <w:rsid w:val="00C56C79"/>
    <w:rsid w:val="00C574DF"/>
    <w:rsid w:val="00C57553"/>
    <w:rsid w:val="00C61162"/>
    <w:rsid w:val="00C61205"/>
    <w:rsid w:val="00C61865"/>
    <w:rsid w:val="00C61D64"/>
    <w:rsid w:val="00C61E91"/>
    <w:rsid w:val="00C62AE4"/>
    <w:rsid w:val="00C62E48"/>
    <w:rsid w:val="00C6301D"/>
    <w:rsid w:val="00C640A8"/>
    <w:rsid w:val="00C66D21"/>
    <w:rsid w:val="00C67425"/>
    <w:rsid w:val="00C70660"/>
    <w:rsid w:val="00C744FC"/>
    <w:rsid w:val="00C748B5"/>
    <w:rsid w:val="00C74C4E"/>
    <w:rsid w:val="00C76676"/>
    <w:rsid w:val="00C77D61"/>
    <w:rsid w:val="00C8078A"/>
    <w:rsid w:val="00C80D88"/>
    <w:rsid w:val="00C81013"/>
    <w:rsid w:val="00C81199"/>
    <w:rsid w:val="00C829CE"/>
    <w:rsid w:val="00C83FD9"/>
    <w:rsid w:val="00C9044C"/>
    <w:rsid w:val="00C90575"/>
    <w:rsid w:val="00C91985"/>
    <w:rsid w:val="00C97F15"/>
    <w:rsid w:val="00CA0579"/>
    <w:rsid w:val="00CA3C4D"/>
    <w:rsid w:val="00CA47CF"/>
    <w:rsid w:val="00CA6887"/>
    <w:rsid w:val="00CA6C84"/>
    <w:rsid w:val="00CA723D"/>
    <w:rsid w:val="00CB27E8"/>
    <w:rsid w:val="00CB4813"/>
    <w:rsid w:val="00CB536C"/>
    <w:rsid w:val="00CB672F"/>
    <w:rsid w:val="00CB6D16"/>
    <w:rsid w:val="00CB7820"/>
    <w:rsid w:val="00CC10B0"/>
    <w:rsid w:val="00CC3A2A"/>
    <w:rsid w:val="00CC5181"/>
    <w:rsid w:val="00CC572F"/>
    <w:rsid w:val="00CC6485"/>
    <w:rsid w:val="00CC74E0"/>
    <w:rsid w:val="00CC79E7"/>
    <w:rsid w:val="00CD0076"/>
    <w:rsid w:val="00CD112B"/>
    <w:rsid w:val="00CD36EA"/>
    <w:rsid w:val="00CD4262"/>
    <w:rsid w:val="00CD56C0"/>
    <w:rsid w:val="00CD6989"/>
    <w:rsid w:val="00CD6CDB"/>
    <w:rsid w:val="00CE09F9"/>
    <w:rsid w:val="00CE0F5F"/>
    <w:rsid w:val="00CE2152"/>
    <w:rsid w:val="00CE4B62"/>
    <w:rsid w:val="00CE528B"/>
    <w:rsid w:val="00CE5393"/>
    <w:rsid w:val="00CF0BFC"/>
    <w:rsid w:val="00CF452E"/>
    <w:rsid w:val="00CF5E74"/>
    <w:rsid w:val="00CF6B69"/>
    <w:rsid w:val="00D0175B"/>
    <w:rsid w:val="00D0201C"/>
    <w:rsid w:val="00D03A89"/>
    <w:rsid w:val="00D108C1"/>
    <w:rsid w:val="00D1288C"/>
    <w:rsid w:val="00D13996"/>
    <w:rsid w:val="00D15B06"/>
    <w:rsid w:val="00D17368"/>
    <w:rsid w:val="00D26122"/>
    <w:rsid w:val="00D262E2"/>
    <w:rsid w:val="00D271CC"/>
    <w:rsid w:val="00D27CE9"/>
    <w:rsid w:val="00D303A8"/>
    <w:rsid w:val="00D30673"/>
    <w:rsid w:val="00D315DF"/>
    <w:rsid w:val="00D31C09"/>
    <w:rsid w:val="00D32151"/>
    <w:rsid w:val="00D33F0C"/>
    <w:rsid w:val="00D348A9"/>
    <w:rsid w:val="00D3670E"/>
    <w:rsid w:val="00D367D8"/>
    <w:rsid w:val="00D37911"/>
    <w:rsid w:val="00D403C2"/>
    <w:rsid w:val="00D4077A"/>
    <w:rsid w:val="00D407EB"/>
    <w:rsid w:val="00D462AB"/>
    <w:rsid w:val="00D46BB3"/>
    <w:rsid w:val="00D47B74"/>
    <w:rsid w:val="00D507E8"/>
    <w:rsid w:val="00D514D0"/>
    <w:rsid w:val="00D5403A"/>
    <w:rsid w:val="00D54FCB"/>
    <w:rsid w:val="00D552F7"/>
    <w:rsid w:val="00D566FA"/>
    <w:rsid w:val="00D615D8"/>
    <w:rsid w:val="00D61907"/>
    <w:rsid w:val="00D63D4E"/>
    <w:rsid w:val="00D63F74"/>
    <w:rsid w:val="00D651AE"/>
    <w:rsid w:val="00D66A2F"/>
    <w:rsid w:val="00D67153"/>
    <w:rsid w:val="00D674EA"/>
    <w:rsid w:val="00D67F74"/>
    <w:rsid w:val="00D710C3"/>
    <w:rsid w:val="00D717AC"/>
    <w:rsid w:val="00D71928"/>
    <w:rsid w:val="00D720EE"/>
    <w:rsid w:val="00D727FD"/>
    <w:rsid w:val="00D72E61"/>
    <w:rsid w:val="00D74710"/>
    <w:rsid w:val="00D74BF5"/>
    <w:rsid w:val="00D776E8"/>
    <w:rsid w:val="00D77A12"/>
    <w:rsid w:val="00D80804"/>
    <w:rsid w:val="00D81A81"/>
    <w:rsid w:val="00D82992"/>
    <w:rsid w:val="00D85B70"/>
    <w:rsid w:val="00D86583"/>
    <w:rsid w:val="00D86E9D"/>
    <w:rsid w:val="00D871F5"/>
    <w:rsid w:val="00D90BF9"/>
    <w:rsid w:val="00D92336"/>
    <w:rsid w:val="00D923DA"/>
    <w:rsid w:val="00D927F7"/>
    <w:rsid w:val="00D94B11"/>
    <w:rsid w:val="00D96133"/>
    <w:rsid w:val="00D96803"/>
    <w:rsid w:val="00D97A22"/>
    <w:rsid w:val="00DA048E"/>
    <w:rsid w:val="00DA0D8E"/>
    <w:rsid w:val="00DA13C6"/>
    <w:rsid w:val="00DA1D69"/>
    <w:rsid w:val="00DA27F5"/>
    <w:rsid w:val="00DA2CFC"/>
    <w:rsid w:val="00DA3D3F"/>
    <w:rsid w:val="00DA52B2"/>
    <w:rsid w:val="00DA57FC"/>
    <w:rsid w:val="00DA6603"/>
    <w:rsid w:val="00DB0415"/>
    <w:rsid w:val="00DB0605"/>
    <w:rsid w:val="00DB13C0"/>
    <w:rsid w:val="00DB4970"/>
    <w:rsid w:val="00DB52BC"/>
    <w:rsid w:val="00DB6659"/>
    <w:rsid w:val="00DB6E20"/>
    <w:rsid w:val="00DB799C"/>
    <w:rsid w:val="00DC0D85"/>
    <w:rsid w:val="00DC327D"/>
    <w:rsid w:val="00DC6105"/>
    <w:rsid w:val="00DC6B8F"/>
    <w:rsid w:val="00DC77BC"/>
    <w:rsid w:val="00DD100E"/>
    <w:rsid w:val="00DD21B4"/>
    <w:rsid w:val="00DD3C49"/>
    <w:rsid w:val="00DD408E"/>
    <w:rsid w:val="00DD5FA8"/>
    <w:rsid w:val="00DD626A"/>
    <w:rsid w:val="00DE09A6"/>
    <w:rsid w:val="00DE10E0"/>
    <w:rsid w:val="00DE2410"/>
    <w:rsid w:val="00DE58F3"/>
    <w:rsid w:val="00DE6A82"/>
    <w:rsid w:val="00DE6C75"/>
    <w:rsid w:val="00DE7385"/>
    <w:rsid w:val="00DE7A70"/>
    <w:rsid w:val="00DF0236"/>
    <w:rsid w:val="00DF079D"/>
    <w:rsid w:val="00DF0B0F"/>
    <w:rsid w:val="00DF2400"/>
    <w:rsid w:val="00DF369C"/>
    <w:rsid w:val="00DF44F1"/>
    <w:rsid w:val="00DF5C24"/>
    <w:rsid w:val="00DF7D84"/>
    <w:rsid w:val="00DF7E89"/>
    <w:rsid w:val="00E023D2"/>
    <w:rsid w:val="00E0376D"/>
    <w:rsid w:val="00E03B20"/>
    <w:rsid w:val="00E04EC6"/>
    <w:rsid w:val="00E072E5"/>
    <w:rsid w:val="00E11F20"/>
    <w:rsid w:val="00E14FF1"/>
    <w:rsid w:val="00E15C8B"/>
    <w:rsid w:val="00E164E5"/>
    <w:rsid w:val="00E23DC5"/>
    <w:rsid w:val="00E24349"/>
    <w:rsid w:val="00E24CF7"/>
    <w:rsid w:val="00E30BCC"/>
    <w:rsid w:val="00E3637E"/>
    <w:rsid w:val="00E36823"/>
    <w:rsid w:val="00E36BBF"/>
    <w:rsid w:val="00E400A4"/>
    <w:rsid w:val="00E42E4D"/>
    <w:rsid w:val="00E4443D"/>
    <w:rsid w:val="00E44B46"/>
    <w:rsid w:val="00E45814"/>
    <w:rsid w:val="00E45C51"/>
    <w:rsid w:val="00E474D2"/>
    <w:rsid w:val="00E50708"/>
    <w:rsid w:val="00E50B28"/>
    <w:rsid w:val="00E52BCF"/>
    <w:rsid w:val="00E55763"/>
    <w:rsid w:val="00E55A51"/>
    <w:rsid w:val="00E55F60"/>
    <w:rsid w:val="00E5662D"/>
    <w:rsid w:val="00E62C0B"/>
    <w:rsid w:val="00E63903"/>
    <w:rsid w:val="00E6435A"/>
    <w:rsid w:val="00E67633"/>
    <w:rsid w:val="00E73779"/>
    <w:rsid w:val="00E74E18"/>
    <w:rsid w:val="00E752DF"/>
    <w:rsid w:val="00E75B23"/>
    <w:rsid w:val="00E76045"/>
    <w:rsid w:val="00E82C7F"/>
    <w:rsid w:val="00E835A8"/>
    <w:rsid w:val="00E83A5C"/>
    <w:rsid w:val="00E83F43"/>
    <w:rsid w:val="00E8409F"/>
    <w:rsid w:val="00E851FE"/>
    <w:rsid w:val="00E857A5"/>
    <w:rsid w:val="00E96D2C"/>
    <w:rsid w:val="00EA0024"/>
    <w:rsid w:val="00EA0D1E"/>
    <w:rsid w:val="00EA1C3E"/>
    <w:rsid w:val="00EA204B"/>
    <w:rsid w:val="00EA2C42"/>
    <w:rsid w:val="00EA3077"/>
    <w:rsid w:val="00EA3BB3"/>
    <w:rsid w:val="00EA5E3C"/>
    <w:rsid w:val="00EA7332"/>
    <w:rsid w:val="00EB183D"/>
    <w:rsid w:val="00EB2ADD"/>
    <w:rsid w:val="00EB66A2"/>
    <w:rsid w:val="00EB6B9B"/>
    <w:rsid w:val="00EC0CFE"/>
    <w:rsid w:val="00EC14CB"/>
    <w:rsid w:val="00EC2ECB"/>
    <w:rsid w:val="00EC3244"/>
    <w:rsid w:val="00EC3EA8"/>
    <w:rsid w:val="00EC403F"/>
    <w:rsid w:val="00EC4965"/>
    <w:rsid w:val="00EC52C9"/>
    <w:rsid w:val="00EC5379"/>
    <w:rsid w:val="00EC5524"/>
    <w:rsid w:val="00EC63E6"/>
    <w:rsid w:val="00EC6BF9"/>
    <w:rsid w:val="00ED0E79"/>
    <w:rsid w:val="00ED1E6A"/>
    <w:rsid w:val="00ED3084"/>
    <w:rsid w:val="00ED59D4"/>
    <w:rsid w:val="00ED7343"/>
    <w:rsid w:val="00EE001F"/>
    <w:rsid w:val="00EE0196"/>
    <w:rsid w:val="00EE18BC"/>
    <w:rsid w:val="00EE2FBB"/>
    <w:rsid w:val="00EE36F1"/>
    <w:rsid w:val="00EE3DC9"/>
    <w:rsid w:val="00EE71E9"/>
    <w:rsid w:val="00EE7828"/>
    <w:rsid w:val="00EE7CA4"/>
    <w:rsid w:val="00EF4E82"/>
    <w:rsid w:val="00EF5542"/>
    <w:rsid w:val="00EF567C"/>
    <w:rsid w:val="00F0161D"/>
    <w:rsid w:val="00F01AB4"/>
    <w:rsid w:val="00F03B0F"/>
    <w:rsid w:val="00F03CE1"/>
    <w:rsid w:val="00F0400D"/>
    <w:rsid w:val="00F040B8"/>
    <w:rsid w:val="00F04451"/>
    <w:rsid w:val="00F04E4A"/>
    <w:rsid w:val="00F06100"/>
    <w:rsid w:val="00F0635F"/>
    <w:rsid w:val="00F0658B"/>
    <w:rsid w:val="00F0677E"/>
    <w:rsid w:val="00F07203"/>
    <w:rsid w:val="00F0790F"/>
    <w:rsid w:val="00F11962"/>
    <w:rsid w:val="00F11980"/>
    <w:rsid w:val="00F11DA1"/>
    <w:rsid w:val="00F14F69"/>
    <w:rsid w:val="00F157D3"/>
    <w:rsid w:val="00F16BC0"/>
    <w:rsid w:val="00F22D2E"/>
    <w:rsid w:val="00F25013"/>
    <w:rsid w:val="00F25A12"/>
    <w:rsid w:val="00F304DF"/>
    <w:rsid w:val="00F3204C"/>
    <w:rsid w:val="00F32B82"/>
    <w:rsid w:val="00F344A8"/>
    <w:rsid w:val="00F36AB5"/>
    <w:rsid w:val="00F36E46"/>
    <w:rsid w:val="00F40897"/>
    <w:rsid w:val="00F409AF"/>
    <w:rsid w:val="00F40CDB"/>
    <w:rsid w:val="00F434AB"/>
    <w:rsid w:val="00F44E86"/>
    <w:rsid w:val="00F45FA8"/>
    <w:rsid w:val="00F5271C"/>
    <w:rsid w:val="00F52878"/>
    <w:rsid w:val="00F53018"/>
    <w:rsid w:val="00F551E2"/>
    <w:rsid w:val="00F557EF"/>
    <w:rsid w:val="00F55DC9"/>
    <w:rsid w:val="00F61BFC"/>
    <w:rsid w:val="00F6402E"/>
    <w:rsid w:val="00F65231"/>
    <w:rsid w:val="00F65DCA"/>
    <w:rsid w:val="00F70F0B"/>
    <w:rsid w:val="00F7114A"/>
    <w:rsid w:val="00F71657"/>
    <w:rsid w:val="00F72255"/>
    <w:rsid w:val="00F74212"/>
    <w:rsid w:val="00F7688D"/>
    <w:rsid w:val="00F80820"/>
    <w:rsid w:val="00F81D68"/>
    <w:rsid w:val="00F82D90"/>
    <w:rsid w:val="00F82E7C"/>
    <w:rsid w:val="00F83CD2"/>
    <w:rsid w:val="00F84250"/>
    <w:rsid w:val="00F84FA1"/>
    <w:rsid w:val="00F8516D"/>
    <w:rsid w:val="00F861E4"/>
    <w:rsid w:val="00F90A17"/>
    <w:rsid w:val="00F92887"/>
    <w:rsid w:val="00F93ABB"/>
    <w:rsid w:val="00F950F3"/>
    <w:rsid w:val="00FA1D91"/>
    <w:rsid w:val="00FA1F7F"/>
    <w:rsid w:val="00FA23B4"/>
    <w:rsid w:val="00FA2C33"/>
    <w:rsid w:val="00FA2FAF"/>
    <w:rsid w:val="00FA4386"/>
    <w:rsid w:val="00FA6212"/>
    <w:rsid w:val="00FA6C7B"/>
    <w:rsid w:val="00FA7576"/>
    <w:rsid w:val="00FB049C"/>
    <w:rsid w:val="00FB17C9"/>
    <w:rsid w:val="00FC26CA"/>
    <w:rsid w:val="00FD3C2F"/>
    <w:rsid w:val="00FD3E88"/>
    <w:rsid w:val="00FD5243"/>
    <w:rsid w:val="00FE3B47"/>
    <w:rsid w:val="00FE4A64"/>
    <w:rsid w:val="00FE4FF1"/>
    <w:rsid w:val="00FE6CF7"/>
    <w:rsid w:val="00FE700D"/>
    <w:rsid w:val="00FE75E8"/>
    <w:rsid w:val="00FF09E2"/>
    <w:rsid w:val="00FF1139"/>
    <w:rsid w:val="00FF177B"/>
    <w:rsid w:val="00FF4E76"/>
    <w:rsid w:val="00FF5723"/>
    <w:rsid w:val="00FF6CA1"/>
    <w:rsid w:val="00FF7B0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hapeDefaults>
    <o:shapedefaults v:ext="edit" spidmax="17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imes New Roman" w:hAnsi="Arial" w:cs="Arial"/>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semiHidden="1" w:uiPriority="35" w:unhideWhenUsed="1" w:qFormat="1"/>
    <w:lsdException w:name="annotation reference" w:uiPriority="99"/>
    <w:lsdException w:name="Title" w:qFormat="1"/>
    <w:lsdException w:name="Body Text" w:uiPriority="99"/>
    <w:lsdException w:name="Subtitle" w:uiPriority="11" w:qFormat="1"/>
    <w:lsdException w:name="Body Text 2" w:uiPriority="99"/>
    <w:lsdException w:name="Hyperlink" w:uiPriority="99"/>
    <w:lsdException w:name="Strong" w:uiPriority="22"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45D83"/>
    <w:pPr>
      <w:jc w:val="both"/>
    </w:pPr>
    <w:rPr>
      <w:rFonts w:cs="Times New Roman"/>
      <w:sz w:val="22"/>
      <w:szCs w:val="22"/>
      <w:lang w:val="en-US" w:eastAsia="en-US"/>
    </w:rPr>
  </w:style>
  <w:style w:type="paragraph" w:styleId="Heading1">
    <w:name w:val="heading 1"/>
    <w:basedOn w:val="Normal"/>
    <w:next w:val="Normal"/>
    <w:link w:val="Heading1Char"/>
    <w:uiPriority w:val="9"/>
    <w:qFormat/>
    <w:rsid w:val="009D197D"/>
    <w:pPr>
      <w:pBdr>
        <w:bottom w:val="single" w:sz="12" w:space="1" w:color="365F91"/>
      </w:pBdr>
      <w:spacing w:before="600" w:after="80"/>
      <w:outlineLvl w:val="0"/>
    </w:pPr>
    <w:rPr>
      <w:b/>
      <w:bCs/>
      <w:color w:val="365F91"/>
      <w:sz w:val="24"/>
      <w:szCs w:val="24"/>
    </w:rPr>
  </w:style>
  <w:style w:type="paragraph" w:styleId="Heading2">
    <w:name w:val="heading 2"/>
    <w:basedOn w:val="Normal"/>
    <w:next w:val="Normal"/>
    <w:link w:val="Heading2Char"/>
    <w:uiPriority w:val="9"/>
    <w:unhideWhenUsed/>
    <w:qFormat/>
    <w:rsid w:val="009D197D"/>
    <w:pPr>
      <w:pBdr>
        <w:bottom w:val="single" w:sz="8" w:space="1" w:color="4F81BD"/>
      </w:pBdr>
      <w:spacing w:before="200" w:after="80"/>
      <w:outlineLvl w:val="1"/>
    </w:pPr>
    <w:rPr>
      <w:b/>
      <w:color w:val="365F91"/>
      <w:sz w:val="24"/>
      <w:szCs w:val="24"/>
    </w:rPr>
  </w:style>
  <w:style w:type="paragraph" w:styleId="Heading3">
    <w:name w:val="heading 3"/>
    <w:basedOn w:val="Normal"/>
    <w:next w:val="Normal"/>
    <w:link w:val="Heading3Char"/>
    <w:uiPriority w:val="9"/>
    <w:unhideWhenUsed/>
    <w:qFormat/>
    <w:rsid w:val="00273219"/>
    <w:pPr>
      <w:pBdr>
        <w:bottom w:val="single" w:sz="4" w:space="1" w:color="95B3D7"/>
      </w:pBdr>
      <w:spacing w:before="200" w:after="80"/>
      <w:outlineLvl w:val="2"/>
    </w:pPr>
    <w:rPr>
      <w:b/>
      <w:color w:val="4F81BD"/>
    </w:rPr>
  </w:style>
  <w:style w:type="paragraph" w:styleId="Heading4">
    <w:name w:val="heading 4"/>
    <w:basedOn w:val="Normal"/>
    <w:next w:val="Normal"/>
    <w:link w:val="Heading4Char"/>
    <w:uiPriority w:val="9"/>
    <w:semiHidden/>
    <w:unhideWhenUsed/>
    <w:qFormat/>
    <w:rsid w:val="00093BEB"/>
    <w:pPr>
      <w:pBdr>
        <w:bottom w:val="single" w:sz="4" w:space="2" w:color="B8CCE4"/>
      </w:pBdr>
      <w:spacing w:before="200" w:after="80"/>
      <w:outlineLvl w:val="3"/>
    </w:pPr>
    <w:rPr>
      <w:i/>
      <w:iCs/>
      <w:color w:val="4F81BD"/>
      <w:sz w:val="24"/>
      <w:szCs w:val="24"/>
    </w:rPr>
  </w:style>
  <w:style w:type="paragraph" w:styleId="Heading5">
    <w:name w:val="heading 5"/>
    <w:basedOn w:val="Normal"/>
    <w:next w:val="Normal"/>
    <w:link w:val="Heading5Char"/>
    <w:uiPriority w:val="9"/>
    <w:semiHidden/>
    <w:unhideWhenUsed/>
    <w:qFormat/>
    <w:rsid w:val="00093BEB"/>
    <w:pPr>
      <w:spacing w:before="200" w:after="80"/>
      <w:outlineLvl w:val="4"/>
    </w:pPr>
    <w:rPr>
      <w:color w:val="4F81BD"/>
    </w:rPr>
  </w:style>
  <w:style w:type="paragraph" w:styleId="Heading6">
    <w:name w:val="heading 6"/>
    <w:basedOn w:val="Normal"/>
    <w:next w:val="Normal"/>
    <w:link w:val="Heading6Char"/>
    <w:uiPriority w:val="9"/>
    <w:semiHidden/>
    <w:unhideWhenUsed/>
    <w:qFormat/>
    <w:rsid w:val="00093BEB"/>
    <w:pPr>
      <w:spacing w:before="280" w:after="100"/>
      <w:outlineLvl w:val="5"/>
    </w:pPr>
    <w:rPr>
      <w:i/>
      <w:iCs/>
      <w:color w:val="4F81BD"/>
    </w:rPr>
  </w:style>
  <w:style w:type="paragraph" w:styleId="Heading7">
    <w:name w:val="heading 7"/>
    <w:basedOn w:val="Normal"/>
    <w:next w:val="Normal"/>
    <w:link w:val="Heading7Char"/>
    <w:uiPriority w:val="9"/>
    <w:semiHidden/>
    <w:unhideWhenUsed/>
    <w:qFormat/>
    <w:rsid w:val="00093BEB"/>
    <w:pPr>
      <w:spacing w:before="320" w:after="100"/>
      <w:outlineLvl w:val="6"/>
    </w:pPr>
    <w:rPr>
      <w:b/>
      <w:bCs/>
      <w:color w:val="548DD4"/>
      <w:sz w:val="20"/>
      <w:szCs w:val="20"/>
    </w:rPr>
  </w:style>
  <w:style w:type="paragraph" w:styleId="Heading8">
    <w:name w:val="heading 8"/>
    <w:basedOn w:val="Normal"/>
    <w:next w:val="Normal"/>
    <w:link w:val="Heading8Char"/>
    <w:uiPriority w:val="9"/>
    <w:semiHidden/>
    <w:unhideWhenUsed/>
    <w:qFormat/>
    <w:rsid w:val="00093BEB"/>
    <w:pPr>
      <w:spacing w:before="320" w:after="100"/>
      <w:outlineLvl w:val="7"/>
    </w:pPr>
    <w:rPr>
      <w:b/>
      <w:bCs/>
      <w:i/>
      <w:iCs/>
      <w:color w:val="548DD4"/>
      <w:sz w:val="20"/>
      <w:szCs w:val="20"/>
    </w:rPr>
  </w:style>
  <w:style w:type="paragraph" w:styleId="Heading9">
    <w:name w:val="heading 9"/>
    <w:basedOn w:val="Normal"/>
    <w:next w:val="Normal"/>
    <w:link w:val="Heading9Char"/>
    <w:uiPriority w:val="9"/>
    <w:semiHidden/>
    <w:unhideWhenUsed/>
    <w:qFormat/>
    <w:rsid w:val="00093BEB"/>
    <w:pPr>
      <w:spacing w:before="320" w:after="100"/>
      <w:outlineLvl w:val="8"/>
    </w:pPr>
    <w:rPr>
      <w:i/>
      <w:iCs/>
      <w:color w:val="548DD4"/>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9D197D"/>
    <w:rPr>
      <w:rFonts w:ascii="Arial" w:hAnsi="Arial" w:cs="Times New Roman"/>
      <w:b/>
      <w:bCs/>
      <w:color w:val="365F91"/>
      <w:sz w:val="24"/>
      <w:szCs w:val="24"/>
    </w:rPr>
  </w:style>
  <w:style w:type="character" w:customStyle="1" w:styleId="Heading2Char">
    <w:name w:val="Heading 2 Char"/>
    <w:basedOn w:val="DefaultParagraphFont"/>
    <w:link w:val="Heading2"/>
    <w:uiPriority w:val="9"/>
    <w:locked/>
    <w:rsid w:val="009D197D"/>
    <w:rPr>
      <w:rFonts w:ascii="Arial" w:hAnsi="Arial" w:cs="Times New Roman"/>
      <w:b/>
      <w:color w:val="365F91"/>
      <w:sz w:val="24"/>
      <w:szCs w:val="24"/>
    </w:rPr>
  </w:style>
  <w:style w:type="character" w:customStyle="1" w:styleId="Heading3Char">
    <w:name w:val="Heading 3 Char"/>
    <w:basedOn w:val="DefaultParagraphFont"/>
    <w:link w:val="Heading3"/>
    <w:uiPriority w:val="9"/>
    <w:locked/>
    <w:rsid w:val="00273219"/>
    <w:rPr>
      <w:rFonts w:ascii="Arial" w:hAnsi="Arial" w:cs="Times New Roman"/>
      <w:b/>
      <w:color w:val="4F81BD"/>
    </w:rPr>
  </w:style>
  <w:style w:type="character" w:customStyle="1" w:styleId="Heading4Char">
    <w:name w:val="Heading 4 Char"/>
    <w:basedOn w:val="DefaultParagraphFont"/>
    <w:link w:val="Heading4"/>
    <w:uiPriority w:val="9"/>
    <w:semiHidden/>
    <w:locked/>
    <w:rsid w:val="00093BEB"/>
    <w:rPr>
      <w:rFonts w:ascii="Arial" w:hAnsi="Arial" w:cs="Times New Roman"/>
      <w:i/>
      <w:iCs/>
      <w:color w:val="4F81BD"/>
      <w:sz w:val="24"/>
      <w:szCs w:val="24"/>
    </w:rPr>
  </w:style>
  <w:style w:type="character" w:customStyle="1" w:styleId="Heading5Char">
    <w:name w:val="Heading 5 Char"/>
    <w:basedOn w:val="DefaultParagraphFont"/>
    <w:link w:val="Heading5"/>
    <w:uiPriority w:val="9"/>
    <w:semiHidden/>
    <w:locked/>
    <w:rsid w:val="00093BEB"/>
    <w:rPr>
      <w:rFonts w:ascii="Arial" w:hAnsi="Arial" w:cs="Times New Roman"/>
      <w:color w:val="4F81BD"/>
    </w:rPr>
  </w:style>
  <w:style w:type="character" w:customStyle="1" w:styleId="Heading6Char">
    <w:name w:val="Heading 6 Char"/>
    <w:basedOn w:val="DefaultParagraphFont"/>
    <w:link w:val="Heading6"/>
    <w:uiPriority w:val="9"/>
    <w:semiHidden/>
    <w:locked/>
    <w:rsid w:val="00093BEB"/>
    <w:rPr>
      <w:rFonts w:ascii="Arial" w:hAnsi="Arial" w:cs="Times New Roman"/>
      <w:i/>
      <w:iCs/>
      <w:color w:val="4F81BD"/>
    </w:rPr>
  </w:style>
  <w:style w:type="character" w:customStyle="1" w:styleId="Heading7Char">
    <w:name w:val="Heading 7 Char"/>
    <w:basedOn w:val="DefaultParagraphFont"/>
    <w:link w:val="Heading7"/>
    <w:uiPriority w:val="9"/>
    <w:semiHidden/>
    <w:locked/>
    <w:rsid w:val="00093BEB"/>
    <w:rPr>
      <w:rFonts w:ascii="Arial" w:hAnsi="Arial" w:cs="Times New Roman"/>
      <w:b/>
      <w:bCs/>
      <w:color w:val="548DD4"/>
      <w:sz w:val="20"/>
      <w:szCs w:val="20"/>
    </w:rPr>
  </w:style>
  <w:style w:type="character" w:customStyle="1" w:styleId="Heading8Char">
    <w:name w:val="Heading 8 Char"/>
    <w:basedOn w:val="DefaultParagraphFont"/>
    <w:link w:val="Heading8"/>
    <w:uiPriority w:val="9"/>
    <w:semiHidden/>
    <w:locked/>
    <w:rsid w:val="00093BEB"/>
    <w:rPr>
      <w:rFonts w:ascii="Arial" w:hAnsi="Arial" w:cs="Times New Roman"/>
      <w:b/>
      <w:bCs/>
      <w:i/>
      <w:iCs/>
      <w:color w:val="548DD4"/>
      <w:sz w:val="20"/>
      <w:szCs w:val="20"/>
    </w:rPr>
  </w:style>
  <w:style w:type="character" w:customStyle="1" w:styleId="Heading9Char">
    <w:name w:val="Heading 9 Char"/>
    <w:basedOn w:val="DefaultParagraphFont"/>
    <w:link w:val="Heading9"/>
    <w:uiPriority w:val="9"/>
    <w:semiHidden/>
    <w:locked/>
    <w:rsid w:val="00093BEB"/>
    <w:rPr>
      <w:rFonts w:ascii="Arial" w:hAnsi="Arial" w:cs="Times New Roman"/>
      <w:i/>
      <w:iCs/>
      <w:color w:val="548DD4"/>
      <w:sz w:val="20"/>
      <w:szCs w:val="20"/>
    </w:rPr>
  </w:style>
  <w:style w:type="paragraph" w:styleId="TOC1">
    <w:name w:val="toc 1"/>
    <w:basedOn w:val="Normal"/>
    <w:next w:val="Normal"/>
    <w:autoRedefine/>
    <w:uiPriority w:val="39"/>
    <w:qFormat/>
    <w:rsid w:val="00D63D4E"/>
    <w:pPr>
      <w:tabs>
        <w:tab w:val="right" w:leader="dot" w:pos="10250"/>
      </w:tabs>
      <w:spacing w:before="120" w:after="120"/>
      <w:ind w:right="1468"/>
    </w:pPr>
    <w:rPr>
      <w:rFonts w:cs="Arial"/>
      <w:b/>
      <w:bCs/>
      <w:noProof/>
      <w:sz w:val="20"/>
      <w:szCs w:val="20"/>
    </w:rPr>
  </w:style>
  <w:style w:type="paragraph" w:customStyle="1" w:styleId="MFAAnnex">
    <w:name w:val="MFA Annex"/>
    <w:basedOn w:val="BodyText"/>
    <w:rsid w:val="007E5AE8"/>
    <w:pPr>
      <w:numPr>
        <w:numId w:val="1"/>
      </w:numPr>
      <w:tabs>
        <w:tab w:val="left" w:pos="737"/>
      </w:tabs>
      <w:spacing w:after="240"/>
    </w:pPr>
    <w:rPr>
      <w:szCs w:val="20"/>
      <w:lang w:val="en-GB" w:eastAsia="en-GB"/>
    </w:rPr>
  </w:style>
  <w:style w:type="paragraph" w:customStyle="1" w:styleId="indent10">
    <w:name w:val="indent10"/>
    <w:basedOn w:val="Normal"/>
    <w:rsid w:val="007E5AE8"/>
    <w:pPr>
      <w:spacing w:before="100" w:beforeAutospacing="1" w:after="100" w:afterAutospacing="1"/>
    </w:pPr>
    <w:rPr>
      <w:lang w:val="en-GB" w:eastAsia="en-GB"/>
    </w:rPr>
  </w:style>
  <w:style w:type="paragraph" w:customStyle="1" w:styleId="indent20">
    <w:name w:val="indent20"/>
    <w:basedOn w:val="Normal"/>
    <w:rsid w:val="007E5AE8"/>
    <w:pPr>
      <w:spacing w:before="100" w:beforeAutospacing="1" w:after="100" w:afterAutospacing="1"/>
    </w:pPr>
    <w:rPr>
      <w:lang w:val="en-GB" w:eastAsia="en-GB"/>
    </w:rPr>
  </w:style>
  <w:style w:type="paragraph" w:styleId="BodyText">
    <w:name w:val="Body Text"/>
    <w:basedOn w:val="Normal"/>
    <w:link w:val="BodyTextChar"/>
    <w:uiPriority w:val="99"/>
    <w:rsid w:val="007E5AE8"/>
    <w:pPr>
      <w:spacing w:after="120"/>
    </w:pPr>
  </w:style>
  <w:style w:type="character" w:customStyle="1" w:styleId="BodyTextChar">
    <w:name w:val="Body Text Char"/>
    <w:basedOn w:val="DefaultParagraphFont"/>
    <w:link w:val="BodyText"/>
    <w:uiPriority w:val="99"/>
    <w:semiHidden/>
    <w:rsid w:val="00D4606B"/>
    <w:rPr>
      <w:rFonts w:cs="Times New Roman"/>
      <w:sz w:val="22"/>
      <w:szCs w:val="22"/>
      <w:lang w:val="en-US" w:eastAsia="en-US"/>
    </w:rPr>
  </w:style>
  <w:style w:type="paragraph" w:styleId="BodyTextIndent2">
    <w:name w:val="Body Text Indent 2"/>
    <w:basedOn w:val="Normal"/>
    <w:link w:val="BodyTextIndent2Char"/>
    <w:uiPriority w:val="99"/>
    <w:rsid w:val="00D923DA"/>
    <w:pPr>
      <w:spacing w:after="120" w:line="480" w:lineRule="auto"/>
      <w:ind w:left="283"/>
    </w:pPr>
  </w:style>
  <w:style w:type="character" w:customStyle="1" w:styleId="BodyTextIndent2Char">
    <w:name w:val="Body Text Indent 2 Char"/>
    <w:basedOn w:val="DefaultParagraphFont"/>
    <w:link w:val="BodyTextIndent2"/>
    <w:uiPriority w:val="99"/>
    <w:semiHidden/>
    <w:rsid w:val="00D4606B"/>
    <w:rPr>
      <w:rFonts w:cs="Times New Roman"/>
      <w:sz w:val="22"/>
      <w:szCs w:val="22"/>
      <w:lang w:val="en-US" w:eastAsia="en-US"/>
    </w:rPr>
  </w:style>
  <w:style w:type="paragraph" w:styleId="FootnoteText">
    <w:name w:val="footnote text"/>
    <w:basedOn w:val="Normal"/>
    <w:link w:val="FootnoteTextChar"/>
    <w:uiPriority w:val="99"/>
    <w:semiHidden/>
    <w:rsid w:val="00D923DA"/>
    <w:rPr>
      <w:sz w:val="20"/>
      <w:szCs w:val="20"/>
      <w:lang w:val="en-GB"/>
    </w:rPr>
  </w:style>
  <w:style w:type="character" w:customStyle="1" w:styleId="FootnoteTextChar">
    <w:name w:val="Footnote Text Char"/>
    <w:basedOn w:val="DefaultParagraphFont"/>
    <w:link w:val="FootnoteText"/>
    <w:uiPriority w:val="99"/>
    <w:semiHidden/>
    <w:rsid w:val="00D4606B"/>
    <w:rPr>
      <w:rFonts w:cs="Times New Roman"/>
      <w:lang w:val="en-US" w:eastAsia="en-US"/>
    </w:rPr>
  </w:style>
  <w:style w:type="character" w:styleId="Hyperlink">
    <w:name w:val="Hyperlink"/>
    <w:basedOn w:val="DefaultParagraphFont"/>
    <w:uiPriority w:val="99"/>
    <w:rsid w:val="00AF299C"/>
    <w:rPr>
      <w:rFonts w:cs="Times New Roman"/>
      <w:color w:val="0000FF"/>
      <w:u w:val="none"/>
    </w:rPr>
  </w:style>
  <w:style w:type="paragraph" w:styleId="Header">
    <w:name w:val="header"/>
    <w:basedOn w:val="Normal"/>
    <w:link w:val="HeaderChar"/>
    <w:rsid w:val="00886AA0"/>
    <w:pPr>
      <w:tabs>
        <w:tab w:val="center" w:pos="4153"/>
        <w:tab w:val="right" w:pos="8306"/>
      </w:tabs>
    </w:pPr>
  </w:style>
  <w:style w:type="character" w:customStyle="1" w:styleId="HeaderChar">
    <w:name w:val="Header Char"/>
    <w:basedOn w:val="DefaultParagraphFont"/>
    <w:link w:val="Header"/>
    <w:locked/>
    <w:rsid w:val="00006144"/>
    <w:rPr>
      <w:rFonts w:cs="Times New Roman"/>
    </w:rPr>
  </w:style>
  <w:style w:type="paragraph" w:styleId="Footer">
    <w:name w:val="footer"/>
    <w:basedOn w:val="Normal"/>
    <w:link w:val="FooterChar"/>
    <w:uiPriority w:val="99"/>
    <w:rsid w:val="00886AA0"/>
    <w:pPr>
      <w:tabs>
        <w:tab w:val="center" w:pos="4153"/>
        <w:tab w:val="right" w:pos="8306"/>
      </w:tabs>
    </w:pPr>
  </w:style>
  <w:style w:type="character" w:customStyle="1" w:styleId="FooterChar">
    <w:name w:val="Footer Char"/>
    <w:basedOn w:val="DefaultParagraphFont"/>
    <w:link w:val="Footer"/>
    <w:uiPriority w:val="99"/>
    <w:locked/>
    <w:rsid w:val="00716AF8"/>
    <w:rPr>
      <w:rFonts w:cs="Times New Roman"/>
    </w:rPr>
  </w:style>
  <w:style w:type="character" w:styleId="PageNumber">
    <w:name w:val="page number"/>
    <w:basedOn w:val="DefaultParagraphFont"/>
    <w:uiPriority w:val="99"/>
    <w:rsid w:val="00627E33"/>
    <w:rPr>
      <w:rFonts w:cs="Times New Roman"/>
    </w:rPr>
  </w:style>
  <w:style w:type="paragraph" w:styleId="BalloonText">
    <w:name w:val="Balloon Text"/>
    <w:basedOn w:val="Normal"/>
    <w:link w:val="BalloonTextChar"/>
    <w:uiPriority w:val="99"/>
    <w:semiHidden/>
    <w:rsid w:val="00467ECC"/>
    <w:rPr>
      <w:rFonts w:ascii="Tahoma" w:hAnsi="Tahoma" w:cs="Tahoma"/>
      <w:sz w:val="16"/>
      <w:szCs w:val="16"/>
    </w:rPr>
  </w:style>
  <w:style w:type="character" w:customStyle="1" w:styleId="BalloonTextChar">
    <w:name w:val="Balloon Text Char"/>
    <w:basedOn w:val="DefaultParagraphFont"/>
    <w:link w:val="BalloonText"/>
    <w:uiPriority w:val="99"/>
    <w:semiHidden/>
    <w:rsid w:val="00D4606B"/>
    <w:rPr>
      <w:rFonts w:ascii="Times New Roman" w:hAnsi="Times New Roman" w:cs="Times New Roman"/>
      <w:sz w:val="0"/>
      <w:szCs w:val="0"/>
      <w:lang w:val="en-US" w:eastAsia="en-US"/>
    </w:rPr>
  </w:style>
  <w:style w:type="paragraph" w:styleId="BodyTextIndent">
    <w:name w:val="Body Text Indent"/>
    <w:basedOn w:val="Normal"/>
    <w:link w:val="BodyTextIndentChar"/>
    <w:uiPriority w:val="99"/>
    <w:rsid w:val="00C0613E"/>
    <w:pPr>
      <w:spacing w:after="120"/>
      <w:ind w:left="283"/>
    </w:pPr>
  </w:style>
  <w:style w:type="character" w:customStyle="1" w:styleId="BodyTextIndentChar">
    <w:name w:val="Body Text Indent Char"/>
    <w:basedOn w:val="DefaultParagraphFont"/>
    <w:link w:val="BodyTextIndent"/>
    <w:uiPriority w:val="99"/>
    <w:semiHidden/>
    <w:rsid w:val="00D4606B"/>
    <w:rPr>
      <w:rFonts w:cs="Times New Roman"/>
      <w:sz w:val="22"/>
      <w:szCs w:val="22"/>
      <w:lang w:val="en-US" w:eastAsia="en-US"/>
    </w:rPr>
  </w:style>
  <w:style w:type="table" w:styleId="TableGrid">
    <w:name w:val="Table Grid"/>
    <w:basedOn w:val="TableNormal"/>
    <w:rsid w:val="0003550F"/>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636EB5"/>
    <w:pPr>
      <w:pBdr>
        <w:top w:val="single" w:sz="8" w:space="10" w:color="A7BFDE"/>
        <w:bottom w:val="single" w:sz="24" w:space="15" w:color="548DD4"/>
      </w:pBdr>
      <w:jc w:val="center"/>
    </w:pPr>
    <w:rPr>
      <w:i/>
      <w:iCs/>
      <w:color w:val="243F60"/>
      <w:sz w:val="48"/>
      <w:szCs w:val="48"/>
    </w:rPr>
  </w:style>
  <w:style w:type="character" w:customStyle="1" w:styleId="TitleChar">
    <w:name w:val="Title Char"/>
    <w:basedOn w:val="DefaultParagraphFont"/>
    <w:link w:val="Title"/>
    <w:locked/>
    <w:rsid w:val="00636EB5"/>
    <w:rPr>
      <w:rFonts w:ascii="Arial" w:hAnsi="Arial" w:cs="Times New Roman"/>
      <w:i/>
      <w:iCs/>
      <w:color w:val="243F60"/>
      <w:sz w:val="48"/>
      <w:szCs w:val="48"/>
    </w:rPr>
  </w:style>
  <w:style w:type="paragraph" w:customStyle="1" w:styleId="Default">
    <w:name w:val="Default"/>
    <w:rsid w:val="00A40542"/>
    <w:pPr>
      <w:autoSpaceDE w:val="0"/>
      <w:autoSpaceDN w:val="0"/>
      <w:adjustRightInd w:val="0"/>
      <w:ind w:firstLine="360"/>
    </w:pPr>
    <w:rPr>
      <w:rFonts w:cs="Times New Roman"/>
      <w:color w:val="000000"/>
      <w:sz w:val="24"/>
      <w:szCs w:val="24"/>
    </w:rPr>
  </w:style>
  <w:style w:type="paragraph" w:customStyle="1" w:styleId="CharCharCharCharCharCharCharCharCharCharCharCharCharCharCharChar">
    <w:name w:val="Char Char Char Char Char Char Char Char Char Char Char Char Char Char Char Char"/>
    <w:basedOn w:val="Normal"/>
    <w:rsid w:val="000413E8"/>
    <w:rPr>
      <w:rFonts w:eastAsia="SimSun"/>
      <w:sz w:val="20"/>
      <w:szCs w:val="20"/>
      <w:lang w:val="en-GB" w:eastAsia="zh-CN"/>
    </w:rPr>
  </w:style>
  <w:style w:type="character" w:customStyle="1" w:styleId="sifr-alternate">
    <w:name w:val="sifr-alternate"/>
    <w:basedOn w:val="DefaultParagraphFont"/>
    <w:rsid w:val="00F83CD2"/>
    <w:rPr>
      <w:rFonts w:cs="Times New Roman"/>
    </w:rPr>
  </w:style>
  <w:style w:type="paragraph" w:customStyle="1" w:styleId="Mainitembody">
    <w:name w:val="Main item body"/>
    <w:basedOn w:val="Normal"/>
    <w:link w:val="MainitembodyChar"/>
    <w:uiPriority w:val="99"/>
    <w:rsid w:val="00977C14"/>
    <w:pPr>
      <w:spacing w:before="160"/>
      <w:ind w:left="720"/>
    </w:pPr>
    <w:rPr>
      <w:szCs w:val="20"/>
      <w:lang w:val="en-GB"/>
    </w:rPr>
  </w:style>
  <w:style w:type="character" w:customStyle="1" w:styleId="MainitembodyChar">
    <w:name w:val="Main item body Char"/>
    <w:basedOn w:val="DefaultParagraphFont"/>
    <w:link w:val="Mainitembody"/>
    <w:uiPriority w:val="99"/>
    <w:locked/>
    <w:rsid w:val="00D315DF"/>
    <w:rPr>
      <w:rFonts w:ascii="Arial" w:hAnsi="Arial" w:cs="Times New Roman"/>
      <w:sz w:val="24"/>
      <w:lang w:val="en-GB" w:eastAsia="en-US" w:bidi="ar-SA"/>
    </w:rPr>
  </w:style>
  <w:style w:type="paragraph" w:customStyle="1" w:styleId="Bullet">
    <w:name w:val="Bullet"/>
    <w:aliases w:val="bl"/>
    <w:basedOn w:val="Normal"/>
    <w:rsid w:val="008905C9"/>
    <w:pPr>
      <w:numPr>
        <w:numId w:val="3"/>
      </w:numPr>
      <w:spacing w:before="120" w:after="120"/>
    </w:pPr>
    <w:rPr>
      <w:rFonts w:cs="Arial"/>
      <w:sz w:val="20"/>
      <w:szCs w:val="20"/>
      <w:lang w:val="en-GB"/>
    </w:rPr>
  </w:style>
  <w:style w:type="character" w:styleId="Emphasis">
    <w:name w:val="Emphasis"/>
    <w:basedOn w:val="DefaultParagraphFont"/>
    <w:uiPriority w:val="20"/>
    <w:qFormat/>
    <w:rsid w:val="00093BEB"/>
    <w:rPr>
      <w:b/>
      <w:i/>
      <w:color w:val="5A5A5A"/>
    </w:rPr>
  </w:style>
  <w:style w:type="paragraph" w:styleId="Caption">
    <w:name w:val="caption"/>
    <w:basedOn w:val="Normal"/>
    <w:next w:val="Normal"/>
    <w:uiPriority w:val="35"/>
    <w:semiHidden/>
    <w:unhideWhenUsed/>
    <w:qFormat/>
    <w:rsid w:val="00093BEB"/>
    <w:rPr>
      <w:b/>
      <w:bCs/>
      <w:sz w:val="18"/>
      <w:szCs w:val="18"/>
    </w:rPr>
  </w:style>
  <w:style w:type="paragraph" w:styleId="Subtitle">
    <w:name w:val="Subtitle"/>
    <w:basedOn w:val="Normal"/>
    <w:next w:val="Normal"/>
    <w:link w:val="SubtitleChar"/>
    <w:uiPriority w:val="11"/>
    <w:qFormat/>
    <w:rsid w:val="00093BEB"/>
    <w:pPr>
      <w:spacing w:before="200" w:after="900"/>
      <w:jc w:val="right"/>
    </w:pPr>
    <w:rPr>
      <w:i/>
      <w:iCs/>
      <w:sz w:val="24"/>
      <w:szCs w:val="24"/>
    </w:rPr>
  </w:style>
  <w:style w:type="character" w:customStyle="1" w:styleId="SubtitleChar">
    <w:name w:val="Subtitle Char"/>
    <w:basedOn w:val="DefaultParagraphFont"/>
    <w:link w:val="Subtitle"/>
    <w:uiPriority w:val="11"/>
    <w:locked/>
    <w:rsid w:val="00093BEB"/>
    <w:rPr>
      <w:rFonts w:ascii="Arial" w:cs="Times New Roman"/>
      <w:i/>
      <w:iCs/>
      <w:sz w:val="24"/>
      <w:szCs w:val="24"/>
    </w:rPr>
  </w:style>
  <w:style w:type="character" w:styleId="Strong">
    <w:name w:val="Strong"/>
    <w:basedOn w:val="DefaultParagraphFont"/>
    <w:uiPriority w:val="22"/>
    <w:qFormat/>
    <w:rsid w:val="00093BEB"/>
    <w:rPr>
      <w:rFonts w:cs="Times New Roman"/>
      <w:b/>
      <w:bCs/>
      <w:spacing w:val="0"/>
    </w:rPr>
  </w:style>
  <w:style w:type="paragraph" w:styleId="NoSpacing">
    <w:name w:val="No Spacing"/>
    <w:basedOn w:val="Normal"/>
    <w:link w:val="NoSpacingChar"/>
    <w:uiPriority w:val="1"/>
    <w:qFormat/>
    <w:rsid w:val="00093BEB"/>
  </w:style>
  <w:style w:type="character" w:customStyle="1" w:styleId="NoSpacingChar">
    <w:name w:val="No Spacing Char"/>
    <w:basedOn w:val="DefaultParagraphFont"/>
    <w:link w:val="NoSpacing"/>
    <w:uiPriority w:val="1"/>
    <w:locked/>
    <w:rsid w:val="00093BEB"/>
    <w:rPr>
      <w:rFonts w:cs="Times New Roman"/>
    </w:rPr>
  </w:style>
  <w:style w:type="paragraph" w:styleId="ListParagraph">
    <w:name w:val="List Paragraph"/>
    <w:basedOn w:val="Normal"/>
    <w:link w:val="ListParagraphChar"/>
    <w:uiPriority w:val="34"/>
    <w:qFormat/>
    <w:rsid w:val="00093BEB"/>
    <w:pPr>
      <w:ind w:left="720"/>
      <w:contextualSpacing/>
    </w:pPr>
  </w:style>
  <w:style w:type="paragraph" w:styleId="Quote">
    <w:name w:val="Quote"/>
    <w:basedOn w:val="Normal"/>
    <w:next w:val="Normal"/>
    <w:link w:val="QuoteChar"/>
    <w:uiPriority w:val="29"/>
    <w:qFormat/>
    <w:rsid w:val="00093BEB"/>
    <w:rPr>
      <w:i/>
      <w:iCs/>
      <w:color w:val="5A5A5A"/>
    </w:rPr>
  </w:style>
  <w:style w:type="character" w:customStyle="1" w:styleId="QuoteChar">
    <w:name w:val="Quote Char"/>
    <w:basedOn w:val="DefaultParagraphFont"/>
    <w:link w:val="Quote"/>
    <w:uiPriority w:val="29"/>
    <w:locked/>
    <w:rsid w:val="00093BEB"/>
    <w:rPr>
      <w:rFonts w:ascii="Arial" w:hAnsi="Arial" w:cs="Times New Roman"/>
      <w:i/>
      <w:iCs/>
      <w:color w:val="5A5A5A"/>
    </w:rPr>
  </w:style>
  <w:style w:type="paragraph" w:styleId="IntenseQuote">
    <w:name w:val="Intense Quote"/>
    <w:basedOn w:val="Normal"/>
    <w:next w:val="Normal"/>
    <w:link w:val="IntenseQuoteChar"/>
    <w:uiPriority w:val="30"/>
    <w:qFormat/>
    <w:rsid w:val="00093BEB"/>
    <w:pPr>
      <w:pBdr>
        <w:top w:val="single" w:sz="12" w:space="10" w:color="B8CCE4"/>
        <w:left w:val="single" w:sz="36" w:space="4" w:color="4F81BD"/>
        <w:bottom w:val="single" w:sz="24" w:space="10" w:color="548DD4"/>
        <w:right w:val="single" w:sz="36" w:space="4" w:color="4F81BD"/>
      </w:pBdr>
      <w:shd w:val="clear" w:color="auto" w:fill="4F81BD"/>
      <w:spacing w:before="320" w:after="320" w:line="300" w:lineRule="auto"/>
      <w:ind w:left="1440" w:right="1440"/>
    </w:pPr>
    <w:rPr>
      <w:i/>
      <w:iCs/>
      <w:color w:val="FFFFFF"/>
      <w:sz w:val="24"/>
      <w:szCs w:val="24"/>
    </w:rPr>
  </w:style>
  <w:style w:type="character" w:customStyle="1" w:styleId="IntenseQuoteChar">
    <w:name w:val="Intense Quote Char"/>
    <w:basedOn w:val="DefaultParagraphFont"/>
    <w:link w:val="IntenseQuote"/>
    <w:uiPriority w:val="30"/>
    <w:locked/>
    <w:rsid w:val="00093BEB"/>
    <w:rPr>
      <w:rFonts w:ascii="Arial" w:hAnsi="Arial" w:cs="Times New Roman"/>
      <w:i/>
      <w:iCs/>
      <w:color w:val="FFFFFF"/>
      <w:sz w:val="24"/>
      <w:szCs w:val="24"/>
      <w:shd w:val="clear" w:color="auto" w:fill="4F81BD"/>
    </w:rPr>
  </w:style>
  <w:style w:type="character" w:styleId="SubtleEmphasis">
    <w:name w:val="Subtle Emphasis"/>
    <w:basedOn w:val="DefaultParagraphFont"/>
    <w:uiPriority w:val="19"/>
    <w:qFormat/>
    <w:rsid w:val="00093BEB"/>
    <w:rPr>
      <w:i/>
      <w:color w:val="5A5A5A"/>
    </w:rPr>
  </w:style>
  <w:style w:type="character" w:styleId="IntenseEmphasis">
    <w:name w:val="Intense Emphasis"/>
    <w:basedOn w:val="DefaultParagraphFont"/>
    <w:uiPriority w:val="21"/>
    <w:qFormat/>
    <w:rsid w:val="00093BEB"/>
    <w:rPr>
      <w:b/>
      <w:i/>
      <w:color w:val="4F81BD"/>
      <w:sz w:val="22"/>
    </w:rPr>
  </w:style>
  <w:style w:type="character" w:styleId="SubtleReference">
    <w:name w:val="Subtle Reference"/>
    <w:basedOn w:val="DefaultParagraphFont"/>
    <w:uiPriority w:val="31"/>
    <w:qFormat/>
    <w:rsid w:val="00093BEB"/>
    <w:rPr>
      <w:color w:val="auto"/>
      <w:u w:val="single" w:color="548DD4"/>
    </w:rPr>
  </w:style>
  <w:style w:type="character" w:styleId="IntenseReference">
    <w:name w:val="Intense Reference"/>
    <w:basedOn w:val="DefaultParagraphFont"/>
    <w:uiPriority w:val="32"/>
    <w:qFormat/>
    <w:rsid w:val="00093BEB"/>
    <w:rPr>
      <w:rFonts w:cs="Times New Roman"/>
      <w:b/>
      <w:bCs/>
      <w:color w:val="2C67B1"/>
      <w:u w:val="single" w:color="548DD4"/>
    </w:rPr>
  </w:style>
  <w:style w:type="character" w:styleId="BookTitle">
    <w:name w:val="Book Title"/>
    <w:basedOn w:val="DefaultParagraphFont"/>
    <w:uiPriority w:val="33"/>
    <w:qFormat/>
    <w:rsid w:val="00093BEB"/>
    <w:rPr>
      <w:rFonts w:ascii="Arial" w:hAnsi="Arial" w:cs="Times New Roman"/>
      <w:b/>
      <w:bCs/>
      <w:i/>
      <w:iCs/>
      <w:color w:val="auto"/>
    </w:rPr>
  </w:style>
  <w:style w:type="paragraph" w:styleId="TOCHeading">
    <w:name w:val="TOC Heading"/>
    <w:basedOn w:val="Heading1"/>
    <w:next w:val="Normal"/>
    <w:uiPriority w:val="39"/>
    <w:unhideWhenUsed/>
    <w:qFormat/>
    <w:rsid w:val="00DD626A"/>
    <w:pPr>
      <w:outlineLvl w:val="9"/>
    </w:pPr>
  </w:style>
  <w:style w:type="paragraph" w:styleId="TOC2">
    <w:name w:val="toc 2"/>
    <w:basedOn w:val="Normal"/>
    <w:next w:val="Normal"/>
    <w:autoRedefine/>
    <w:uiPriority w:val="39"/>
    <w:unhideWhenUsed/>
    <w:qFormat/>
    <w:rsid w:val="00474AF1"/>
    <w:pPr>
      <w:tabs>
        <w:tab w:val="right" w:leader="dot" w:pos="10250"/>
      </w:tabs>
      <w:spacing w:before="120"/>
      <w:ind w:left="413" w:hanging="413"/>
      <w:jc w:val="left"/>
    </w:pPr>
    <w:rPr>
      <w:rFonts w:cs="Arial"/>
      <w:b/>
      <w:iCs/>
      <w:noProof/>
      <w:sz w:val="20"/>
      <w:szCs w:val="20"/>
      <w:lang w:val="en-GB"/>
    </w:rPr>
  </w:style>
  <w:style w:type="paragraph" w:styleId="TOC3">
    <w:name w:val="toc 3"/>
    <w:basedOn w:val="Normal"/>
    <w:next w:val="Normal"/>
    <w:autoRedefine/>
    <w:uiPriority w:val="39"/>
    <w:unhideWhenUsed/>
    <w:qFormat/>
    <w:rsid w:val="003E1F0D"/>
    <w:pPr>
      <w:tabs>
        <w:tab w:val="left" w:pos="1100"/>
        <w:tab w:val="right" w:leader="dot" w:pos="10250"/>
      </w:tabs>
    </w:pPr>
    <w:rPr>
      <w:rFonts w:cs="Arial"/>
      <w:sz w:val="20"/>
      <w:szCs w:val="20"/>
    </w:rPr>
  </w:style>
  <w:style w:type="paragraph" w:styleId="TOC4">
    <w:name w:val="toc 4"/>
    <w:basedOn w:val="Normal"/>
    <w:next w:val="Normal"/>
    <w:autoRedefine/>
    <w:uiPriority w:val="39"/>
    <w:rsid w:val="00DD626A"/>
    <w:pPr>
      <w:ind w:left="660"/>
    </w:pPr>
    <w:rPr>
      <w:rFonts w:cs="Arial"/>
      <w:sz w:val="20"/>
      <w:szCs w:val="20"/>
    </w:rPr>
  </w:style>
  <w:style w:type="paragraph" w:styleId="TOC5">
    <w:name w:val="toc 5"/>
    <w:basedOn w:val="Normal"/>
    <w:next w:val="Normal"/>
    <w:autoRedefine/>
    <w:uiPriority w:val="39"/>
    <w:rsid w:val="00DD626A"/>
    <w:pPr>
      <w:ind w:left="880"/>
    </w:pPr>
    <w:rPr>
      <w:rFonts w:cs="Arial"/>
      <w:sz w:val="20"/>
      <w:szCs w:val="20"/>
    </w:rPr>
  </w:style>
  <w:style w:type="paragraph" w:styleId="TOC6">
    <w:name w:val="toc 6"/>
    <w:basedOn w:val="Normal"/>
    <w:next w:val="Normal"/>
    <w:autoRedefine/>
    <w:uiPriority w:val="39"/>
    <w:rsid w:val="00DD626A"/>
    <w:pPr>
      <w:ind w:left="1100"/>
    </w:pPr>
    <w:rPr>
      <w:rFonts w:cs="Arial"/>
      <w:sz w:val="20"/>
      <w:szCs w:val="20"/>
    </w:rPr>
  </w:style>
  <w:style w:type="paragraph" w:styleId="TOC7">
    <w:name w:val="toc 7"/>
    <w:basedOn w:val="Normal"/>
    <w:next w:val="Normal"/>
    <w:autoRedefine/>
    <w:uiPriority w:val="39"/>
    <w:rsid w:val="00DD626A"/>
    <w:pPr>
      <w:ind w:left="1320"/>
    </w:pPr>
    <w:rPr>
      <w:rFonts w:cs="Arial"/>
      <w:sz w:val="20"/>
      <w:szCs w:val="20"/>
    </w:rPr>
  </w:style>
  <w:style w:type="paragraph" w:styleId="TOC8">
    <w:name w:val="toc 8"/>
    <w:basedOn w:val="Normal"/>
    <w:next w:val="Normal"/>
    <w:autoRedefine/>
    <w:uiPriority w:val="39"/>
    <w:rsid w:val="00DD626A"/>
    <w:pPr>
      <w:ind w:left="1540"/>
    </w:pPr>
    <w:rPr>
      <w:rFonts w:cs="Arial"/>
      <w:sz w:val="20"/>
      <w:szCs w:val="20"/>
    </w:rPr>
  </w:style>
  <w:style w:type="paragraph" w:styleId="TOC9">
    <w:name w:val="toc 9"/>
    <w:basedOn w:val="Normal"/>
    <w:next w:val="Normal"/>
    <w:autoRedefine/>
    <w:uiPriority w:val="39"/>
    <w:rsid w:val="00DD626A"/>
    <w:pPr>
      <w:ind w:left="1760"/>
    </w:pPr>
    <w:rPr>
      <w:rFonts w:cs="Arial"/>
      <w:sz w:val="20"/>
      <w:szCs w:val="20"/>
    </w:rPr>
  </w:style>
  <w:style w:type="paragraph" w:styleId="BodyText2">
    <w:name w:val="Body Text 2"/>
    <w:basedOn w:val="Normal"/>
    <w:link w:val="BodyText2Char"/>
    <w:uiPriority w:val="99"/>
    <w:rsid w:val="00006144"/>
    <w:pPr>
      <w:spacing w:after="120" w:line="480" w:lineRule="auto"/>
    </w:pPr>
  </w:style>
  <w:style w:type="character" w:customStyle="1" w:styleId="BodyText2Char">
    <w:name w:val="Body Text 2 Char"/>
    <w:basedOn w:val="DefaultParagraphFont"/>
    <w:link w:val="BodyText2"/>
    <w:uiPriority w:val="99"/>
    <w:locked/>
    <w:rsid w:val="00006144"/>
    <w:rPr>
      <w:rFonts w:cs="Times New Roman"/>
    </w:rPr>
  </w:style>
  <w:style w:type="paragraph" w:styleId="NormalWeb">
    <w:name w:val="Normal (Web)"/>
    <w:basedOn w:val="Normal"/>
    <w:uiPriority w:val="99"/>
    <w:rsid w:val="00006144"/>
    <w:pPr>
      <w:spacing w:before="100" w:after="100"/>
    </w:pPr>
    <w:rPr>
      <w:rFonts w:ascii="Times New Roman" w:hAnsi="Times New Roman"/>
      <w:sz w:val="24"/>
      <w:szCs w:val="20"/>
      <w:lang w:val="en-GB"/>
    </w:rPr>
  </w:style>
  <w:style w:type="paragraph" w:customStyle="1" w:styleId="23ACBodytextno">
    <w:name w:val="23. AC Body text (no #)"/>
    <w:basedOn w:val="Normal"/>
    <w:rsid w:val="00716AF8"/>
    <w:pPr>
      <w:spacing w:before="60" w:after="60" w:line="260" w:lineRule="atLeast"/>
      <w:ind w:left="1134"/>
    </w:pPr>
    <w:rPr>
      <w:rFonts w:ascii="Verdana" w:hAnsi="Verdana"/>
      <w:sz w:val="18"/>
      <w:lang w:val="en-GB"/>
    </w:rPr>
  </w:style>
  <w:style w:type="paragraph" w:customStyle="1" w:styleId="09ACBullet">
    <w:name w:val="09. AC Bullet"/>
    <w:basedOn w:val="Normal"/>
    <w:rsid w:val="00716AF8"/>
    <w:pPr>
      <w:numPr>
        <w:numId w:val="4"/>
      </w:numPr>
      <w:tabs>
        <w:tab w:val="left" w:pos="357"/>
      </w:tabs>
      <w:spacing w:before="40" w:after="40" w:line="260" w:lineRule="atLeast"/>
    </w:pPr>
    <w:rPr>
      <w:rFonts w:ascii="Verdana" w:hAnsi="Verdana"/>
      <w:sz w:val="18"/>
      <w:lang w:val="en-GB"/>
    </w:rPr>
  </w:style>
  <w:style w:type="paragraph" w:customStyle="1" w:styleId="04ACHeadD">
    <w:name w:val="04. AC Head D"/>
    <w:basedOn w:val="Normal"/>
    <w:rsid w:val="00716AF8"/>
    <w:pPr>
      <w:spacing w:before="240" w:after="60"/>
      <w:ind w:left="1134"/>
    </w:pPr>
    <w:rPr>
      <w:rFonts w:ascii="Verdana" w:hAnsi="Verdana"/>
      <w:b/>
      <w:sz w:val="18"/>
      <w:lang w:val="en-GB"/>
    </w:rPr>
  </w:style>
  <w:style w:type="table" w:customStyle="1" w:styleId="LightGrid-Accent11">
    <w:name w:val="Light Grid - Accent 11"/>
    <w:basedOn w:val="TableNormal"/>
    <w:uiPriority w:val="62"/>
    <w:rsid w:val="00764548"/>
    <w:rPr>
      <w:rFonts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Arial" w:eastAsia="Times New Roman" w:hAnsi="Arial"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Arial" w:eastAsia="Times New Roman" w:hAnsi="Arial"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Index1">
    <w:name w:val="index 1"/>
    <w:basedOn w:val="Normal"/>
    <w:next w:val="Normal"/>
    <w:autoRedefine/>
    <w:uiPriority w:val="99"/>
    <w:rsid w:val="0029399B"/>
    <w:pPr>
      <w:ind w:left="220" w:hanging="220"/>
    </w:pPr>
  </w:style>
  <w:style w:type="character" w:styleId="FollowedHyperlink">
    <w:name w:val="FollowedHyperlink"/>
    <w:basedOn w:val="DefaultParagraphFont"/>
    <w:uiPriority w:val="99"/>
    <w:rsid w:val="00273219"/>
    <w:rPr>
      <w:rFonts w:cs="Times New Roman"/>
      <w:color w:val="800080"/>
      <w:u w:val="single"/>
    </w:rPr>
  </w:style>
  <w:style w:type="paragraph" w:styleId="PlainText">
    <w:name w:val="Plain Text"/>
    <w:basedOn w:val="Normal"/>
    <w:link w:val="PlainTextChar"/>
    <w:rsid w:val="00174822"/>
    <w:pPr>
      <w:jc w:val="left"/>
    </w:pPr>
    <w:rPr>
      <w:rFonts w:ascii="Courier New" w:hAnsi="Courier New" w:cs="Courier New"/>
      <w:sz w:val="20"/>
      <w:szCs w:val="20"/>
      <w:lang w:val="en-GB" w:eastAsia="en-GB"/>
    </w:rPr>
  </w:style>
  <w:style w:type="character" w:customStyle="1" w:styleId="PlainTextChar">
    <w:name w:val="Plain Text Char"/>
    <w:basedOn w:val="DefaultParagraphFont"/>
    <w:link w:val="PlainText"/>
    <w:locked/>
    <w:rsid w:val="00174822"/>
    <w:rPr>
      <w:rFonts w:ascii="Courier New" w:hAnsi="Courier New" w:cs="Courier New"/>
      <w:sz w:val="20"/>
      <w:szCs w:val="20"/>
      <w:lang w:val="en-GB" w:eastAsia="en-GB" w:bidi="ar-SA"/>
    </w:rPr>
  </w:style>
  <w:style w:type="character" w:customStyle="1" w:styleId="ListParagraphChar">
    <w:name w:val="List Paragraph Char"/>
    <w:basedOn w:val="DefaultParagraphFont"/>
    <w:link w:val="ListParagraph"/>
    <w:uiPriority w:val="34"/>
    <w:locked/>
    <w:rsid w:val="00174822"/>
    <w:rPr>
      <w:rFonts w:cs="Times New Roman"/>
    </w:rPr>
  </w:style>
  <w:style w:type="paragraph" w:styleId="EndnoteText">
    <w:name w:val="endnote text"/>
    <w:basedOn w:val="Normal"/>
    <w:link w:val="EndnoteTextChar"/>
    <w:rsid w:val="000C0624"/>
    <w:rPr>
      <w:sz w:val="20"/>
      <w:szCs w:val="20"/>
    </w:rPr>
  </w:style>
  <w:style w:type="character" w:customStyle="1" w:styleId="EndnoteTextChar">
    <w:name w:val="Endnote Text Char"/>
    <w:basedOn w:val="DefaultParagraphFont"/>
    <w:link w:val="EndnoteText"/>
    <w:locked/>
    <w:rsid w:val="000C0624"/>
    <w:rPr>
      <w:rFonts w:cs="Times New Roman"/>
      <w:sz w:val="20"/>
      <w:szCs w:val="20"/>
    </w:rPr>
  </w:style>
  <w:style w:type="character" w:styleId="EndnoteReference">
    <w:name w:val="endnote reference"/>
    <w:basedOn w:val="DefaultParagraphFont"/>
    <w:rsid w:val="000C0624"/>
    <w:rPr>
      <w:rFonts w:cs="Times New Roman"/>
      <w:vertAlign w:val="superscript"/>
    </w:rPr>
  </w:style>
  <w:style w:type="character" w:styleId="CommentReference">
    <w:name w:val="annotation reference"/>
    <w:basedOn w:val="DefaultParagraphFont"/>
    <w:uiPriority w:val="99"/>
    <w:rsid w:val="00335316"/>
    <w:rPr>
      <w:rFonts w:cs="Times New Roman"/>
      <w:sz w:val="16"/>
      <w:szCs w:val="16"/>
    </w:rPr>
  </w:style>
  <w:style w:type="paragraph" w:styleId="CommentText">
    <w:name w:val="annotation text"/>
    <w:basedOn w:val="Normal"/>
    <w:link w:val="CommentTextChar"/>
    <w:uiPriority w:val="99"/>
    <w:rsid w:val="00335316"/>
    <w:rPr>
      <w:sz w:val="20"/>
      <w:szCs w:val="20"/>
    </w:rPr>
  </w:style>
  <w:style w:type="character" w:customStyle="1" w:styleId="CommentTextChar">
    <w:name w:val="Comment Text Char"/>
    <w:basedOn w:val="DefaultParagraphFont"/>
    <w:link w:val="CommentText"/>
    <w:uiPriority w:val="99"/>
    <w:locked/>
    <w:rsid w:val="00335316"/>
    <w:rPr>
      <w:rFonts w:cs="Times New Roman"/>
      <w:sz w:val="20"/>
      <w:szCs w:val="20"/>
    </w:rPr>
  </w:style>
  <w:style w:type="paragraph" w:styleId="CommentSubject">
    <w:name w:val="annotation subject"/>
    <w:basedOn w:val="CommentText"/>
    <w:next w:val="CommentText"/>
    <w:link w:val="CommentSubjectChar"/>
    <w:uiPriority w:val="99"/>
    <w:rsid w:val="00335316"/>
    <w:rPr>
      <w:b/>
      <w:bCs/>
    </w:rPr>
  </w:style>
  <w:style w:type="character" w:customStyle="1" w:styleId="CommentSubjectChar">
    <w:name w:val="Comment Subject Char"/>
    <w:basedOn w:val="CommentTextChar"/>
    <w:link w:val="CommentSubject"/>
    <w:uiPriority w:val="99"/>
    <w:locked/>
    <w:rsid w:val="00335316"/>
    <w:rPr>
      <w:rFonts w:cs="Times New Roman"/>
      <w:b/>
      <w:bCs/>
      <w:sz w:val="20"/>
      <w:szCs w:val="20"/>
    </w:rPr>
  </w:style>
  <w:style w:type="paragraph" w:customStyle="1" w:styleId="Datasetresponses">
    <w:name w:val="Dataset responses"/>
    <w:basedOn w:val="Normal"/>
    <w:link w:val="DatasetresponsesChar"/>
    <w:qFormat/>
    <w:rsid w:val="005E6974"/>
    <w:pPr>
      <w:spacing w:before="120"/>
    </w:pPr>
    <w:rPr>
      <w:rFonts w:cs="Arial"/>
      <w:i/>
      <w:sz w:val="24"/>
      <w:szCs w:val="24"/>
      <w:lang w:val="en-GB"/>
    </w:rPr>
  </w:style>
  <w:style w:type="character" w:customStyle="1" w:styleId="DatasetresponsesChar">
    <w:name w:val="Dataset responses Char"/>
    <w:basedOn w:val="DefaultParagraphFont"/>
    <w:link w:val="Datasetresponses"/>
    <w:rsid w:val="005E6974"/>
    <w:rPr>
      <w:rFonts w:eastAsia="Times New Roman"/>
      <w:i/>
      <w:sz w:val="24"/>
      <w:szCs w:val="24"/>
      <w:lang w:eastAsia="en-US"/>
    </w:rPr>
  </w:style>
  <w:style w:type="paragraph" w:customStyle="1" w:styleId="Paragraphtext">
    <w:name w:val="Paragraph text"/>
    <w:basedOn w:val="Normal"/>
    <w:rsid w:val="00AF3427"/>
    <w:pPr>
      <w:spacing w:before="120" w:after="120" w:line="280" w:lineRule="exact"/>
      <w:jc w:val="left"/>
    </w:pPr>
    <w:rPr>
      <w:sz w:val="24"/>
      <w:szCs w:val="20"/>
      <w:lang w:val="en-GB"/>
    </w:rPr>
  </w:style>
  <w:style w:type="paragraph" w:customStyle="1" w:styleId="style14">
    <w:name w:val="style14"/>
    <w:basedOn w:val="Normal"/>
    <w:rsid w:val="00262D0F"/>
    <w:pPr>
      <w:spacing w:before="100" w:beforeAutospacing="1" w:after="100" w:afterAutospacing="1"/>
      <w:jc w:val="left"/>
    </w:pPr>
    <w:rPr>
      <w:rFonts w:cs="Arial"/>
      <w:sz w:val="24"/>
      <w:szCs w:val="24"/>
      <w:lang w:val="en-GB" w:eastAsia="en-GB"/>
    </w:rPr>
  </w:style>
  <w:style w:type="paragraph" w:customStyle="1" w:styleId="style18">
    <w:name w:val="style18"/>
    <w:basedOn w:val="Normal"/>
    <w:rsid w:val="00262D0F"/>
    <w:pPr>
      <w:spacing w:before="100" w:beforeAutospacing="1" w:after="100" w:afterAutospacing="1"/>
      <w:jc w:val="left"/>
    </w:pPr>
    <w:rPr>
      <w:rFonts w:cs="Arial"/>
      <w:sz w:val="24"/>
      <w:szCs w:val="24"/>
      <w:lang w:val="en-GB" w:eastAsia="en-GB"/>
    </w:rPr>
  </w:style>
  <w:style w:type="character" w:customStyle="1" w:styleId="style171">
    <w:name w:val="style171"/>
    <w:basedOn w:val="DefaultParagraphFont"/>
    <w:rsid w:val="00262D0F"/>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7990253">
      <w:bodyDiv w:val="1"/>
      <w:marLeft w:val="0"/>
      <w:marRight w:val="0"/>
      <w:marTop w:val="0"/>
      <w:marBottom w:val="0"/>
      <w:divBdr>
        <w:top w:val="none" w:sz="0" w:space="0" w:color="auto"/>
        <w:left w:val="none" w:sz="0" w:space="0" w:color="auto"/>
        <w:bottom w:val="none" w:sz="0" w:space="0" w:color="auto"/>
        <w:right w:val="none" w:sz="0" w:space="0" w:color="auto"/>
      </w:divBdr>
    </w:div>
    <w:div w:id="142435460">
      <w:bodyDiv w:val="1"/>
      <w:marLeft w:val="0"/>
      <w:marRight w:val="0"/>
      <w:marTop w:val="0"/>
      <w:marBottom w:val="0"/>
      <w:divBdr>
        <w:top w:val="none" w:sz="0" w:space="0" w:color="auto"/>
        <w:left w:val="none" w:sz="0" w:space="0" w:color="auto"/>
        <w:bottom w:val="none" w:sz="0" w:space="0" w:color="auto"/>
        <w:right w:val="none" w:sz="0" w:space="0" w:color="auto"/>
      </w:divBdr>
    </w:div>
    <w:div w:id="159391914">
      <w:bodyDiv w:val="1"/>
      <w:marLeft w:val="0"/>
      <w:marRight w:val="0"/>
      <w:marTop w:val="0"/>
      <w:marBottom w:val="0"/>
      <w:divBdr>
        <w:top w:val="none" w:sz="0" w:space="0" w:color="auto"/>
        <w:left w:val="none" w:sz="0" w:space="0" w:color="auto"/>
        <w:bottom w:val="none" w:sz="0" w:space="0" w:color="auto"/>
        <w:right w:val="none" w:sz="0" w:space="0" w:color="auto"/>
      </w:divBdr>
    </w:div>
    <w:div w:id="298072715">
      <w:bodyDiv w:val="1"/>
      <w:marLeft w:val="0"/>
      <w:marRight w:val="0"/>
      <w:marTop w:val="0"/>
      <w:marBottom w:val="0"/>
      <w:divBdr>
        <w:top w:val="none" w:sz="0" w:space="0" w:color="auto"/>
        <w:left w:val="none" w:sz="0" w:space="0" w:color="auto"/>
        <w:bottom w:val="none" w:sz="0" w:space="0" w:color="auto"/>
        <w:right w:val="none" w:sz="0" w:space="0" w:color="auto"/>
      </w:divBdr>
    </w:div>
    <w:div w:id="316960660">
      <w:bodyDiv w:val="1"/>
      <w:marLeft w:val="0"/>
      <w:marRight w:val="0"/>
      <w:marTop w:val="0"/>
      <w:marBottom w:val="0"/>
      <w:divBdr>
        <w:top w:val="none" w:sz="0" w:space="0" w:color="auto"/>
        <w:left w:val="none" w:sz="0" w:space="0" w:color="auto"/>
        <w:bottom w:val="none" w:sz="0" w:space="0" w:color="auto"/>
        <w:right w:val="none" w:sz="0" w:space="0" w:color="auto"/>
      </w:divBdr>
    </w:div>
    <w:div w:id="515005075">
      <w:bodyDiv w:val="1"/>
      <w:marLeft w:val="0"/>
      <w:marRight w:val="0"/>
      <w:marTop w:val="0"/>
      <w:marBottom w:val="0"/>
      <w:divBdr>
        <w:top w:val="none" w:sz="0" w:space="0" w:color="auto"/>
        <w:left w:val="none" w:sz="0" w:space="0" w:color="auto"/>
        <w:bottom w:val="none" w:sz="0" w:space="0" w:color="auto"/>
        <w:right w:val="none" w:sz="0" w:space="0" w:color="auto"/>
      </w:divBdr>
    </w:div>
    <w:div w:id="945424911">
      <w:marLeft w:val="0"/>
      <w:marRight w:val="0"/>
      <w:marTop w:val="0"/>
      <w:marBottom w:val="0"/>
      <w:divBdr>
        <w:top w:val="none" w:sz="0" w:space="0" w:color="auto"/>
        <w:left w:val="none" w:sz="0" w:space="0" w:color="auto"/>
        <w:bottom w:val="none" w:sz="0" w:space="0" w:color="auto"/>
        <w:right w:val="none" w:sz="0" w:space="0" w:color="auto"/>
      </w:divBdr>
    </w:div>
    <w:div w:id="945424912">
      <w:marLeft w:val="0"/>
      <w:marRight w:val="0"/>
      <w:marTop w:val="0"/>
      <w:marBottom w:val="0"/>
      <w:divBdr>
        <w:top w:val="none" w:sz="0" w:space="0" w:color="auto"/>
        <w:left w:val="none" w:sz="0" w:space="0" w:color="auto"/>
        <w:bottom w:val="none" w:sz="0" w:space="0" w:color="auto"/>
        <w:right w:val="none" w:sz="0" w:space="0" w:color="auto"/>
      </w:divBdr>
      <w:divsChild>
        <w:div w:id="945424915">
          <w:marLeft w:val="0"/>
          <w:marRight w:val="0"/>
          <w:marTop w:val="0"/>
          <w:marBottom w:val="0"/>
          <w:divBdr>
            <w:top w:val="none" w:sz="0" w:space="0" w:color="auto"/>
            <w:left w:val="none" w:sz="0" w:space="0" w:color="auto"/>
            <w:bottom w:val="none" w:sz="0" w:space="0" w:color="auto"/>
            <w:right w:val="none" w:sz="0" w:space="0" w:color="auto"/>
          </w:divBdr>
        </w:div>
      </w:divsChild>
    </w:div>
    <w:div w:id="945424913">
      <w:marLeft w:val="0"/>
      <w:marRight w:val="0"/>
      <w:marTop w:val="0"/>
      <w:marBottom w:val="0"/>
      <w:divBdr>
        <w:top w:val="none" w:sz="0" w:space="0" w:color="auto"/>
        <w:left w:val="none" w:sz="0" w:space="0" w:color="auto"/>
        <w:bottom w:val="none" w:sz="0" w:space="0" w:color="auto"/>
        <w:right w:val="none" w:sz="0" w:space="0" w:color="auto"/>
      </w:divBdr>
    </w:div>
    <w:div w:id="945424914">
      <w:marLeft w:val="0"/>
      <w:marRight w:val="0"/>
      <w:marTop w:val="0"/>
      <w:marBottom w:val="0"/>
      <w:divBdr>
        <w:top w:val="none" w:sz="0" w:space="0" w:color="auto"/>
        <w:left w:val="none" w:sz="0" w:space="0" w:color="auto"/>
        <w:bottom w:val="none" w:sz="0" w:space="0" w:color="auto"/>
        <w:right w:val="none" w:sz="0" w:space="0" w:color="auto"/>
      </w:divBdr>
    </w:div>
    <w:div w:id="945424916">
      <w:marLeft w:val="0"/>
      <w:marRight w:val="0"/>
      <w:marTop w:val="0"/>
      <w:marBottom w:val="0"/>
      <w:divBdr>
        <w:top w:val="none" w:sz="0" w:space="0" w:color="auto"/>
        <w:left w:val="none" w:sz="0" w:space="0" w:color="auto"/>
        <w:bottom w:val="none" w:sz="0" w:space="0" w:color="auto"/>
        <w:right w:val="none" w:sz="0" w:space="0" w:color="auto"/>
      </w:divBdr>
    </w:div>
    <w:div w:id="945424917">
      <w:marLeft w:val="0"/>
      <w:marRight w:val="0"/>
      <w:marTop w:val="0"/>
      <w:marBottom w:val="0"/>
      <w:divBdr>
        <w:top w:val="none" w:sz="0" w:space="0" w:color="auto"/>
        <w:left w:val="none" w:sz="0" w:space="0" w:color="auto"/>
        <w:bottom w:val="none" w:sz="0" w:space="0" w:color="auto"/>
        <w:right w:val="none" w:sz="0" w:space="0" w:color="auto"/>
      </w:divBdr>
    </w:div>
    <w:div w:id="945424918">
      <w:marLeft w:val="0"/>
      <w:marRight w:val="0"/>
      <w:marTop w:val="0"/>
      <w:marBottom w:val="0"/>
      <w:divBdr>
        <w:top w:val="none" w:sz="0" w:space="0" w:color="auto"/>
        <w:left w:val="none" w:sz="0" w:space="0" w:color="auto"/>
        <w:bottom w:val="none" w:sz="0" w:space="0" w:color="auto"/>
        <w:right w:val="none" w:sz="0" w:space="0" w:color="auto"/>
      </w:divBdr>
    </w:div>
    <w:div w:id="945424919">
      <w:marLeft w:val="0"/>
      <w:marRight w:val="0"/>
      <w:marTop w:val="0"/>
      <w:marBottom w:val="0"/>
      <w:divBdr>
        <w:top w:val="none" w:sz="0" w:space="0" w:color="auto"/>
        <w:left w:val="none" w:sz="0" w:space="0" w:color="auto"/>
        <w:bottom w:val="none" w:sz="0" w:space="0" w:color="auto"/>
        <w:right w:val="none" w:sz="0" w:space="0" w:color="auto"/>
      </w:divBdr>
    </w:div>
    <w:div w:id="945424920">
      <w:marLeft w:val="0"/>
      <w:marRight w:val="0"/>
      <w:marTop w:val="0"/>
      <w:marBottom w:val="0"/>
      <w:divBdr>
        <w:top w:val="none" w:sz="0" w:space="0" w:color="auto"/>
        <w:left w:val="none" w:sz="0" w:space="0" w:color="auto"/>
        <w:bottom w:val="none" w:sz="0" w:space="0" w:color="auto"/>
        <w:right w:val="none" w:sz="0" w:space="0" w:color="auto"/>
      </w:divBdr>
    </w:div>
    <w:div w:id="945424921">
      <w:marLeft w:val="0"/>
      <w:marRight w:val="0"/>
      <w:marTop w:val="0"/>
      <w:marBottom w:val="0"/>
      <w:divBdr>
        <w:top w:val="none" w:sz="0" w:space="0" w:color="auto"/>
        <w:left w:val="none" w:sz="0" w:space="0" w:color="auto"/>
        <w:bottom w:val="none" w:sz="0" w:space="0" w:color="auto"/>
        <w:right w:val="none" w:sz="0" w:space="0" w:color="auto"/>
      </w:divBdr>
    </w:div>
    <w:div w:id="945424922">
      <w:marLeft w:val="0"/>
      <w:marRight w:val="0"/>
      <w:marTop w:val="0"/>
      <w:marBottom w:val="0"/>
      <w:divBdr>
        <w:top w:val="none" w:sz="0" w:space="0" w:color="auto"/>
        <w:left w:val="none" w:sz="0" w:space="0" w:color="auto"/>
        <w:bottom w:val="none" w:sz="0" w:space="0" w:color="auto"/>
        <w:right w:val="none" w:sz="0" w:space="0" w:color="auto"/>
      </w:divBdr>
    </w:div>
    <w:div w:id="945424923">
      <w:marLeft w:val="0"/>
      <w:marRight w:val="0"/>
      <w:marTop w:val="0"/>
      <w:marBottom w:val="0"/>
      <w:divBdr>
        <w:top w:val="none" w:sz="0" w:space="0" w:color="auto"/>
        <w:left w:val="none" w:sz="0" w:space="0" w:color="auto"/>
        <w:bottom w:val="none" w:sz="0" w:space="0" w:color="auto"/>
        <w:right w:val="none" w:sz="0" w:space="0" w:color="auto"/>
      </w:divBdr>
    </w:div>
    <w:div w:id="945424924">
      <w:marLeft w:val="0"/>
      <w:marRight w:val="0"/>
      <w:marTop w:val="0"/>
      <w:marBottom w:val="0"/>
      <w:divBdr>
        <w:top w:val="none" w:sz="0" w:space="0" w:color="auto"/>
        <w:left w:val="none" w:sz="0" w:space="0" w:color="auto"/>
        <w:bottom w:val="none" w:sz="0" w:space="0" w:color="auto"/>
        <w:right w:val="none" w:sz="0" w:space="0" w:color="auto"/>
      </w:divBdr>
    </w:div>
    <w:div w:id="945424925">
      <w:marLeft w:val="0"/>
      <w:marRight w:val="0"/>
      <w:marTop w:val="0"/>
      <w:marBottom w:val="0"/>
      <w:divBdr>
        <w:top w:val="none" w:sz="0" w:space="0" w:color="auto"/>
        <w:left w:val="none" w:sz="0" w:space="0" w:color="auto"/>
        <w:bottom w:val="none" w:sz="0" w:space="0" w:color="auto"/>
        <w:right w:val="none" w:sz="0" w:space="0" w:color="auto"/>
      </w:divBdr>
    </w:div>
    <w:div w:id="945424927">
      <w:marLeft w:val="0"/>
      <w:marRight w:val="0"/>
      <w:marTop w:val="0"/>
      <w:marBottom w:val="0"/>
      <w:divBdr>
        <w:top w:val="none" w:sz="0" w:space="0" w:color="auto"/>
        <w:left w:val="none" w:sz="0" w:space="0" w:color="auto"/>
        <w:bottom w:val="none" w:sz="0" w:space="0" w:color="auto"/>
        <w:right w:val="none" w:sz="0" w:space="0" w:color="auto"/>
      </w:divBdr>
    </w:div>
    <w:div w:id="945424928">
      <w:marLeft w:val="0"/>
      <w:marRight w:val="0"/>
      <w:marTop w:val="0"/>
      <w:marBottom w:val="0"/>
      <w:divBdr>
        <w:top w:val="none" w:sz="0" w:space="0" w:color="auto"/>
        <w:left w:val="none" w:sz="0" w:space="0" w:color="auto"/>
        <w:bottom w:val="none" w:sz="0" w:space="0" w:color="auto"/>
        <w:right w:val="none" w:sz="0" w:space="0" w:color="auto"/>
      </w:divBdr>
    </w:div>
    <w:div w:id="945424929">
      <w:marLeft w:val="0"/>
      <w:marRight w:val="0"/>
      <w:marTop w:val="0"/>
      <w:marBottom w:val="0"/>
      <w:divBdr>
        <w:top w:val="none" w:sz="0" w:space="0" w:color="auto"/>
        <w:left w:val="none" w:sz="0" w:space="0" w:color="auto"/>
        <w:bottom w:val="none" w:sz="0" w:space="0" w:color="auto"/>
        <w:right w:val="none" w:sz="0" w:space="0" w:color="auto"/>
      </w:divBdr>
    </w:div>
    <w:div w:id="945424930">
      <w:marLeft w:val="0"/>
      <w:marRight w:val="0"/>
      <w:marTop w:val="0"/>
      <w:marBottom w:val="0"/>
      <w:divBdr>
        <w:top w:val="none" w:sz="0" w:space="0" w:color="auto"/>
        <w:left w:val="none" w:sz="0" w:space="0" w:color="auto"/>
        <w:bottom w:val="none" w:sz="0" w:space="0" w:color="auto"/>
        <w:right w:val="none" w:sz="0" w:space="0" w:color="auto"/>
      </w:divBdr>
    </w:div>
    <w:div w:id="945424931">
      <w:marLeft w:val="0"/>
      <w:marRight w:val="0"/>
      <w:marTop w:val="0"/>
      <w:marBottom w:val="0"/>
      <w:divBdr>
        <w:top w:val="none" w:sz="0" w:space="0" w:color="auto"/>
        <w:left w:val="none" w:sz="0" w:space="0" w:color="auto"/>
        <w:bottom w:val="none" w:sz="0" w:space="0" w:color="auto"/>
        <w:right w:val="none" w:sz="0" w:space="0" w:color="auto"/>
      </w:divBdr>
    </w:div>
    <w:div w:id="945424932">
      <w:marLeft w:val="0"/>
      <w:marRight w:val="0"/>
      <w:marTop w:val="0"/>
      <w:marBottom w:val="0"/>
      <w:divBdr>
        <w:top w:val="none" w:sz="0" w:space="0" w:color="auto"/>
        <w:left w:val="none" w:sz="0" w:space="0" w:color="auto"/>
        <w:bottom w:val="none" w:sz="0" w:space="0" w:color="auto"/>
        <w:right w:val="none" w:sz="0" w:space="0" w:color="auto"/>
      </w:divBdr>
      <w:divsChild>
        <w:div w:id="945424967">
          <w:marLeft w:val="0"/>
          <w:marRight w:val="0"/>
          <w:marTop w:val="0"/>
          <w:marBottom w:val="0"/>
          <w:divBdr>
            <w:top w:val="none" w:sz="0" w:space="0" w:color="auto"/>
            <w:left w:val="none" w:sz="0" w:space="0" w:color="auto"/>
            <w:bottom w:val="none" w:sz="0" w:space="0" w:color="auto"/>
            <w:right w:val="none" w:sz="0" w:space="0" w:color="auto"/>
          </w:divBdr>
          <w:divsChild>
            <w:div w:id="945424926">
              <w:marLeft w:val="0"/>
              <w:marRight w:val="0"/>
              <w:marTop w:val="0"/>
              <w:marBottom w:val="0"/>
              <w:divBdr>
                <w:top w:val="none" w:sz="0" w:space="0" w:color="auto"/>
                <w:left w:val="none" w:sz="0" w:space="0" w:color="auto"/>
                <w:bottom w:val="none" w:sz="0" w:space="0" w:color="auto"/>
                <w:right w:val="none" w:sz="0" w:space="0" w:color="auto"/>
              </w:divBdr>
            </w:div>
            <w:div w:id="945424945">
              <w:marLeft w:val="0"/>
              <w:marRight w:val="0"/>
              <w:marTop w:val="0"/>
              <w:marBottom w:val="0"/>
              <w:divBdr>
                <w:top w:val="none" w:sz="0" w:space="0" w:color="auto"/>
                <w:left w:val="none" w:sz="0" w:space="0" w:color="auto"/>
                <w:bottom w:val="none" w:sz="0" w:space="0" w:color="auto"/>
                <w:right w:val="none" w:sz="0" w:space="0" w:color="auto"/>
              </w:divBdr>
            </w:div>
            <w:div w:id="945424948">
              <w:marLeft w:val="0"/>
              <w:marRight w:val="0"/>
              <w:marTop w:val="0"/>
              <w:marBottom w:val="0"/>
              <w:divBdr>
                <w:top w:val="none" w:sz="0" w:space="0" w:color="auto"/>
                <w:left w:val="none" w:sz="0" w:space="0" w:color="auto"/>
                <w:bottom w:val="none" w:sz="0" w:space="0" w:color="auto"/>
                <w:right w:val="none" w:sz="0" w:space="0" w:color="auto"/>
              </w:divBdr>
            </w:div>
            <w:div w:id="945424966">
              <w:marLeft w:val="0"/>
              <w:marRight w:val="0"/>
              <w:marTop w:val="0"/>
              <w:marBottom w:val="0"/>
              <w:divBdr>
                <w:top w:val="none" w:sz="0" w:space="0" w:color="auto"/>
                <w:left w:val="none" w:sz="0" w:space="0" w:color="auto"/>
                <w:bottom w:val="none" w:sz="0" w:space="0" w:color="auto"/>
                <w:right w:val="none" w:sz="0" w:space="0" w:color="auto"/>
              </w:divBdr>
            </w:div>
            <w:div w:id="94542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424933">
      <w:marLeft w:val="0"/>
      <w:marRight w:val="0"/>
      <w:marTop w:val="0"/>
      <w:marBottom w:val="0"/>
      <w:divBdr>
        <w:top w:val="none" w:sz="0" w:space="0" w:color="auto"/>
        <w:left w:val="none" w:sz="0" w:space="0" w:color="auto"/>
        <w:bottom w:val="none" w:sz="0" w:space="0" w:color="auto"/>
        <w:right w:val="none" w:sz="0" w:space="0" w:color="auto"/>
      </w:divBdr>
    </w:div>
    <w:div w:id="945424934">
      <w:marLeft w:val="0"/>
      <w:marRight w:val="0"/>
      <w:marTop w:val="0"/>
      <w:marBottom w:val="0"/>
      <w:divBdr>
        <w:top w:val="none" w:sz="0" w:space="0" w:color="auto"/>
        <w:left w:val="none" w:sz="0" w:space="0" w:color="auto"/>
        <w:bottom w:val="none" w:sz="0" w:space="0" w:color="auto"/>
        <w:right w:val="none" w:sz="0" w:space="0" w:color="auto"/>
      </w:divBdr>
    </w:div>
    <w:div w:id="945424935">
      <w:marLeft w:val="0"/>
      <w:marRight w:val="0"/>
      <w:marTop w:val="0"/>
      <w:marBottom w:val="0"/>
      <w:divBdr>
        <w:top w:val="none" w:sz="0" w:space="0" w:color="auto"/>
        <w:left w:val="none" w:sz="0" w:space="0" w:color="auto"/>
        <w:bottom w:val="none" w:sz="0" w:space="0" w:color="auto"/>
        <w:right w:val="none" w:sz="0" w:space="0" w:color="auto"/>
      </w:divBdr>
    </w:div>
    <w:div w:id="945424936">
      <w:marLeft w:val="0"/>
      <w:marRight w:val="0"/>
      <w:marTop w:val="0"/>
      <w:marBottom w:val="0"/>
      <w:divBdr>
        <w:top w:val="none" w:sz="0" w:space="0" w:color="auto"/>
        <w:left w:val="none" w:sz="0" w:space="0" w:color="auto"/>
        <w:bottom w:val="none" w:sz="0" w:space="0" w:color="auto"/>
        <w:right w:val="none" w:sz="0" w:space="0" w:color="auto"/>
      </w:divBdr>
    </w:div>
    <w:div w:id="945424937">
      <w:marLeft w:val="0"/>
      <w:marRight w:val="0"/>
      <w:marTop w:val="0"/>
      <w:marBottom w:val="0"/>
      <w:divBdr>
        <w:top w:val="none" w:sz="0" w:space="0" w:color="auto"/>
        <w:left w:val="none" w:sz="0" w:space="0" w:color="auto"/>
        <w:bottom w:val="none" w:sz="0" w:space="0" w:color="auto"/>
        <w:right w:val="none" w:sz="0" w:space="0" w:color="auto"/>
      </w:divBdr>
    </w:div>
    <w:div w:id="945424938">
      <w:marLeft w:val="0"/>
      <w:marRight w:val="0"/>
      <w:marTop w:val="0"/>
      <w:marBottom w:val="0"/>
      <w:divBdr>
        <w:top w:val="none" w:sz="0" w:space="0" w:color="auto"/>
        <w:left w:val="none" w:sz="0" w:space="0" w:color="auto"/>
        <w:bottom w:val="none" w:sz="0" w:space="0" w:color="auto"/>
        <w:right w:val="none" w:sz="0" w:space="0" w:color="auto"/>
      </w:divBdr>
    </w:div>
    <w:div w:id="945424939">
      <w:marLeft w:val="0"/>
      <w:marRight w:val="0"/>
      <w:marTop w:val="0"/>
      <w:marBottom w:val="0"/>
      <w:divBdr>
        <w:top w:val="none" w:sz="0" w:space="0" w:color="auto"/>
        <w:left w:val="none" w:sz="0" w:space="0" w:color="auto"/>
        <w:bottom w:val="none" w:sz="0" w:space="0" w:color="auto"/>
        <w:right w:val="none" w:sz="0" w:space="0" w:color="auto"/>
      </w:divBdr>
    </w:div>
    <w:div w:id="945424940">
      <w:marLeft w:val="0"/>
      <w:marRight w:val="0"/>
      <w:marTop w:val="0"/>
      <w:marBottom w:val="0"/>
      <w:divBdr>
        <w:top w:val="none" w:sz="0" w:space="0" w:color="auto"/>
        <w:left w:val="none" w:sz="0" w:space="0" w:color="auto"/>
        <w:bottom w:val="none" w:sz="0" w:space="0" w:color="auto"/>
        <w:right w:val="none" w:sz="0" w:space="0" w:color="auto"/>
      </w:divBdr>
    </w:div>
    <w:div w:id="945424941">
      <w:marLeft w:val="0"/>
      <w:marRight w:val="0"/>
      <w:marTop w:val="0"/>
      <w:marBottom w:val="0"/>
      <w:divBdr>
        <w:top w:val="none" w:sz="0" w:space="0" w:color="auto"/>
        <w:left w:val="none" w:sz="0" w:space="0" w:color="auto"/>
        <w:bottom w:val="none" w:sz="0" w:space="0" w:color="auto"/>
        <w:right w:val="none" w:sz="0" w:space="0" w:color="auto"/>
      </w:divBdr>
    </w:div>
    <w:div w:id="945424942">
      <w:marLeft w:val="0"/>
      <w:marRight w:val="0"/>
      <w:marTop w:val="0"/>
      <w:marBottom w:val="0"/>
      <w:divBdr>
        <w:top w:val="none" w:sz="0" w:space="0" w:color="auto"/>
        <w:left w:val="none" w:sz="0" w:space="0" w:color="auto"/>
        <w:bottom w:val="none" w:sz="0" w:space="0" w:color="auto"/>
        <w:right w:val="none" w:sz="0" w:space="0" w:color="auto"/>
      </w:divBdr>
    </w:div>
    <w:div w:id="945424943">
      <w:marLeft w:val="0"/>
      <w:marRight w:val="0"/>
      <w:marTop w:val="0"/>
      <w:marBottom w:val="0"/>
      <w:divBdr>
        <w:top w:val="none" w:sz="0" w:space="0" w:color="auto"/>
        <w:left w:val="none" w:sz="0" w:space="0" w:color="auto"/>
        <w:bottom w:val="none" w:sz="0" w:space="0" w:color="auto"/>
        <w:right w:val="none" w:sz="0" w:space="0" w:color="auto"/>
      </w:divBdr>
    </w:div>
    <w:div w:id="945424944">
      <w:marLeft w:val="0"/>
      <w:marRight w:val="0"/>
      <w:marTop w:val="0"/>
      <w:marBottom w:val="0"/>
      <w:divBdr>
        <w:top w:val="none" w:sz="0" w:space="0" w:color="auto"/>
        <w:left w:val="none" w:sz="0" w:space="0" w:color="auto"/>
        <w:bottom w:val="none" w:sz="0" w:space="0" w:color="auto"/>
        <w:right w:val="none" w:sz="0" w:space="0" w:color="auto"/>
      </w:divBdr>
    </w:div>
    <w:div w:id="945424946">
      <w:marLeft w:val="0"/>
      <w:marRight w:val="0"/>
      <w:marTop w:val="0"/>
      <w:marBottom w:val="0"/>
      <w:divBdr>
        <w:top w:val="none" w:sz="0" w:space="0" w:color="auto"/>
        <w:left w:val="none" w:sz="0" w:space="0" w:color="auto"/>
        <w:bottom w:val="none" w:sz="0" w:space="0" w:color="auto"/>
        <w:right w:val="none" w:sz="0" w:space="0" w:color="auto"/>
      </w:divBdr>
    </w:div>
    <w:div w:id="945424947">
      <w:marLeft w:val="0"/>
      <w:marRight w:val="0"/>
      <w:marTop w:val="0"/>
      <w:marBottom w:val="0"/>
      <w:divBdr>
        <w:top w:val="none" w:sz="0" w:space="0" w:color="auto"/>
        <w:left w:val="none" w:sz="0" w:space="0" w:color="auto"/>
        <w:bottom w:val="none" w:sz="0" w:space="0" w:color="auto"/>
        <w:right w:val="none" w:sz="0" w:space="0" w:color="auto"/>
      </w:divBdr>
    </w:div>
    <w:div w:id="945424949">
      <w:marLeft w:val="0"/>
      <w:marRight w:val="0"/>
      <w:marTop w:val="0"/>
      <w:marBottom w:val="0"/>
      <w:divBdr>
        <w:top w:val="none" w:sz="0" w:space="0" w:color="auto"/>
        <w:left w:val="none" w:sz="0" w:space="0" w:color="auto"/>
        <w:bottom w:val="none" w:sz="0" w:space="0" w:color="auto"/>
        <w:right w:val="none" w:sz="0" w:space="0" w:color="auto"/>
      </w:divBdr>
    </w:div>
    <w:div w:id="945424950">
      <w:marLeft w:val="0"/>
      <w:marRight w:val="0"/>
      <w:marTop w:val="0"/>
      <w:marBottom w:val="0"/>
      <w:divBdr>
        <w:top w:val="none" w:sz="0" w:space="0" w:color="auto"/>
        <w:left w:val="none" w:sz="0" w:space="0" w:color="auto"/>
        <w:bottom w:val="none" w:sz="0" w:space="0" w:color="auto"/>
        <w:right w:val="none" w:sz="0" w:space="0" w:color="auto"/>
      </w:divBdr>
    </w:div>
    <w:div w:id="945424951">
      <w:marLeft w:val="0"/>
      <w:marRight w:val="0"/>
      <w:marTop w:val="0"/>
      <w:marBottom w:val="0"/>
      <w:divBdr>
        <w:top w:val="none" w:sz="0" w:space="0" w:color="auto"/>
        <w:left w:val="none" w:sz="0" w:space="0" w:color="auto"/>
        <w:bottom w:val="none" w:sz="0" w:space="0" w:color="auto"/>
        <w:right w:val="none" w:sz="0" w:space="0" w:color="auto"/>
      </w:divBdr>
    </w:div>
    <w:div w:id="945424952">
      <w:marLeft w:val="0"/>
      <w:marRight w:val="0"/>
      <w:marTop w:val="0"/>
      <w:marBottom w:val="0"/>
      <w:divBdr>
        <w:top w:val="none" w:sz="0" w:space="0" w:color="auto"/>
        <w:left w:val="none" w:sz="0" w:space="0" w:color="auto"/>
        <w:bottom w:val="none" w:sz="0" w:space="0" w:color="auto"/>
        <w:right w:val="none" w:sz="0" w:space="0" w:color="auto"/>
      </w:divBdr>
    </w:div>
    <w:div w:id="945424953">
      <w:marLeft w:val="0"/>
      <w:marRight w:val="0"/>
      <w:marTop w:val="0"/>
      <w:marBottom w:val="0"/>
      <w:divBdr>
        <w:top w:val="none" w:sz="0" w:space="0" w:color="auto"/>
        <w:left w:val="none" w:sz="0" w:space="0" w:color="auto"/>
        <w:bottom w:val="none" w:sz="0" w:space="0" w:color="auto"/>
        <w:right w:val="none" w:sz="0" w:space="0" w:color="auto"/>
      </w:divBdr>
    </w:div>
    <w:div w:id="945424954">
      <w:marLeft w:val="0"/>
      <w:marRight w:val="0"/>
      <w:marTop w:val="0"/>
      <w:marBottom w:val="0"/>
      <w:divBdr>
        <w:top w:val="none" w:sz="0" w:space="0" w:color="auto"/>
        <w:left w:val="none" w:sz="0" w:space="0" w:color="auto"/>
        <w:bottom w:val="none" w:sz="0" w:space="0" w:color="auto"/>
        <w:right w:val="none" w:sz="0" w:space="0" w:color="auto"/>
      </w:divBdr>
    </w:div>
    <w:div w:id="945424955">
      <w:marLeft w:val="0"/>
      <w:marRight w:val="0"/>
      <w:marTop w:val="0"/>
      <w:marBottom w:val="0"/>
      <w:divBdr>
        <w:top w:val="none" w:sz="0" w:space="0" w:color="auto"/>
        <w:left w:val="none" w:sz="0" w:space="0" w:color="auto"/>
        <w:bottom w:val="none" w:sz="0" w:space="0" w:color="auto"/>
        <w:right w:val="none" w:sz="0" w:space="0" w:color="auto"/>
      </w:divBdr>
    </w:div>
    <w:div w:id="945424956">
      <w:marLeft w:val="0"/>
      <w:marRight w:val="0"/>
      <w:marTop w:val="0"/>
      <w:marBottom w:val="0"/>
      <w:divBdr>
        <w:top w:val="none" w:sz="0" w:space="0" w:color="auto"/>
        <w:left w:val="none" w:sz="0" w:space="0" w:color="auto"/>
        <w:bottom w:val="none" w:sz="0" w:space="0" w:color="auto"/>
        <w:right w:val="none" w:sz="0" w:space="0" w:color="auto"/>
      </w:divBdr>
    </w:div>
    <w:div w:id="945424957">
      <w:marLeft w:val="0"/>
      <w:marRight w:val="0"/>
      <w:marTop w:val="0"/>
      <w:marBottom w:val="0"/>
      <w:divBdr>
        <w:top w:val="none" w:sz="0" w:space="0" w:color="auto"/>
        <w:left w:val="none" w:sz="0" w:space="0" w:color="auto"/>
        <w:bottom w:val="none" w:sz="0" w:space="0" w:color="auto"/>
        <w:right w:val="none" w:sz="0" w:space="0" w:color="auto"/>
      </w:divBdr>
    </w:div>
    <w:div w:id="945424958">
      <w:marLeft w:val="0"/>
      <w:marRight w:val="0"/>
      <w:marTop w:val="0"/>
      <w:marBottom w:val="0"/>
      <w:divBdr>
        <w:top w:val="none" w:sz="0" w:space="0" w:color="auto"/>
        <w:left w:val="none" w:sz="0" w:space="0" w:color="auto"/>
        <w:bottom w:val="none" w:sz="0" w:space="0" w:color="auto"/>
        <w:right w:val="none" w:sz="0" w:space="0" w:color="auto"/>
      </w:divBdr>
    </w:div>
    <w:div w:id="945424959">
      <w:marLeft w:val="0"/>
      <w:marRight w:val="0"/>
      <w:marTop w:val="0"/>
      <w:marBottom w:val="0"/>
      <w:divBdr>
        <w:top w:val="none" w:sz="0" w:space="0" w:color="auto"/>
        <w:left w:val="none" w:sz="0" w:space="0" w:color="auto"/>
        <w:bottom w:val="none" w:sz="0" w:space="0" w:color="auto"/>
        <w:right w:val="none" w:sz="0" w:space="0" w:color="auto"/>
      </w:divBdr>
    </w:div>
    <w:div w:id="945424960">
      <w:marLeft w:val="0"/>
      <w:marRight w:val="0"/>
      <w:marTop w:val="0"/>
      <w:marBottom w:val="0"/>
      <w:divBdr>
        <w:top w:val="none" w:sz="0" w:space="0" w:color="auto"/>
        <w:left w:val="none" w:sz="0" w:space="0" w:color="auto"/>
        <w:bottom w:val="none" w:sz="0" w:space="0" w:color="auto"/>
        <w:right w:val="none" w:sz="0" w:space="0" w:color="auto"/>
      </w:divBdr>
    </w:div>
    <w:div w:id="945424961">
      <w:marLeft w:val="0"/>
      <w:marRight w:val="0"/>
      <w:marTop w:val="0"/>
      <w:marBottom w:val="0"/>
      <w:divBdr>
        <w:top w:val="none" w:sz="0" w:space="0" w:color="auto"/>
        <w:left w:val="none" w:sz="0" w:space="0" w:color="auto"/>
        <w:bottom w:val="none" w:sz="0" w:space="0" w:color="auto"/>
        <w:right w:val="none" w:sz="0" w:space="0" w:color="auto"/>
      </w:divBdr>
    </w:div>
    <w:div w:id="945424962">
      <w:marLeft w:val="0"/>
      <w:marRight w:val="0"/>
      <w:marTop w:val="0"/>
      <w:marBottom w:val="0"/>
      <w:divBdr>
        <w:top w:val="none" w:sz="0" w:space="0" w:color="auto"/>
        <w:left w:val="none" w:sz="0" w:space="0" w:color="auto"/>
        <w:bottom w:val="none" w:sz="0" w:space="0" w:color="auto"/>
        <w:right w:val="none" w:sz="0" w:space="0" w:color="auto"/>
      </w:divBdr>
    </w:div>
    <w:div w:id="945424963">
      <w:marLeft w:val="0"/>
      <w:marRight w:val="0"/>
      <w:marTop w:val="0"/>
      <w:marBottom w:val="0"/>
      <w:divBdr>
        <w:top w:val="none" w:sz="0" w:space="0" w:color="auto"/>
        <w:left w:val="none" w:sz="0" w:space="0" w:color="auto"/>
        <w:bottom w:val="none" w:sz="0" w:space="0" w:color="auto"/>
        <w:right w:val="none" w:sz="0" w:space="0" w:color="auto"/>
      </w:divBdr>
    </w:div>
    <w:div w:id="945424964">
      <w:marLeft w:val="0"/>
      <w:marRight w:val="0"/>
      <w:marTop w:val="0"/>
      <w:marBottom w:val="0"/>
      <w:divBdr>
        <w:top w:val="none" w:sz="0" w:space="0" w:color="auto"/>
        <w:left w:val="none" w:sz="0" w:space="0" w:color="auto"/>
        <w:bottom w:val="none" w:sz="0" w:space="0" w:color="auto"/>
        <w:right w:val="none" w:sz="0" w:space="0" w:color="auto"/>
      </w:divBdr>
    </w:div>
    <w:div w:id="945424965">
      <w:marLeft w:val="0"/>
      <w:marRight w:val="0"/>
      <w:marTop w:val="0"/>
      <w:marBottom w:val="0"/>
      <w:divBdr>
        <w:top w:val="none" w:sz="0" w:space="0" w:color="auto"/>
        <w:left w:val="none" w:sz="0" w:space="0" w:color="auto"/>
        <w:bottom w:val="none" w:sz="0" w:space="0" w:color="auto"/>
        <w:right w:val="none" w:sz="0" w:space="0" w:color="auto"/>
      </w:divBdr>
    </w:div>
    <w:div w:id="945424968">
      <w:marLeft w:val="0"/>
      <w:marRight w:val="0"/>
      <w:marTop w:val="0"/>
      <w:marBottom w:val="0"/>
      <w:divBdr>
        <w:top w:val="none" w:sz="0" w:space="0" w:color="auto"/>
        <w:left w:val="none" w:sz="0" w:space="0" w:color="auto"/>
        <w:bottom w:val="none" w:sz="0" w:space="0" w:color="auto"/>
        <w:right w:val="none" w:sz="0" w:space="0" w:color="auto"/>
      </w:divBdr>
    </w:div>
    <w:div w:id="945424970">
      <w:marLeft w:val="0"/>
      <w:marRight w:val="0"/>
      <w:marTop w:val="0"/>
      <w:marBottom w:val="0"/>
      <w:divBdr>
        <w:top w:val="none" w:sz="0" w:space="0" w:color="auto"/>
        <w:left w:val="none" w:sz="0" w:space="0" w:color="auto"/>
        <w:bottom w:val="none" w:sz="0" w:space="0" w:color="auto"/>
        <w:right w:val="none" w:sz="0" w:space="0" w:color="auto"/>
      </w:divBdr>
    </w:div>
    <w:div w:id="945424971">
      <w:marLeft w:val="0"/>
      <w:marRight w:val="0"/>
      <w:marTop w:val="0"/>
      <w:marBottom w:val="0"/>
      <w:divBdr>
        <w:top w:val="none" w:sz="0" w:space="0" w:color="auto"/>
        <w:left w:val="none" w:sz="0" w:space="0" w:color="auto"/>
        <w:bottom w:val="none" w:sz="0" w:space="0" w:color="auto"/>
        <w:right w:val="none" w:sz="0" w:space="0" w:color="auto"/>
      </w:divBdr>
    </w:div>
    <w:div w:id="945424972">
      <w:marLeft w:val="0"/>
      <w:marRight w:val="0"/>
      <w:marTop w:val="0"/>
      <w:marBottom w:val="0"/>
      <w:divBdr>
        <w:top w:val="none" w:sz="0" w:space="0" w:color="auto"/>
        <w:left w:val="none" w:sz="0" w:space="0" w:color="auto"/>
        <w:bottom w:val="none" w:sz="0" w:space="0" w:color="auto"/>
        <w:right w:val="none" w:sz="0" w:space="0" w:color="auto"/>
      </w:divBdr>
    </w:div>
    <w:div w:id="945424973">
      <w:marLeft w:val="0"/>
      <w:marRight w:val="0"/>
      <w:marTop w:val="0"/>
      <w:marBottom w:val="0"/>
      <w:divBdr>
        <w:top w:val="none" w:sz="0" w:space="0" w:color="auto"/>
        <w:left w:val="none" w:sz="0" w:space="0" w:color="auto"/>
        <w:bottom w:val="none" w:sz="0" w:space="0" w:color="auto"/>
        <w:right w:val="none" w:sz="0" w:space="0" w:color="auto"/>
      </w:divBdr>
    </w:div>
    <w:div w:id="1296715148">
      <w:bodyDiv w:val="1"/>
      <w:marLeft w:val="0"/>
      <w:marRight w:val="0"/>
      <w:marTop w:val="0"/>
      <w:marBottom w:val="0"/>
      <w:divBdr>
        <w:top w:val="none" w:sz="0" w:space="0" w:color="auto"/>
        <w:left w:val="none" w:sz="0" w:space="0" w:color="auto"/>
        <w:bottom w:val="none" w:sz="0" w:space="0" w:color="auto"/>
        <w:right w:val="none" w:sz="0" w:space="0" w:color="auto"/>
      </w:divBdr>
    </w:div>
    <w:div w:id="1703743738">
      <w:bodyDiv w:val="1"/>
      <w:marLeft w:val="0"/>
      <w:marRight w:val="0"/>
      <w:marTop w:val="0"/>
      <w:marBottom w:val="0"/>
      <w:divBdr>
        <w:top w:val="none" w:sz="0" w:space="0" w:color="auto"/>
        <w:left w:val="none" w:sz="0" w:space="0" w:color="auto"/>
        <w:bottom w:val="none" w:sz="0" w:space="0" w:color="auto"/>
        <w:right w:val="none" w:sz="0" w:space="0" w:color="auto"/>
      </w:divBdr>
      <w:divsChild>
        <w:div w:id="581067499">
          <w:marLeft w:val="547"/>
          <w:marRight w:val="0"/>
          <w:marTop w:val="0"/>
          <w:marBottom w:val="0"/>
          <w:divBdr>
            <w:top w:val="none" w:sz="0" w:space="0" w:color="auto"/>
            <w:left w:val="none" w:sz="0" w:space="0" w:color="auto"/>
            <w:bottom w:val="none" w:sz="0" w:space="0" w:color="auto"/>
            <w:right w:val="none" w:sz="0" w:space="0" w:color="auto"/>
          </w:divBdr>
        </w:div>
      </w:divsChild>
    </w:div>
    <w:div w:id="1863083570">
      <w:bodyDiv w:val="1"/>
      <w:marLeft w:val="0"/>
      <w:marRight w:val="0"/>
      <w:marTop w:val="0"/>
      <w:marBottom w:val="0"/>
      <w:divBdr>
        <w:top w:val="none" w:sz="0" w:space="0" w:color="auto"/>
        <w:left w:val="none" w:sz="0" w:space="0" w:color="auto"/>
        <w:bottom w:val="none" w:sz="0" w:space="0" w:color="auto"/>
        <w:right w:val="none" w:sz="0" w:space="0" w:color="auto"/>
      </w:divBdr>
    </w:div>
    <w:div w:id="1963225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waht.nhs.uk" TargetMode="External"/><Relationship Id="rId26" Type="http://schemas.openxmlformats.org/officeDocument/2006/relationships/image" Target="media/image18.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emf"/><Relationship Id="rId42" Type="http://schemas.openxmlformats.org/officeDocument/2006/relationships/image" Target="media/image27.emf"/><Relationship Id="rId47" Type="http://schemas.openxmlformats.org/officeDocument/2006/relationships/image" Target="media/image29.png"/><Relationship Id="rId50" Type="http://schemas.openxmlformats.org/officeDocument/2006/relationships/hyperlink" Target="http://en.wikipedia.org/wiki/Methicillin-resistant_Staphylococcus_aureus" TargetMode="Externa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4.wmf"/><Relationship Id="rId38" Type="http://schemas.openxmlformats.org/officeDocument/2006/relationships/header" Target="header1.xml"/><Relationship Id="rId46" Type="http://schemas.openxmlformats.org/officeDocument/2006/relationships/hyperlink" Target="file:///E:\WAHT\Quality%20Account%202014.15\quality.bmj.co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hyperlink" Target="http://www.cqc.org.uk" TargetMode="External"/><Relationship Id="rId37" Type="http://schemas.openxmlformats.org/officeDocument/2006/relationships/chart" Target="charts/chart2.xml"/><Relationship Id="rId40" Type="http://schemas.openxmlformats.org/officeDocument/2006/relationships/footer" Target="footer2.xml"/><Relationship Id="rId45" Type="http://schemas.openxmlformats.org/officeDocument/2006/relationships/hyperlink" Target="http://www.ihi.orgs" TargetMode="External"/><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chart" Target="charts/chart1.xml"/><Relationship Id="rId49"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file:///E:\WAHT\Quality%20Account%202014.15\www.rcplondon.ac.uk"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www.waht.nhs.uk/en-GB/Patients-Visitors-and-Carers/Patient-Advice-and-Liaison-Service-PALS/" TargetMode="External"/><Relationship Id="rId43" Type="http://schemas.openxmlformats.org/officeDocument/2006/relationships/image" Target="media/image28.emf"/><Relationship Id="rId48" Type="http://schemas.openxmlformats.org/officeDocument/2006/relationships/hyperlink" Target="http://www.waht.nhs.uk/" TargetMode="External"/><Relationship Id="rId8" Type="http://schemas.openxmlformats.org/officeDocument/2006/relationships/image" Target="media/image1.gif"/><Relationship Id="rId51" Type="http://schemas.openxmlformats.org/officeDocument/2006/relationships/fontTable" Target="fontTable.xml"/></Relationships>
</file>

<file path=word/_rels/endnotes.xml.rels><?xml version="1.0" encoding="UTF-8" standalone="yes"?>
<Relationships xmlns="http://schemas.openxmlformats.org/package/2006/relationships"><Relationship Id="rId1" Type="http://schemas.openxmlformats.org/officeDocument/2006/relationships/hyperlink" Target="file:///\\WAHT\Users\General\hoskinsg\Governance%20guidance\Healthy%20NHS%20Board%20Principles%20for%20Good%20Governance.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WAHT\Users\General\penfolds\My%20Data\Workforce%20Planning\Staff%20group%20Headcount%2015.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WAHT\Users\General\penfolds\My%20Data\Workforce%20Planning\Divisional_and_Trust_Sickness_with_Corp_&amp;_Est(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GB"/>
  <c:chart>
    <c:title>
      <c:tx>
        <c:rich>
          <a:bodyPr/>
          <a:lstStyle/>
          <a:p>
            <a:pPr>
              <a:defRPr sz="1400"/>
            </a:pPr>
            <a:r>
              <a:rPr lang="en-GB" sz="1400"/>
              <a:t>Number</a:t>
            </a:r>
            <a:r>
              <a:rPr lang="en-GB" sz="1400" baseline="0"/>
              <a:t> of Staff in Post (FTE)</a:t>
            </a:r>
            <a:endParaRPr lang="en-GB" sz="1400"/>
          </a:p>
        </c:rich>
      </c:tx>
      <c:layout/>
    </c:title>
    <c:plotArea>
      <c:layout/>
      <c:barChart>
        <c:barDir val="col"/>
        <c:grouping val="clustered"/>
        <c:ser>
          <c:idx val="0"/>
          <c:order val="0"/>
          <c:tx>
            <c:strRef>
              <c:f>'Staff List by Org (Summary)'!$D$6</c:f>
              <c:strCache>
                <c:ptCount val="1"/>
                <c:pt idx="0">
                  <c:v>FTE 2015</c:v>
                </c:pt>
              </c:strCache>
            </c:strRef>
          </c:tx>
          <c:cat>
            <c:strRef>
              <c:f>'Staff List by Org (Summary)'!$C$7:$C$14</c:f>
              <c:strCache>
                <c:ptCount val="8"/>
                <c:pt idx="0">
                  <c:v>Add Prof Scientific and Technic</c:v>
                </c:pt>
                <c:pt idx="1">
                  <c:v>Additional Clinical Services</c:v>
                </c:pt>
                <c:pt idx="2">
                  <c:v>Administrative and Clerical</c:v>
                </c:pt>
                <c:pt idx="3">
                  <c:v>Allied Health Professionals</c:v>
                </c:pt>
                <c:pt idx="4">
                  <c:v>Estates and Ancillary</c:v>
                </c:pt>
                <c:pt idx="5">
                  <c:v>Healthcare Scientists</c:v>
                </c:pt>
                <c:pt idx="6">
                  <c:v>Medical and Dental</c:v>
                </c:pt>
                <c:pt idx="7">
                  <c:v>Nursing and Midwifery Registered</c:v>
                </c:pt>
              </c:strCache>
            </c:strRef>
          </c:cat>
          <c:val>
            <c:numRef>
              <c:f>'Staff List by Org (Summary)'!$D$7:$D$14</c:f>
              <c:numCache>
                <c:formatCode>##,###,###,###,###,###,##0.00</c:formatCode>
                <c:ptCount val="8"/>
                <c:pt idx="0">
                  <c:v>48.974940000000004</c:v>
                </c:pt>
                <c:pt idx="1">
                  <c:v>243.15875</c:v>
                </c:pt>
                <c:pt idx="2">
                  <c:v>339.77470999999969</c:v>
                </c:pt>
                <c:pt idx="3">
                  <c:v>91.279060000000001</c:v>
                </c:pt>
                <c:pt idx="4">
                  <c:v>131.81765000000001</c:v>
                </c:pt>
                <c:pt idx="5">
                  <c:v>33.738670000000013</c:v>
                </c:pt>
                <c:pt idx="6">
                  <c:v>184.38300000000001</c:v>
                </c:pt>
                <c:pt idx="7">
                  <c:v>397.01092</c:v>
                </c:pt>
              </c:numCache>
            </c:numRef>
          </c:val>
        </c:ser>
        <c:ser>
          <c:idx val="1"/>
          <c:order val="1"/>
          <c:tx>
            <c:strRef>
              <c:f>'Staff List by Org (Summary)'!$E$6</c:f>
              <c:strCache>
                <c:ptCount val="1"/>
                <c:pt idx="0">
                  <c:v>FTE</c:v>
                </c:pt>
              </c:strCache>
            </c:strRef>
          </c:tx>
          <c:cat>
            <c:strRef>
              <c:f>'Staff List by Org (Summary)'!$C$7:$C$14</c:f>
              <c:strCache>
                <c:ptCount val="8"/>
                <c:pt idx="0">
                  <c:v>Add Prof Scientific and Technic</c:v>
                </c:pt>
                <c:pt idx="1">
                  <c:v>Additional Clinical Services</c:v>
                </c:pt>
                <c:pt idx="2">
                  <c:v>Administrative and Clerical</c:v>
                </c:pt>
                <c:pt idx="3">
                  <c:v>Allied Health Professionals</c:v>
                </c:pt>
                <c:pt idx="4">
                  <c:v>Estates and Ancillary</c:v>
                </c:pt>
                <c:pt idx="5">
                  <c:v>Healthcare Scientists</c:v>
                </c:pt>
                <c:pt idx="6">
                  <c:v>Medical and Dental</c:v>
                </c:pt>
                <c:pt idx="7">
                  <c:v>Nursing and Midwifery Registered</c:v>
                </c:pt>
              </c:strCache>
            </c:strRef>
          </c:cat>
          <c:val>
            <c:numRef>
              <c:f>'Staff List by Org (Summary)'!$E$7:$E$14</c:f>
            </c:numRef>
          </c:val>
        </c:ser>
        <c:ser>
          <c:idx val="2"/>
          <c:order val="2"/>
          <c:tx>
            <c:strRef>
              <c:f>'Staff List by Org (Summary)'!$F$6</c:f>
              <c:strCache>
                <c:ptCount val="1"/>
                <c:pt idx="0">
                  <c:v>FTE 2014</c:v>
                </c:pt>
              </c:strCache>
            </c:strRef>
          </c:tx>
          <c:cat>
            <c:strRef>
              <c:f>'Staff List by Org (Summary)'!$C$7:$C$14</c:f>
              <c:strCache>
                <c:ptCount val="8"/>
                <c:pt idx="0">
                  <c:v>Add Prof Scientific and Technic</c:v>
                </c:pt>
                <c:pt idx="1">
                  <c:v>Additional Clinical Services</c:v>
                </c:pt>
                <c:pt idx="2">
                  <c:v>Administrative and Clerical</c:v>
                </c:pt>
                <c:pt idx="3">
                  <c:v>Allied Health Professionals</c:v>
                </c:pt>
                <c:pt idx="4">
                  <c:v>Estates and Ancillary</c:v>
                </c:pt>
                <c:pt idx="5">
                  <c:v>Healthcare Scientists</c:v>
                </c:pt>
                <c:pt idx="6">
                  <c:v>Medical and Dental</c:v>
                </c:pt>
                <c:pt idx="7">
                  <c:v>Nursing and Midwifery Registered</c:v>
                </c:pt>
              </c:strCache>
            </c:strRef>
          </c:cat>
          <c:val>
            <c:numRef>
              <c:f>'Staff List by Org (Summary)'!$F$7:$F$14</c:f>
              <c:numCache>
                <c:formatCode>##,###,###,###,###,###,##0.00</c:formatCode>
                <c:ptCount val="8"/>
                <c:pt idx="0">
                  <c:v>45.314939999999993</c:v>
                </c:pt>
                <c:pt idx="1">
                  <c:v>253.33479</c:v>
                </c:pt>
                <c:pt idx="2">
                  <c:v>347.93523999999786</c:v>
                </c:pt>
                <c:pt idx="3">
                  <c:v>92.680669999999992</c:v>
                </c:pt>
                <c:pt idx="4">
                  <c:v>127.47763999999999</c:v>
                </c:pt>
                <c:pt idx="5">
                  <c:v>31.471999999999987</c:v>
                </c:pt>
                <c:pt idx="6">
                  <c:v>186.09400000000002</c:v>
                </c:pt>
                <c:pt idx="7">
                  <c:v>429.48999999999899</c:v>
                </c:pt>
              </c:numCache>
            </c:numRef>
          </c:val>
        </c:ser>
        <c:dLbls/>
        <c:axId val="45276544"/>
        <c:axId val="49939968"/>
      </c:barChart>
      <c:catAx>
        <c:axId val="45276544"/>
        <c:scaling>
          <c:orientation val="minMax"/>
        </c:scaling>
        <c:axPos val="b"/>
        <c:title>
          <c:tx>
            <c:rich>
              <a:bodyPr/>
              <a:lstStyle/>
              <a:p>
                <a:pPr>
                  <a:defRPr/>
                </a:pPr>
                <a:r>
                  <a:rPr lang="en-US"/>
                  <a:t>Staff Group</a:t>
                </a:r>
              </a:p>
            </c:rich>
          </c:tx>
          <c:layout/>
        </c:title>
        <c:tickLblPos val="nextTo"/>
        <c:crossAx val="49939968"/>
        <c:crosses val="autoZero"/>
        <c:auto val="1"/>
        <c:lblAlgn val="ctr"/>
        <c:lblOffset val="100"/>
      </c:catAx>
      <c:valAx>
        <c:axId val="49939968"/>
        <c:scaling>
          <c:orientation val="minMax"/>
        </c:scaling>
        <c:axPos val="l"/>
        <c:majorGridlines/>
        <c:title>
          <c:tx>
            <c:rich>
              <a:bodyPr rot="-5400000" vert="horz"/>
              <a:lstStyle/>
              <a:p>
                <a:pPr>
                  <a:defRPr/>
                </a:pPr>
                <a:r>
                  <a:rPr lang="en-US"/>
                  <a:t>Number of FTE Staff in Post</a:t>
                </a:r>
              </a:p>
            </c:rich>
          </c:tx>
          <c:layout/>
        </c:title>
        <c:numFmt formatCode="##,###,###,###,###,###,##0.00" sourceLinked="1"/>
        <c:tickLblPos val="nextTo"/>
        <c:crossAx val="45276544"/>
        <c:crosses val="autoZero"/>
        <c:crossBetween val="between"/>
      </c:valAx>
    </c:plotArea>
    <c:legend>
      <c:legendPos val="r"/>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GB"/>
  <c:chart>
    <c:title>
      <c:tx>
        <c:rich>
          <a:bodyPr/>
          <a:lstStyle/>
          <a:p>
            <a:pPr>
              <a:defRPr/>
            </a:pPr>
            <a:r>
              <a:rPr lang="en-GB" sz="1200"/>
              <a:t>Sickness Absence Rate</a:t>
            </a:r>
          </a:p>
        </c:rich>
      </c:tx>
      <c:layout/>
    </c:title>
    <c:plotArea>
      <c:layout/>
      <c:lineChart>
        <c:grouping val="standard"/>
        <c:ser>
          <c:idx val="0"/>
          <c:order val="0"/>
          <c:tx>
            <c:strRef>
              <c:f>'Raw Data'!$B$18</c:f>
              <c:strCache>
                <c:ptCount val="1"/>
                <c:pt idx="0">
                  <c:v>2014/15</c:v>
                </c:pt>
              </c:strCache>
            </c:strRef>
          </c:tx>
          <c:marker>
            <c:symbol val="none"/>
          </c:marker>
          <c:cat>
            <c:strRef>
              <c:f>'Raw Data'!$A$19:$A$28</c:f>
              <c:strCache>
                <c:ptCount val="10"/>
                <c:pt idx="0">
                  <c:v>Apr</c:v>
                </c:pt>
                <c:pt idx="1">
                  <c:v>May</c:v>
                </c:pt>
                <c:pt idx="2">
                  <c:v>Jun</c:v>
                </c:pt>
                <c:pt idx="3">
                  <c:v>Jul</c:v>
                </c:pt>
                <c:pt idx="4">
                  <c:v>Aug</c:v>
                </c:pt>
                <c:pt idx="5">
                  <c:v>Sep</c:v>
                </c:pt>
                <c:pt idx="6">
                  <c:v>Oct</c:v>
                </c:pt>
                <c:pt idx="7">
                  <c:v>Nov</c:v>
                </c:pt>
                <c:pt idx="8">
                  <c:v>Dec</c:v>
                </c:pt>
                <c:pt idx="9">
                  <c:v>Jan</c:v>
                </c:pt>
              </c:strCache>
            </c:strRef>
          </c:cat>
          <c:val>
            <c:numRef>
              <c:f>'Raw Data'!$B$19:$B$28</c:f>
              <c:numCache>
                <c:formatCode>0.00%</c:formatCode>
                <c:ptCount val="10"/>
                <c:pt idx="0">
                  <c:v>3.9300000000000002E-2</c:v>
                </c:pt>
                <c:pt idx="1">
                  <c:v>4.2600000000000013E-2</c:v>
                </c:pt>
                <c:pt idx="2">
                  <c:v>3.8800000000000001E-2</c:v>
                </c:pt>
                <c:pt idx="3">
                  <c:v>4.5300000000000014E-2</c:v>
                </c:pt>
                <c:pt idx="4">
                  <c:v>4.36E-2</c:v>
                </c:pt>
                <c:pt idx="5">
                  <c:v>4.5200000000000004E-2</c:v>
                </c:pt>
                <c:pt idx="6">
                  <c:v>4.3900000000000002E-2</c:v>
                </c:pt>
                <c:pt idx="7">
                  <c:v>4.1199999999999987E-2</c:v>
                </c:pt>
                <c:pt idx="8">
                  <c:v>4.3000000000000003E-2</c:v>
                </c:pt>
                <c:pt idx="9">
                  <c:v>4.2600000000000013E-2</c:v>
                </c:pt>
              </c:numCache>
            </c:numRef>
          </c:val>
        </c:ser>
        <c:dLbls/>
        <c:marker val="1"/>
        <c:axId val="49988736"/>
        <c:axId val="49990656"/>
      </c:lineChart>
      <c:catAx>
        <c:axId val="49988736"/>
        <c:scaling>
          <c:orientation val="minMax"/>
        </c:scaling>
        <c:axPos val="b"/>
        <c:title>
          <c:tx>
            <c:rich>
              <a:bodyPr/>
              <a:lstStyle/>
              <a:p>
                <a:pPr>
                  <a:defRPr/>
                </a:pPr>
                <a:r>
                  <a:rPr lang="en-US"/>
                  <a:t>Months</a:t>
                </a:r>
              </a:p>
            </c:rich>
          </c:tx>
          <c:layout/>
        </c:title>
        <c:tickLblPos val="nextTo"/>
        <c:crossAx val="49990656"/>
        <c:crosses val="autoZero"/>
        <c:auto val="1"/>
        <c:lblAlgn val="ctr"/>
        <c:lblOffset val="100"/>
      </c:catAx>
      <c:valAx>
        <c:axId val="49990656"/>
        <c:scaling>
          <c:orientation val="minMax"/>
        </c:scaling>
        <c:axPos val="l"/>
        <c:majorGridlines/>
        <c:title>
          <c:tx>
            <c:rich>
              <a:bodyPr rot="-5400000" vert="horz"/>
              <a:lstStyle/>
              <a:p>
                <a:pPr>
                  <a:defRPr/>
                </a:pPr>
                <a:r>
                  <a:rPr lang="en-GB"/>
                  <a:t>% Sickness</a:t>
                </a:r>
                <a:r>
                  <a:rPr lang="en-GB" baseline="0"/>
                  <a:t> Absence</a:t>
                </a:r>
                <a:endParaRPr lang="en-GB"/>
              </a:p>
            </c:rich>
          </c:tx>
          <c:layout/>
        </c:title>
        <c:numFmt formatCode="0.00%" sourceLinked="1"/>
        <c:tickLblPos val="nextTo"/>
        <c:crossAx val="49988736"/>
        <c:crosses val="autoZero"/>
        <c:crossBetween val="between"/>
      </c:valAx>
    </c:plotArea>
    <c:legend>
      <c:legendPos val="r"/>
      <c:layout/>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9282F9-E4AA-456D-B96C-B70C4F822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70</Pages>
  <Words>21718</Words>
  <Characters>121785</Characters>
  <Application>Microsoft Office Word</Application>
  <DocSecurity>0</DocSecurity>
  <Lines>1014</Lines>
  <Paragraphs>286</Paragraphs>
  <ScaleCrop>false</ScaleCrop>
  <HeadingPairs>
    <vt:vector size="2" baseType="variant">
      <vt:variant>
        <vt:lpstr>Title</vt:lpstr>
      </vt:variant>
      <vt:variant>
        <vt:i4>1</vt:i4>
      </vt:variant>
    </vt:vector>
  </HeadingPairs>
  <TitlesOfParts>
    <vt:vector size="1" baseType="lpstr">
      <vt:lpstr>w</vt:lpstr>
    </vt:vector>
  </TitlesOfParts>
  <Company>NHS</Company>
  <LinksUpToDate>false</LinksUpToDate>
  <CharactersWithSpaces>143217</CharactersWithSpaces>
  <SharedDoc>false</SharedDoc>
  <HLinks>
    <vt:vector size="330" baseType="variant">
      <vt:variant>
        <vt:i4>3932209</vt:i4>
      </vt:variant>
      <vt:variant>
        <vt:i4>303</vt:i4>
      </vt:variant>
      <vt:variant>
        <vt:i4>0</vt:i4>
      </vt:variant>
      <vt:variant>
        <vt:i4>5</vt:i4>
      </vt:variant>
      <vt:variant>
        <vt:lpwstr>http://en.wikipedia.org/wiki/Methicillin-resistant_Staphylococcus_aureus</vt:lpwstr>
      </vt:variant>
      <vt:variant>
        <vt:lpwstr/>
      </vt:variant>
      <vt:variant>
        <vt:i4>3604525</vt:i4>
      </vt:variant>
      <vt:variant>
        <vt:i4>300</vt:i4>
      </vt:variant>
      <vt:variant>
        <vt:i4>0</vt:i4>
      </vt:variant>
      <vt:variant>
        <vt:i4>5</vt:i4>
      </vt:variant>
      <vt:variant>
        <vt:lpwstr>http://www.waht.nhs.uk/</vt:lpwstr>
      </vt:variant>
      <vt:variant>
        <vt:lpwstr/>
      </vt:variant>
      <vt:variant>
        <vt:i4>4456567</vt:i4>
      </vt:variant>
      <vt:variant>
        <vt:i4>294</vt:i4>
      </vt:variant>
      <vt:variant>
        <vt:i4>0</vt:i4>
      </vt:variant>
      <vt:variant>
        <vt:i4>5</vt:i4>
      </vt:variant>
      <vt:variant>
        <vt:lpwstr>\\WAHT\Users\General\hoskinsg\Governance guidance\Healthy NHS Board Principles for Good Governance.pdf</vt:lpwstr>
      </vt:variant>
      <vt:variant>
        <vt:lpwstr/>
      </vt:variant>
      <vt:variant>
        <vt:i4>5046297</vt:i4>
      </vt:variant>
      <vt:variant>
        <vt:i4>291</vt:i4>
      </vt:variant>
      <vt:variant>
        <vt:i4>0</vt:i4>
      </vt:variant>
      <vt:variant>
        <vt:i4>5</vt:i4>
      </vt:variant>
      <vt:variant>
        <vt:lpwstr>\\WAHT\Users\General\hoskinsg\Governance guidance\Governing the NHS A guide for NHS Boards dh_4082637.pdf</vt:lpwstr>
      </vt:variant>
      <vt:variant>
        <vt:lpwstr/>
      </vt:variant>
      <vt:variant>
        <vt:i4>458835</vt:i4>
      </vt:variant>
      <vt:variant>
        <vt:i4>288</vt:i4>
      </vt:variant>
      <vt:variant>
        <vt:i4>0</vt:i4>
      </vt:variant>
      <vt:variant>
        <vt:i4>5</vt:i4>
      </vt:variant>
      <vt:variant>
        <vt:lpwstr>http://www.quality-health.co.uk/surveys/national-cancer-patient-experience-survey</vt:lpwstr>
      </vt:variant>
      <vt:variant>
        <vt:lpwstr/>
      </vt:variant>
      <vt:variant>
        <vt:i4>3604525</vt:i4>
      </vt:variant>
      <vt:variant>
        <vt:i4>285</vt:i4>
      </vt:variant>
      <vt:variant>
        <vt:i4>0</vt:i4>
      </vt:variant>
      <vt:variant>
        <vt:i4>5</vt:i4>
      </vt:variant>
      <vt:variant>
        <vt:lpwstr>http://www.waht.nhs.uk/</vt:lpwstr>
      </vt:variant>
      <vt:variant>
        <vt:lpwstr/>
      </vt:variant>
      <vt:variant>
        <vt:i4>1900596</vt:i4>
      </vt:variant>
      <vt:variant>
        <vt:i4>278</vt:i4>
      </vt:variant>
      <vt:variant>
        <vt:i4>0</vt:i4>
      </vt:variant>
      <vt:variant>
        <vt:i4>5</vt:i4>
      </vt:variant>
      <vt:variant>
        <vt:lpwstr/>
      </vt:variant>
      <vt:variant>
        <vt:lpwstr>_Toc356984926</vt:lpwstr>
      </vt:variant>
      <vt:variant>
        <vt:i4>1900596</vt:i4>
      </vt:variant>
      <vt:variant>
        <vt:i4>272</vt:i4>
      </vt:variant>
      <vt:variant>
        <vt:i4>0</vt:i4>
      </vt:variant>
      <vt:variant>
        <vt:i4>5</vt:i4>
      </vt:variant>
      <vt:variant>
        <vt:lpwstr/>
      </vt:variant>
      <vt:variant>
        <vt:lpwstr>_Toc356984925</vt:lpwstr>
      </vt:variant>
      <vt:variant>
        <vt:i4>1900596</vt:i4>
      </vt:variant>
      <vt:variant>
        <vt:i4>266</vt:i4>
      </vt:variant>
      <vt:variant>
        <vt:i4>0</vt:i4>
      </vt:variant>
      <vt:variant>
        <vt:i4>5</vt:i4>
      </vt:variant>
      <vt:variant>
        <vt:lpwstr/>
      </vt:variant>
      <vt:variant>
        <vt:lpwstr>_Toc356984924</vt:lpwstr>
      </vt:variant>
      <vt:variant>
        <vt:i4>1900596</vt:i4>
      </vt:variant>
      <vt:variant>
        <vt:i4>260</vt:i4>
      </vt:variant>
      <vt:variant>
        <vt:i4>0</vt:i4>
      </vt:variant>
      <vt:variant>
        <vt:i4>5</vt:i4>
      </vt:variant>
      <vt:variant>
        <vt:lpwstr/>
      </vt:variant>
      <vt:variant>
        <vt:lpwstr>_Toc356984923</vt:lpwstr>
      </vt:variant>
      <vt:variant>
        <vt:i4>1900596</vt:i4>
      </vt:variant>
      <vt:variant>
        <vt:i4>254</vt:i4>
      </vt:variant>
      <vt:variant>
        <vt:i4>0</vt:i4>
      </vt:variant>
      <vt:variant>
        <vt:i4>5</vt:i4>
      </vt:variant>
      <vt:variant>
        <vt:lpwstr/>
      </vt:variant>
      <vt:variant>
        <vt:lpwstr>_Toc356984922</vt:lpwstr>
      </vt:variant>
      <vt:variant>
        <vt:i4>1900596</vt:i4>
      </vt:variant>
      <vt:variant>
        <vt:i4>248</vt:i4>
      </vt:variant>
      <vt:variant>
        <vt:i4>0</vt:i4>
      </vt:variant>
      <vt:variant>
        <vt:i4>5</vt:i4>
      </vt:variant>
      <vt:variant>
        <vt:lpwstr/>
      </vt:variant>
      <vt:variant>
        <vt:lpwstr>_Toc356984921</vt:lpwstr>
      </vt:variant>
      <vt:variant>
        <vt:i4>1900596</vt:i4>
      </vt:variant>
      <vt:variant>
        <vt:i4>242</vt:i4>
      </vt:variant>
      <vt:variant>
        <vt:i4>0</vt:i4>
      </vt:variant>
      <vt:variant>
        <vt:i4>5</vt:i4>
      </vt:variant>
      <vt:variant>
        <vt:lpwstr/>
      </vt:variant>
      <vt:variant>
        <vt:lpwstr>_Toc356984920</vt:lpwstr>
      </vt:variant>
      <vt:variant>
        <vt:i4>1966132</vt:i4>
      </vt:variant>
      <vt:variant>
        <vt:i4>236</vt:i4>
      </vt:variant>
      <vt:variant>
        <vt:i4>0</vt:i4>
      </vt:variant>
      <vt:variant>
        <vt:i4>5</vt:i4>
      </vt:variant>
      <vt:variant>
        <vt:lpwstr/>
      </vt:variant>
      <vt:variant>
        <vt:lpwstr>_Toc356984919</vt:lpwstr>
      </vt:variant>
      <vt:variant>
        <vt:i4>1966132</vt:i4>
      </vt:variant>
      <vt:variant>
        <vt:i4>230</vt:i4>
      </vt:variant>
      <vt:variant>
        <vt:i4>0</vt:i4>
      </vt:variant>
      <vt:variant>
        <vt:i4>5</vt:i4>
      </vt:variant>
      <vt:variant>
        <vt:lpwstr/>
      </vt:variant>
      <vt:variant>
        <vt:lpwstr>_Toc356984918</vt:lpwstr>
      </vt:variant>
      <vt:variant>
        <vt:i4>1966132</vt:i4>
      </vt:variant>
      <vt:variant>
        <vt:i4>224</vt:i4>
      </vt:variant>
      <vt:variant>
        <vt:i4>0</vt:i4>
      </vt:variant>
      <vt:variant>
        <vt:i4>5</vt:i4>
      </vt:variant>
      <vt:variant>
        <vt:lpwstr/>
      </vt:variant>
      <vt:variant>
        <vt:lpwstr>_Toc356984917</vt:lpwstr>
      </vt:variant>
      <vt:variant>
        <vt:i4>1966132</vt:i4>
      </vt:variant>
      <vt:variant>
        <vt:i4>218</vt:i4>
      </vt:variant>
      <vt:variant>
        <vt:i4>0</vt:i4>
      </vt:variant>
      <vt:variant>
        <vt:i4>5</vt:i4>
      </vt:variant>
      <vt:variant>
        <vt:lpwstr/>
      </vt:variant>
      <vt:variant>
        <vt:lpwstr>_Toc356984916</vt:lpwstr>
      </vt:variant>
      <vt:variant>
        <vt:i4>1966132</vt:i4>
      </vt:variant>
      <vt:variant>
        <vt:i4>212</vt:i4>
      </vt:variant>
      <vt:variant>
        <vt:i4>0</vt:i4>
      </vt:variant>
      <vt:variant>
        <vt:i4>5</vt:i4>
      </vt:variant>
      <vt:variant>
        <vt:lpwstr/>
      </vt:variant>
      <vt:variant>
        <vt:lpwstr>_Toc356984915</vt:lpwstr>
      </vt:variant>
      <vt:variant>
        <vt:i4>1966132</vt:i4>
      </vt:variant>
      <vt:variant>
        <vt:i4>206</vt:i4>
      </vt:variant>
      <vt:variant>
        <vt:i4>0</vt:i4>
      </vt:variant>
      <vt:variant>
        <vt:i4>5</vt:i4>
      </vt:variant>
      <vt:variant>
        <vt:lpwstr/>
      </vt:variant>
      <vt:variant>
        <vt:lpwstr>_Toc356984914</vt:lpwstr>
      </vt:variant>
      <vt:variant>
        <vt:i4>1966132</vt:i4>
      </vt:variant>
      <vt:variant>
        <vt:i4>200</vt:i4>
      </vt:variant>
      <vt:variant>
        <vt:i4>0</vt:i4>
      </vt:variant>
      <vt:variant>
        <vt:i4>5</vt:i4>
      </vt:variant>
      <vt:variant>
        <vt:lpwstr/>
      </vt:variant>
      <vt:variant>
        <vt:lpwstr>_Toc356984913</vt:lpwstr>
      </vt:variant>
      <vt:variant>
        <vt:i4>1966132</vt:i4>
      </vt:variant>
      <vt:variant>
        <vt:i4>194</vt:i4>
      </vt:variant>
      <vt:variant>
        <vt:i4>0</vt:i4>
      </vt:variant>
      <vt:variant>
        <vt:i4>5</vt:i4>
      </vt:variant>
      <vt:variant>
        <vt:lpwstr/>
      </vt:variant>
      <vt:variant>
        <vt:lpwstr>_Toc356984912</vt:lpwstr>
      </vt:variant>
      <vt:variant>
        <vt:i4>1966132</vt:i4>
      </vt:variant>
      <vt:variant>
        <vt:i4>188</vt:i4>
      </vt:variant>
      <vt:variant>
        <vt:i4>0</vt:i4>
      </vt:variant>
      <vt:variant>
        <vt:i4>5</vt:i4>
      </vt:variant>
      <vt:variant>
        <vt:lpwstr/>
      </vt:variant>
      <vt:variant>
        <vt:lpwstr>_Toc356984911</vt:lpwstr>
      </vt:variant>
      <vt:variant>
        <vt:i4>1966132</vt:i4>
      </vt:variant>
      <vt:variant>
        <vt:i4>182</vt:i4>
      </vt:variant>
      <vt:variant>
        <vt:i4>0</vt:i4>
      </vt:variant>
      <vt:variant>
        <vt:i4>5</vt:i4>
      </vt:variant>
      <vt:variant>
        <vt:lpwstr/>
      </vt:variant>
      <vt:variant>
        <vt:lpwstr>_Toc356984910</vt:lpwstr>
      </vt:variant>
      <vt:variant>
        <vt:i4>2031668</vt:i4>
      </vt:variant>
      <vt:variant>
        <vt:i4>176</vt:i4>
      </vt:variant>
      <vt:variant>
        <vt:i4>0</vt:i4>
      </vt:variant>
      <vt:variant>
        <vt:i4>5</vt:i4>
      </vt:variant>
      <vt:variant>
        <vt:lpwstr/>
      </vt:variant>
      <vt:variant>
        <vt:lpwstr>_Toc356984909</vt:lpwstr>
      </vt:variant>
      <vt:variant>
        <vt:i4>2031668</vt:i4>
      </vt:variant>
      <vt:variant>
        <vt:i4>170</vt:i4>
      </vt:variant>
      <vt:variant>
        <vt:i4>0</vt:i4>
      </vt:variant>
      <vt:variant>
        <vt:i4>5</vt:i4>
      </vt:variant>
      <vt:variant>
        <vt:lpwstr/>
      </vt:variant>
      <vt:variant>
        <vt:lpwstr>_Toc356984908</vt:lpwstr>
      </vt:variant>
      <vt:variant>
        <vt:i4>2031668</vt:i4>
      </vt:variant>
      <vt:variant>
        <vt:i4>164</vt:i4>
      </vt:variant>
      <vt:variant>
        <vt:i4>0</vt:i4>
      </vt:variant>
      <vt:variant>
        <vt:i4>5</vt:i4>
      </vt:variant>
      <vt:variant>
        <vt:lpwstr/>
      </vt:variant>
      <vt:variant>
        <vt:lpwstr>_Toc356984907</vt:lpwstr>
      </vt:variant>
      <vt:variant>
        <vt:i4>2031668</vt:i4>
      </vt:variant>
      <vt:variant>
        <vt:i4>158</vt:i4>
      </vt:variant>
      <vt:variant>
        <vt:i4>0</vt:i4>
      </vt:variant>
      <vt:variant>
        <vt:i4>5</vt:i4>
      </vt:variant>
      <vt:variant>
        <vt:lpwstr/>
      </vt:variant>
      <vt:variant>
        <vt:lpwstr>_Toc356984906</vt:lpwstr>
      </vt:variant>
      <vt:variant>
        <vt:i4>2031668</vt:i4>
      </vt:variant>
      <vt:variant>
        <vt:i4>152</vt:i4>
      </vt:variant>
      <vt:variant>
        <vt:i4>0</vt:i4>
      </vt:variant>
      <vt:variant>
        <vt:i4>5</vt:i4>
      </vt:variant>
      <vt:variant>
        <vt:lpwstr/>
      </vt:variant>
      <vt:variant>
        <vt:lpwstr>_Toc356984905</vt:lpwstr>
      </vt:variant>
      <vt:variant>
        <vt:i4>2031668</vt:i4>
      </vt:variant>
      <vt:variant>
        <vt:i4>146</vt:i4>
      </vt:variant>
      <vt:variant>
        <vt:i4>0</vt:i4>
      </vt:variant>
      <vt:variant>
        <vt:i4>5</vt:i4>
      </vt:variant>
      <vt:variant>
        <vt:lpwstr/>
      </vt:variant>
      <vt:variant>
        <vt:lpwstr>_Toc356984904</vt:lpwstr>
      </vt:variant>
      <vt:variant>
        <vt:i4>2031668</vt:i4>
      </vt:variant>
      <vt:variant>
        <vt:i4>140</vt:i4>
      </vt:variant>
      <vt:variant>
        <vt:i4>0</vt:i4>
      </vt:variant>
      <vt:variant>
        <vt:i4>5</vt:i4>
      </vt:variant>
      <vt:variant>
        <vt:lpwstr/>
      </vt:variant>
      <vt:variant>
        <vt:lpwstr>_Toc356984903</vt:lpwstr>
      </vt:variant>
      <vt:variant>
        <vt:i4>2031668</vt:i4>
      </vt:variant>
      <vt:variant>
        <vt:i4>134</vt:i4>
      </vt:variant>
      <vt:variant>
        <vt:i4>0</vt:i4>
      </vt:variant>
      <vt:variant>
        <vt:i4>5</vt:i4>
      </vt:variant>
      <vt:variant>
        <vt:lpwstr/>
      </vt:variant>
      <vt:variant>
        <vt:lpwstr>_Toc356984902</vt:lpwstr>
      </vt:variant>
      <vt:variant>
        <vt:i4>2031668</vt:i4>
      </vt:variant>
      <vt:variant>
        <vt:i4>128</vt:i4>
      </vt:variant>
      <vt:variant>
        <vt:i4>0</vt:i4>
      </vt:variant>
      <vt:variant>
        <vt:i4>5</vt:i4>
      </vt:variant>
      <vt:variant>
        <vt:lpwstr/>
      </vt:variant>
      <vt:variant>
        <vt:lpwstr>_Toc356984901</vt:lpwstr>
      </vt:variant>
      <vt:variant>
        <vt:i4>2031668</vt:i4>
      </vt:variant>
      <vt:variant>
        <vt:i4>122</vt:i4>
      </vt:variant>
      <vt:variant>
        <vt:i4>0</vt:i4>
      </vt:variant>
      <vt:variant>
        <vt:i4>5</vt:i4>
      </vt:variant>
      <vt:variant>
        <vt:lpwstr/>
      </vt:variant>
      <vt:variant>
        <vt:lpwstr>_Toc356984900</vt:lpwstr>
      </vt:variant>
      <vt:variant>
        <vt:i4>1441845</vt:i4>
      </vt:variant>
      <vt:variant>
        <vt:i4>116</vt:i4>
      </vt:variant>
      <vt:variant>
        <vt:i4>0</vt:i4>
      </vt:variant>
      <vt:variant>
        <vt:i4>5</vt:i4>
      </vt:variant>
      <vt:variant>
        <vt:lpwstr/>
      </vt:variant>
      <vt:variant>
        <vt:lpwstr>_Toc356984899</vt:lpwstr>
      </vt:variant>
      <vt:variant>
        <vt:i4>1441845</vt:i4>
      </vt:variant>
      <vt:variant>
        <vt:i4>110</vt:i4>
      </vt:variant>
      <vt:variant>
        <vt:i4>0</vt:i4>
      </vt:variant>
      <vt:variant>
        <vt:i4>5</vt:i4>
      </vt:variant>
      <vt:variant>
        <vt:lpwstr/>
      </vt:variant>
      <vt:variant>
        <vt:lpwstr>_Toc356984898</vt:lpwstr>
      </vt:variant>
      <vt:variant>
        <vt:i4>1441845</vt:i4>
      </vt:variant>
      <vt:variant>
        <vt:i4>104</vt:i4>
      </vt:variant>
      <vt:variant>
        <vt:i4>0</vt:i4>
      </vt:variant>
      <vt:variant>
        <vt:i4>5</vt:i4>
      </vt:variant>
      <vt:variant>
        <vt:lpwstr/>
      </vt:variant>
      <vt:variant>
        <vt:lpwstr>_Toc356984897</vt:lpwstr>
      </vt:variant>
      <vt:variant>
        <vt:i4>1441845</vt:i4>
      </vt:variant>
      <vt:variant>
        <vt:i4>98</vt:i4>
      </vt:variant>
      <vt:variant>
        <vt:i4>0</vt:i4>
      </vt:variant>
      <vt:variant>
        <vt:i4>5</vt:i4>
      </vt:variant>
      <vt:variant>
        <vt:lpwstr/>
      </vt:variant>
      <vt:variant>
        <vt:lpwstr>_Toc356984896</vt:lpwstr>
      </vt:variant>
      <vt:variant>
        <vt:i4>1441845</vt:i4>
      </vt:variant>
      <vt:variant>
        <vt:i4>92</vt:i4>
      </vt:variant>
      <vt:variant>
        <vt:i4>0</vt:i4>
      </vt:variant>
      <vt:variant>
        <vt:i4>5</vt:i4>
      </vt:variant>
      <vt:variant>
        <vt:lpwstr/>
      </vt:variant>
      <vt:variant>
        <vt:lpwstr>_Toc356984895</vt:lpwstr>
      </vt:variant>
      <vt:variant>
        <vt:i4>1441845</vt:i4>
      </vt:variant>
      <vt:variant>
        <vt:i4>86</vt:i4>
      </vt:variant>
      <vt:variant>
        <vt:i4>0</vt:i4>
      </vt:variant>
      <vt:variant>
        <vt:i4>5</vt:i4>
      </vt:variant>
      <vt:variant>
        <vt:lpwstr/>
      </vt:variant>
      <vt:variant>
        <vt:lpwstr>_Toc356984894</vt:lpwstr>
      </vt:variant>
      <vt:variant>
        <vt:i4>1441845</vt:i4>
      </vt:variant>
      <vt:variant>
        <vt:i4>80</vt:i4>
      </vt:variant>
      <vt:variant>
        <vt:i4>0</vt:i4>
      </vt:variant>
      <vt:variant>
        <vt:i4>5</vt:i4>
      </vt:variant>
      <vt:variant>
        <vt:lpwstr/>
      </vt:variant>
      <vt:variant>
        <vt:lpwstr>_Toc356984893</vt:lpwstr>
      </vt:variant>
      <vt:variant>
        <vt:i4>1441845</vt:i4>
      </vt:variant>
      <vt:variant>
        <vt:i4>74</vt:i4>
      </vt:variant>
      <vt:variant>
        <vt:i4>0</vt:i4>
      </vt:variant>
      <vt:variant>
        <vt:i4>5</vt:i4>
      </vt:variant>
      <vt:variant>
        <vt:lpwstr/>
      </vt:variant>
      <vt:variant>
        <vt:lpwstr>_Toc356984892</vt:lpwstr>
      </vt:variant>
      <vt:variant>
        <vt:i4>1441845</vt:i4>
      </vt:variant>
      <vt:variant>
        <vt:i4>68</vt:i4>
      </vt:variant>
      <vt:variant>
        <vt:i4>0</vt:i4>
      </vt:variant>
      <vt:variant>
        <vt:i4>5</vt:i4>
      </vt:variant>
      <vt:variant>
        <vt:lpwstr/>
      </vt:variant>
      <vt:variant>
        <vt:lpwstr>_Toc356984891</vt:lpwstr>
      </vt:variant>
      <vt:variant>
        <vt:i4>1441845</vt:i4>
      </vt:variant>
      <vt:variant>
        <vt:i4>62</vt:i4>
      </vt:variant>
      <vt:variant>
        <vt:i4>0</vt:i4>
      </vt:variant>
      <vt:variant>
        <vt:i4>5</vt:i4>
      </vt:variant>
      <vt:variant>
        <vt:lpwstr/>
      </vt:variant>
      <vt:variant>
        <vt:lpwstr>_Toc356984890</vt:lpwstr>
      </vt:variant>
      <vt:variant>
        <vt:i4>1507381</vt:i4>
      </vt:variant>
      <vt:variant>
        <vt:i4>56</vt:i4>
      </vt:variant>
      <vt:variant>
        <vt:i4>0</vt:i4>
      </vt:variant>
      <vt:variant>
        <vt:i4>5</vt:i4>
      </vt:variant>
      <vt:variant>
        <vt:lpwstr/>
      </vt:variant>
      <vt:variant>
        <vt:lpwstr>_Toc356984889</vt:lpwstr>
      </vt:variant>
      <vt:variant>
        <vt:i4>1507381</vt:i4>
      </vt:variant>
      <vt:variant>
        <vt:i4>50</vt:i4>
      </vt:variant>
      <vt:variant>
        <vt:i4>0</vt:i4>
      </vt:variant>
      <vt:variant>
        <vt:i4>5</vt:i4>
      </vt:variant>
      <vt:variant>
        <vt:lpwstr/>
      </vt:variant>
      <vt:variant>
        <vt:lpwstr>_Toc356984888</vt:lpwstr>
      </vt:variant>
      <vt:variant>
        <vt:i4>1507381</vt:i4>
      </vt:variant>
      <vt:variant>
        <vt:i4>44</vt:i4>
      </vt:variant>
      <vt:variant>
        <vt:i4>0</vt:i4>
      </vt:variant>
      <vt:variant>
        <vt:i4>5</vt:i4>
      </vt:variant>
      <vt:variant>
        <vt:lpwstr/>
      </vt:variant>
      <vt:variant>
        <vt:lpwstr>_Toc356984887</vt:lpwstr>
      </vt:variant>
      <vt:variant>
        <vt:i4>1507381</vt:i4>
      </vt:variant>
      <vt:variant>
        <vt:i4>38</vt:i4>
      </vt:variant>
      <vt:variant>
        <vt:i4>0</vt:i4>
      </vt:variant>
      <vt:variant>
        <vt:i4>5</vt:i4>
      </vt:variant>
      <vt:variant>
        <vt:lpwstr/>
      </vt:variant>
      <vt:variant>
        <vt:lpwstr>_Toc356984886</vt:lpwstr>
      </vt:variant>
      <vt:variant>
        <vt:i4>1507381</vt:i4>
      </vt:variant>
      <vt:variant>
        <vt:i4>32</vt:i4>
      </vt:variant>
      <vt:variant>
        <vt:i4>0</vt:i4>
      </vt:variant>
      <vt:variant>
        <vt:i4>5</vt:i4>
      </vt:variant>
      <vt:variant>
        <vt:lpwstr/>
      </vt:variant>
      <vt:variant>
        <vt:lpwstr>_Toc356984885</vt:lpwstr>
      </vt:variant>
      <vt:variant>
        <vt:i4>1507381</vt:i4>
      </vt:variant>
      <vt:variant>
        <vt:i4>26</vt:i4>
      </vt:variant>
      <vt:variant>
        <vt:i4>0</vt:i4>
      </vt:variant>
      <vt:variant>
        <vt:i4>5</vt:i4>
      </vt:variant>
      <vt:variant>
        <vt:lpwstr/>
      </vt:variant>
      <vt:variant>
        <vt:lpwstr>_Toc356984884</vt:lpwstr>
      </vt:variant>
      <vt:variant>
        <vt:i4>1507381</vt:i4>
      </vt:variant>
      <vt:variant>
        <vt:i4>20</vt:i4>
      </vt:variant>
      <vt:variant>
        <vt:i4>0</vt:i4>
      </vt:variant>
      <vt:variant>
        <vt:i4>5</vt:i4>
      </vt:variant>
      <vt:variant>
        <vt:lpwstr/>
      </vt:variant>
      <vt:variant>
        <vt:lpwstr>_Toc356984883</vt:lpwstr>
      </vt:variant>
      <vt:variant>
        <vt:i4>1507381</vt:i4>
      </vt:variant>
      <vt:variant>
        <vt:i4>14</vt:i4>
      </vt:variant>
      <vt:variant>
        <vt:i4>0</vt:i4>
      </vt:variant>
      <vt:variant>
        <vt:i4>5</vt:i4>
      </vt:variant>
      <vt:variant>
        <vt:lpwstr/>
      </vt:variant>
      <vt:variant>
        <vt:lpwstr>_Toc356984882</vt:lpwstr>
      </vt:variant>
      <vt:variant>
        <vt:i4>1507381</vt:i4>
      </vt:variant>
      <vt:variant>
        <vt:i4>8</vt:i4>
      </vt:variant>
      <vt:variant>
        <vt:i4>0</vt:i4>
      </vt:variant>
      <vt:variant>
        <vt:i4>5</vt:i4>
      </vt:variant>
      <vt:variant>
        <vt:lpwstr/>
      </vt:variant>
      <vt:variant>
        <vt:lpwstr>_Toc356984881</vt:lpwstr>
      </vt:variant>
      <vt:variant>
        <vt:i4>1507381</vt:i4>
      </vt:variant>
      <vt:variant>
        <vt:i4>2</vt:i4>
      </vt:variant>
      <vt:variant>
        <vt:i4>0</vt:i4>
      </vt:variant>
      <vt:variant>
        <vt:i4>5</vt:i4>
      </vt:variant>
      <vt:variant>
        <vt:lpwstr/>
      </vt:variant>
      <vt:variant>
        <vt:lpwstr>_Toc356984880</vt:lpwstr>
      </vt:variant>
      <vt:variant>
        <vt:i4>4456567</vt:i4>
      </vt:variant>
      <vt:variant>
        <vt:i4>3</vt:i4>
      </vt:variant>
      <vt:variant>
        <vt:i4>0</vt:i4>
      </vt:variant>
      <vt:variant>
        <vt:i4>5</vt:i4>
      </vt:variant>
      <vt:variant>
        <vt:lpwstr>\\WAHT\Users\General\hoskinsg\Governance guidance\Healthy NHS Board Principles for Good Governance.pdf</vt:lpwstr>
      </vt:variant>
      <vt:variant>
        <vt:lpwstr/>
      </vt:variant>
      <vt:variant>
        <vt:i4>5046297</vt:i4>
      </vt:variant>
      <vt:variant>
        <vt:i4>0</vt:i4>
      </vt:variant>
      <vt:variant>
        <vt:i4>0</vt:i4>
      </vt:variant>
      <vt:variant>
        <vt:i4>5</vt:i4>
      </vt:variant>
      <vt:variant>
        <vt:lpwstr>\\WAHT\Users\General\hoskinsg\Governance guidance\Governing the NHS A guide for NHS Boards dh_4082637.pdf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dc:title>
  <dc:creator>Peter Osborne</dc:creator>
  <cp:lastModifiedBy>littler</cp:lastModifiedBy>
  <cp:revision>8</cp:revision>
  <cp:lastPrinted>2015-05-26T15:51:00Z</cp:lastPrinted>
  <dcterms:created xsi:type="dcterms:W3CDTF">2015-05-26T14:35:00Z</dcterms:created>
  <dcterms:modified xsi:type="dcterms:W3CDTF">2015-05-26T16:50:00Z</dcterms:modified>
</cp:coreProperties>
</file>