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5168" w:type="dxa"/>
        <w:tblInd w:w="-459" w:type="dxa"/>
        <w:tblLook w:val="04A0"/>
      </w:tblPr>
      <w:tblGrid>
        <w:gridCol w:w="2868"/>
        <w:gridCol w:w="3139"/>
        <w:gridCol w:w="3844"/>
        <w:gridCol w:w="2102"/>
        <w:gridCol w:w="1797"/>
        <w:gridCol w:w="1418"/>
      </w:tblGrid>
      <w:tr w:rsidR="00E367A9" w:rsidRPr="00355AAA" w:rsidTr="0016636B">
        <w:trPr>
          <w:tblHeader/>
        </w:trPr>
        <w:tc>
          <w:tcPr>
            <w:tcW w:w="2868" w:type="dxa"/>
          </w:tcPr>
          <w:p w:rsidR="00E367A9" w:rsidRPr="00292F29" w:rsidRDefault="00E367A9" w:rsidP="00CE7D01">
            <w:pPr>
              <w:rPr>
                <w:rFonts w:cstheme="minorHAnsi"/>
                <w:sz w:val="20"/>
                <w:szCs w:val="20"/>
              </w:rPr>
            </w:pPr>
            <w:r w:rsidRPr="00292F29">
              <w:rPr>
                <w:rFonts w:cstheme="minorHAnsi"/>
                <w:sz w:val="20"/>
                <w:szCs w:val="20"/>
              </w:rPr>
              <w:t>NAME OF TRUST:</w:t>
            </w:r>
          </w:p>
        </w:tc>
        <w:tc>
          <w:tcPr>
            <w:tcW w:w="12300" w:type="dxa"/>
            <w:gridSpan w:val="5"/>
          </w:tcPr>
          <w:p w:rsidR="00E367A9" w:rsidRPr="00473FC0" w:rsidRDefault="004C7666" w:rsidP="00CE7D01">
            <w:pPr>
              <w:rPr>
                <w:rFonts w:cstheme="minorHAnsi"/>
                <w:b/>
              </w:rPr>
            </w:pPr>
            <w:r w:rsidRPr="00473FC0">
              <w:rPr>
                <w:rFonts w:cstheme="minorHAnsi"/>
                <w:b/>
              </w:rPr>
              <w:t>Weston Area NHS Health Trust</w:t>
            </w:r>
          </w:p>
        </w:tc>
      </w:tr>
      <w:tr w:rsidR="005057F0" w:rsidRPr="00355AAA" w:rsidTr="0016636B">
        <w:trPr>
          <w:trHeight w:val="567"/>
          <w:tblHeader/>
        </w:trPr>
        <w:tc>
          <w:tcPr>
            <w:tcW w:w="6007" w:type="dxa"/>
            <w:gridSpan w:val="2"/>
            <w:shd w:val="clear" w:color="auto" w:fill="DBE5F1" w:themeFill="accent1" w:themeFillTint="33"/>
          </w:tcPr>
          <w:p w:rsidR="00E367A9" w:rsidRPr="00292F29" w:rsidRDefault="00E367A9" w:rsidP="00CE7D01">
            <w:pPr>
              <w:rPr>
                <w:rFonts w:cstheme="minorHAnsi"/>
                <w:b/>
                <w:sz w:val="20"/>
                <w:szCs w:val="20"/>
              </w:rPr>
            </w:pPr>
            <w:r w:rsidRPr="00292F29">
              <w:rPr>
                <w:rFonts w:cstheme="minorHAnsi"/>
                <w:b/>
                <w:sz w:val="20"/>
                <w:szCs w:val="20"/>
              </w:rPr>
              <w:t xml:space="preserve">Recommendation </w:t>
            </w:r>
          </w:p>
        </w:tc>
        <w:tc>
          <w:tcPr>
            <w:tcW w:w="3844" w:type="dxa"/>
            <w:shd w:val="clear" w:color="auto" w:fill="DBE5F1" w:themeFill="accent1" w:themeFillTint="33"/>
          </w:tcPr>
          <w:p w:rsidR="00E367A9" w:rsidRPr="00292F29" w:rsidRDefault="00E367A9" w:rsidP="00C43D7C">
            <w:pPr>
              <w:rPr>
                <w:rFonts w:cstheme="minorHAnsi"/>
                <w:b/>
                <w:sz w:val="20"/>
                <w:szCs w:val="20"/>
              </w:rPr>
            </w:pPr>
            <w:r w:rsidRPr="00292F29">
              <w:rPr>
                <w:rFonts w:cstheme="minorHAnsi"/>
                <w:b/>
                <w:sz w:val="20"/>
                <w:szCs w:val="20"/>
              </w:rPr>
              <w:t>Issue identified</w:t>
            </w:r>
            <w:r w:rsidR="000D563F">
              <w:rPr>
                <w:rFonts w:cstheme="minorHAnsi"/>
                <w:b/>
                <w:sz w:val="20"/>
                <w:szCs w:val="20"/>
              </w:rPr>
              <w:t xml:space="preserve"> </w:t>
            </w:r>
            <w:r w:rsidR="000D563F" w:rsidRPr="000D563F">
              <w:rPr>
                <w:rFonts w:cstheme="minorHAnsi"/>
                <w:b/>
                <w:color w:val="FF0000"/>
                <w:sz w:val="20"/>
                <w:szCs w:val="20"/>
              </w:rPr>
              <w:t>(</w:t>
            </w:r>
            <w:r w:rsidR="000D563F">
              <w:rPr>
                <w:rFonts w:cstheme="minorHAnsi"/>
                <w:b/>
                <w:color w:val="FF0000"/>
                <w:sz w:val="20"/>
                <w:szCs w:val="20"/>
              </w:rPr>
              <w:t xml:space="preserve">Trust self </w:t>
            </w:r>
            <w:r w:rsidR="000D563F" w:rsidRPr="000D563F">
              <w:rPr>
                <w:rFonts w:cstheme="minorHAnsi"/>
                <w:b/>
                <w:color w:val="FF0000"/>
                <w:sz w:val="20"/>
                <w:szCs w:val="20"/>
              </w:rPr>
              <w:t>assessment</w:t>
            </w:r>
            <w:r w:rsidR="000D563F">
              <w:rPr>
                <w:rFonts w:cstheme="minorHAnsi"/>
                <w:b/>
                <w:color w:val="FF0000"/>
                <w:sz w:val="20"/>
                <w:szCs w:val="20"/>
              </w:rPr>
              <w:t xml:space="preserve"> – April 2015</w:t>
            </w:r>
            <w:r w:rsidR="000D563F" w:rsidRPr="000D563F">
              <w:rPr>
                <w:rFonts w:cstheme="minorHAnsi"/>
                <w:b/>
                <w:color w:val="FF0000"/>
                <w:sz w:val="20"/>
                <w:szCs w:val="20"/>
              </w:rPr>
              <w:t>)</w:t>
            </w:r>
          </w:p>
        </w:tc>
        <w:tc>
          <w:tcPr>
            <w:tcW w:w="2102" w:type="dxa"/>
            <w:shd w:val="clear" w:color="auto" w:fill="DBE5F1" w:themeFill="accent1" w:themeFillTint="33"/>
          </w:tcPr>
          <w:p w:rsidR="00E367A9" w:rsidRPr="00292F29" w:rsidRDefault="00E367A9" w:rsidP="00CE7D01">
            <w:pPr>
              <w:rPr>
                <w:rFonts w:cstheme="minorHAnsi"/>
                <w:b/>
                <w:sz w:val="20"/>
                <w:szCs w:val="20"/>
              </w:rPr>
            </w:pPr>
            <w:r w:rsidRPr="00292F29">
              <w:rPr>
                <w:rFonts w:cstheme="minorHAnsi"/>
                <w:b/>
                <w:sz w:val="20"/>
                <w:szCs w:val="20"/>
              </w:rPr>
              <w:t xml:space="preserve">Planned Action </w:t>
            </w:r>
          </w:p>
        </w:tc>
        <w:tc>
          <w:tcPr>
            <w:tcW w:w="1797" w:type="dxa"/>
            <w:shd w:val="clear" w:color="auto" w:fill="DBE5F1" w:themeFill="accent1" w:themeFillTint="33"/>
          </w:tcPr>
          <w:p w:rsidR="00E367A9" w:rsidRDefault="00C43D7C" w:rsidP="00C43D7C">
            <w:pPr>
              <w:rPr>
                <w:rFonts w:cstheme="minorHAnsi"/>
                <w:b/>
                <w:sz w:val="20"/>
                <w:szCs w:val="20"/>
              </w:rPr>
            </w:pPr>
            <w:r>
              <w:rPr>
                <w:rFonts w:cstheme="minorHAnsi"/>
                <w:b/>
                <w:sz w:val="20"/>
                <w:szCs w:val="20"/>
              </w:rPr>
              <w:t>Trust Lead update</w:t>
            </w:r>
          </w:p>
          <w:p w:rsidR="000D563F" w:rsidRPr="000D563F" w:rsidRDefault="00544FB3" w:rsidP="00C43D7C">
            <w:pPr>
              <w:rPr>
                <w:rFonts w:cstheme="minorHAnsi"/>
                <w:b/>
                <w:color w:val="FF0000"/>
                <w:sz w:val="20"/>
                <w:szCs w:val="20"/>
              </w:rPr>
            </w:pPr>
            <w:r>
              <w:rPr>
                <w:rFonts w:cstheme="minorHAnsi"/>
                <w:b/>
                <w:color w:val="FF0000"/>
                <w:sz w:val="20"/>
                <w:szCs w:val="20"/>
              </w:rPr>
              <w:t>Novem</w:t>
            </w:r>
            <w:r w:rsidR="000D563F" w:rsidRPr="000D563F">
              <w:rPr>
                <w:rFonts w:cstheme="minorHAnsi"/>
                <w:b/>
                <w:color w:val="FF0000"/>
                <w:sz w:val="20"/>
                <w:szCs w:val="20"/>
              </w:rPr>
              <w:t>ber 2015</w:t>
            </w:r>
          </w:p>
        </w:tc>
        <w:tc>
          <w:tcPr>
            <w:tcW w:w="1418" w:type="dxa"/>
            <w:shd w:val="clear" w:color="auto" w:fill="DBE5F1" w:themeFill="accent1" w:themeFillTint="33"/>
          </w:tcPr>
          <w:p w:rsidR="00E367A9" w:rsidRPr="00292F29" w:rsidRDefault="00E367A9" w:rsidP="00CE7D01">
            <w:pPr>
              <w:rPr>
                <w:rFonts w:cstheme="minorHAnsi"/>
                <w:b/>
                <w:sz w:val="20"/>
                <w:szCs w:val="20"/>
              </w:rPr>
            </w:pPr>
            <w:r w:rsidRPr="00292F29">
              <w:rPr>
                <w:rFonts w:cstheme="minorHAnsi"/>
                <w:b/>
                <w:sz w:val="20"/>
                <w:szCs w:val="20"/>
              </w:rPr>
              <w:t>Due for completion</w:t>
            </w:r>
          </w:p>
        </w:tc>
      </w:tr>
      <w:tr w:rsidR="005057F0" w:rsidRPr="00355AAA" w:rsidTr="00C43D7C">
        <w:trPr>
          <w:trHeight w:val="567"/>
        </w:trPr>
        <w:tc>
          <w:tcPr>
            <w:tcW w:w="6007" w:type="dxa"/>
            <w:gridSpan w:val="2"/>
          </w:tcPr>
          <w:p w:rsidR="00E367A9" w:rsidRPr="00EE2FBF" w:rsidRDefault="00E367A9" w:rsidP="00E367A9">
            <w:pPr>
              <w:pStyle w:val="ListParagraph"/>
              <w:numPr>
                <w:ilvl w:val="0"/>
                <w:numId w:val="3"/>
              </w:numPr>
              <w:spacing w:after="0" w:line="240" w:lineRule="auto"/>
              <w:ind w:left="318" w:hanging="142"/>
              <w:rPr>
                <w:rFonts w:cstheme="minorHAnsi"/>
                <w:sz w:val="20"/>
                <w:szCs w:val="20"/>
              </w:rPr>
            </w:pPr>
            <w:r w:rsidRPr="00EE2FBF">
              <w:rPr>
                <w:rFonts w:cstheme="minorHAnsi"/>
                <w:sz w:val="20"/>
                <w:szCs w:val="20"/>
              </w:rPr>
              <w:t xml:space="preserve">All NHS hospital trusts should develop a policy for agreeing to and managing visits by celebrities, VIPs and other official visitors. </w:t>
            </w:r>
          </w:p>
          <w:p w:rsidR="00E367A9" w:rsidRPr="00292F29" w:rsidRDefault="00E367A9" w:rsidP="00CE7D01">
            <w:pPr>
              <w:ind w:left="318" w:hanging="142"/>
              <w:rPr>
                <w:rFonts w:cstheme="minorHAnsi"/>
                <w:sz w:val="20"/>
                <w:szCs w:val="20"/>
              </w:rPr>
            </w:pPr>
          </w:p>
        </w:tc>
        <w:tc>
          <w:tcPr>
            <w:tcW w:w="3844" w:type="dxa"/>
          </w:tcPr>
          <w:p w:rsidR="00E367A9" w:rsidRPr="00292F29" w:rsidRDefault="00874B08" w:rsidP="00CE7D01">
            <w:pPr>
              <w:rPr>
                <w:rFonts w:cstheme="minorHAnsi"/>
                <w:sz w:val="20"/>
                <w:szCs w:val="20"/>
              </w:rPr>
            </w:pPr>
            <w:r>
              <w:rPr>
                <w:rFonts w:cstheme="minorHAnsi"/>
                <w:b/>
                <w:sz w:val="20"/>
                <w:szCs w:val="20"/>
              </w:rPr>
              <w:t>Not in place</w:t>
            </w:r>
            <w:r w:rsidR="00B978A1" w:rsidRPr="00B978A1">
              <w:rPr>
                <w:rFonts w:cstheme="minorHAnsi"/>
                <w:b/>
                <w:sz w:val="20"/>
                <w:szCs w:val="20"/>
              </w:rPr>
              <w:t>.</w:t>
            </w:r>
            <w:r w:rsidR="00B978A1">
              <w:rPr>
                <w:rFonts w:cstheme="minorHAnsi"/>
                <w:sz w:val="20"/>
                <w:szCs w:val="20"/>
              </w:rPr>
              <w:t xml:space="preserve"> </w:t>
            </w:r>
            <w:r w:rsidR="001337D6">
              <w:rPr>
                <w:rFonts w:cstheme="minorHAnsi"/>
                <w:sz w:val="20"/>
                <w:szCs w:val="20"/>
              </w:rPr>
              <w:t xml:space="preserve">Currently no such policy </w:t>
            </w:r>
            <w:r w:rsidR="005D61A8">
              <w:rPr>
                <w:rFonts w:cstheme="minorHAnsi"/>
                <w:sz w:val="20"/>
                <w:szCs w:val="20"/>
              </w:rPr>
              <w:t xml:space="preserve">is </w:t>
            </w:r>
            <w:r w:rsidR="001337D6">
              <w:rPr>
                <w:rFonts w:cstheme="minorHAnsi"/>
                <w:sz w:val="20"/>
                <w:szCs w:val="20"/>
              </w:rPr>
              <w:t>in place at the Trust.</w:t>
            </w:r>
          </w:p>
        </w:tc>
        <w:tc>
          <w:tcPr>
            <w:tcW w:w="2102" w:type="dxa"/>
          </w:tcPr>
          <w:p w:rsidR="00E367A9" w:rsidRPr="00897CC0" w:rsidRDefault="000B4BC7" w:rsidP="000B4BC7">
            <w:pPr>
              <w:rPr>
                <w:rFonts w:cstheme="minorHAnsi"/>
                <w:sz w:val="20"/>
                <w:szCs w:val="20"/>
              </w:rPr>
            </w:pPr>
            <w:r w:rsidRPr="00897CC0">
              <w:rPr>
                <w:rFonts w:cstheme="minorHAnsi"/>
                <w:sz w:val="20"/>
                <w:szCs w:val="20"/>
              </w:rPr>
              <w:t xml:space="preserve">Development of a </w:t>
            </w:r>
            <w:r w:rsidR="001337D6" w:rsidRPr="00897CC0">
              <w:rPr>
                <w:rFonts w:cstheme="minorHAnsi"/>
                <w:sz w:val="20"/>
                <w:szCs w:val="20"/>
              </w:rPr>
              <w:t xml:space="preserve">Policy </w:t>
            </w:r>
            <w:r w:rsidR="00B978A1" w:rsidRPr="00897CC0">
              <w:rPr>
                <w:rFonts w:cstheme="minorHAnsi"/>
                <w:sz w:val="20"/>
                <w:szCs w:val="20"/>
              </w:rPr>
              <w:t xml:space="preserve">for the management of visits by celebrities and VIPs </w:t>
            </w:r>
          </w:p>
        </w:tc>
        <w:tc>
          <w:tcPr>
            <w:tcW w:w="1797" w:type="dxa"/>
          </w:tcPr>
          <w:p w:rsidR="00E367A9" w:rsidRPr="00292F29" w:rsidRDefault="000B4BC7" w:rsidP="00C43D7C">
            <w:pPr>
              <w:rPr>
                <w:rFonts w:cstheme="minorHAnsi"/>
                <w:sz w:val="20"/>
                <w:szCs w:val="20"/>
              </w:rPr>
            </w:pPr>
            <w:r w:rsidRPr="00C43D7C">
              <w:rPr>
                <w:rFonts w:cstheme="minorHAnsi"/>
                <w:b/>
                <w:sz w:val="20"/>
                <w:szCs w:val="20"/>
              </w:rPr>
              <w:t xml:space="preserve">Head of Communications. </w:t>
            </w:r>
            <w:r w:rsidR="00544FB3">
              <w:rPr>
                <w:rFonts w:cstheme="minorHAnsi"/>
                <w:sz w:val="20"/>
                <w:szCs w:val="20"/>
              </w:rPr>
              <w:t>Approved</w:t>
            </w:r>
            <w:r w:rsidR="00B24EC5">
              <w:rPr>
                <w:rFonts w:cstheme="minorHAnsi"/>
                <w:sz w:val="20"/>
                <w:szCs w:val="20"/>
              </w:rPr>
              <w:t xml:space="preserve"> by</w:t>
            </w:r>
            <w:r>
              <w:rPr>
                <w:rFonts w:cstheme="minorHAnsi"/>
                <w:sz w:val="20"/>
                <w:szCs w:val="20"/>
              </w:rPr>
              <w:t xml:space="preserve"> Safeguarding Committee</w:t>
            </w:r>
            <w:r w:rsidR="00544FB3">
              <w:rPr>
                <w:rFonts w:cstheme="minorHAnsi"/>
                <w:sz w:val="20"/>
                <w:szCs w:val="20"/>
              </w:rPr>
              <w:t xml:space="preserve"> Chair November 2015</w:t>
            </w:r>
          </w:p>
        </w:tc>
        <w:tc>
          <w:tcPr>
            <w:tcW w:w="1418" w:type="dxa"/>
          </w:tcPr>
          <w:p w:rsidR="00E367A9" w:rsidRPr="00BA0323" w:rsidRDefault="00544FB3" w:rsidP="00CE7D01">
            <w:pPr>
              <w:rPr>
                <w:rFonts w:cstheme="minorHAnsi"/>
                <w:sz w:val="20"/>
                <w:szCs w:val="20"/>
                <w:highlight w:val="yellow"/>
              </w:rPr>
            </w:pPr>
            <w:r w:rsidRPr="00544FB3">
              <w:rPr>
                <w:rFonts w:cstheme="minorHAnsi"/>
                <w:sz w:val="20"/>
                <w:szCs w:val="20"/>
              </w:rPr>
              <w:t>Completed</w:t>
            </w:r>
          </w:p>
        </w:tc>
      </w:tr>
      <w:tr w:rsidR="005057F0" w:rsidRPr="00355AAA" w:rsidTr="00C43D7C">
        <w:trPr>
          <w:trHeight w:val="567"/>
        </w:trPr>
        <w:tc>
          <w:tcPr>
            <w:tcW w:w="6007" w:type="dxa"/>
            <w:gridSpan w:val="2"/>
          </w:tcPr>
          <w:p w:rsidR="00E367A9" w:rsidRPr="00EE2FBF" w:rsidRDefault="00E367A9" w:rsidP="00E367A9">
            <w:pPr>
              <w:pStyle w:val="ListParagraph"/>
              <w:numPr>
                <w:ilvl w:val="0"/>
                <w:numId w:val="3"/>
              </w:numPr>
              <w:spacing w:after="0" w:line="240" w:lineRule="auto"/>
              <w:ind w:left="318" w:hanging="142"/>
              <w:rPr>
                <w:rFonts w:eastAsia="Calibri" w:cstheme="minorHAnsi"/>
                <w:sz w:val="20"/>
                <w:szCs w:val="20"/>
              </w:rPr>
            </w:pPr>
            <w:r w:rsidRPr="00EE2FBF">
              <w:rPr>
                <w:rFonts w:eastAsia="Calibri" w:cstheme="minorHAnsi"/>
                <w:sz w:val="20"/>
                <w:szCs w:val="20"/>
              </w:rPr>
              <w:t>All NHS trusts should review their voluntary services arrangements and ensure that:</w:t>
            </w:r>
          </w:p>
          <w:p w:rsidR="00E367A9" w:rsidRPr="00C82D7C" w:rsidRDefault="00E367A9" w:rsidP="00E367A9">
            <w:pPr>
              <w:numPr>
                <w:ilvl w:val="0"/>
                <w:numId w:val="1"/>
              </w:numPr>
              <w:ind w:left="318" w:hanging="142"/>
              <w:rPr>
                <w:rFonts w:eastAsia="Calibri" w:cstheme="minorHAnsi"/>
                <w:sz w:val="20"/>
                <w:szCs w:val="20"/>
              </w:rPr>
            </w:pPr>
            <w:r w:rsidRPr="00C82D7C">
              <w:rPr>
                <w:rFonts w:eastAsia="Calibri" w:cstheme="minorHAnsi"/>
                <w:sz w:val="20"/>
                <w:szCs w:val="20"/>
              </w:rPr>
              <w:t>They are fit for purpose;</w:t>
            </w:r>
          </w:p>
          <w:p w:rsidR="00E367A9" w:rsidRPr="00C82D7C" w:rsidRDefault="00E367A9" w:rsidP="00E367A9">
            <w:pPr>
              <w:numPr>
                <w:ilvl w:val="0"/>
                <w:numId w:val="1"/>
              </w:numPr>
              <w:ind w:left="318" w:hanging="142"/>
              <w:rPr>
                <w:rFonts w:eastAsia="Calibri" w:cstheme="minorHAnsi"/>
                <w:sz w:val="20"/>
                <w:szCs w:val="20"/>
              </w:rPr>
            </w:pPr>
            <w:r w:rsidRPr="00C82D7C">
              <w:rPr>
                <w:rFonts w:eastAsia="Calibri" w:cstheme="minorHAnsi"/>
                <w:sz w:val="20"/>
                <w:szCs w:val="20"/>
              </w:rPr>
              <w:t xml:space="preserve">Volunteers are properly recruited, selected and trained and are subject to appropriate management and supervision; and, </w:t>
            </w:r>
          </w:p>
          <w:p w:rsidR="00E367A9" w:rsidRPr="00292F29" w:rsidRDefault="00E367A9" w:rsidP="00E367A9">
            <w:pPr>
              <w:numPr>
                <w:ilvl w:val="0"/>
                <w:numId w:val="1"/>
              </w:numPr>
              <w:ind w:left="318" w:hanging="142"/>
              <w:rPr>
                <w:rFonts w:eastAsia="Calibri" w:cstheme="minorHAnsi"/>
                <w:sz w:val="20"/>
                <w:szCs w:val="20"/>
              </w:rPr>
            </w:pPr>
            <w:r w:rsidRPr="00C82D7C">
              <w:rPr>
                <w:rFonts w:eastAsia="Calibri" w:cstheme="minorHAnsi"/>
                <w:sz w:val="20"/>
                <w:szCs w:val="20"/>
              </w:rPr>
              <w:t>All voluntary services managers have development opportunities and are properly supported.</w:t>
            </w:r>
            <w:r>
              <w:rPr>
                <w:rFonts w:eastAsia="Calibri" w:cstheme="minorHAnsi"/>
                <w:sz w:val="20"/>
                <w:szCs w:val="20"/>
              </w:rPr>
              <w:t xml:space="preserve"> </w:t>
            </w:r>
          </w:p>
        </w:tc>
        <w:tc>
          <w:tcPr>
            <w:tcW w:w="3844" w:type="dxa"/>
          </w:tcPr>
          <w:p w:rsidR="000E41A1" w:rsidRDefault="00874B08" w:rsidP="000E41A1">
            <w:pPr>
              <w:rPr>
                <w:rFonts w:cstheme="minorHAnsi"/>
                <w:sz w:val="20"/>
                <w:szCs w:val="20"/>
              </w:rPr>
            </w:pPr>
            <w:r>
              <w:rPr>
                <w:rFonts w:cstheme="minorHAnsi"/>
                <w:b/>
                <w:sz w:val="20"/>
                <w:szCs w:val="20"/>
              </w:rPr>
              <w:t>In place</w:t>
            </w:r>
            <w:r w:rsidR="00B978A1" w:rsidRPr="00B978A1">
              <w:rPr>
                <w:rFonts w:cstheme="minorHAnsi"/>
                <w:b/>
                <w:sz w:val="20"/>
                <w:szCs w:val="20"/>
              </w:rPr>
              <w:t>.</w:t>
            </w:r>
            <w:r w:rsidR="00B978A1">
              <w:rPr>
                <w:rFonts w:cstheme="minorHAnsi"/>
                <w:sz w:val="20"/>
                <w:szCs w:val="20"/>
              </w:rPr>
              <w:t xml:space="preserve"> </w:t>
            </w:r>
            <w:r w:rsidR="004C7666">
              <w:rPr>
                <w:rFonts w:cstheme="minorHAnsi"/>
                <w:sz w:val="20"/>
                <w:szCs w:val="20"/>
              </w:rPr>
              <w:t xml:space="preserve">Voluntary Services Manager and Executive </w:t>
            </w:r>
            <w:r w:rsidR="004F45D8">
              <w:rPr>
                <w:rFonts w:cstheme="minorHAnsi"/>
                <w:sz w:val="20"/>
                <w:szCs w:val="20"/>
              </w:rPr>
              <w:t>L</w:t>
            </w:r>
            <w:r w:rsidR="000E41A1">
              <w:rPr>
                <w:rFonts w:cstheme="minorHAnsi"/>
                <w:sz w:val="20"/>
                <w:szCs w:val="20"/>
              </w:rPr>
              <w:t>ead confirm that for</w:t>
            </w:r>
            <w:r w:rsidR="004C7666">
              <w:rPr>
                <w:rFonts w:cstheme="minorHAnsi"/>
                <w:sz w:val="20"/>
                <w:szCs w:val="20"/>
              </w:rPr>
              <w:t xml:space="preserve"> two references are required </w:t>
            </w:r>
            <w:r w:rsidR="000E41A1">
              <w:rPr>
                <w:rFonts w:cstheme="minorHAnsi"/>
                <w:sz w:val="20"/>
                <w:szCs w:val="20"/>
              </w:rPr>
              <w:t xml:space="preserve">following interview, attendance at staff induction is required, DBS checking occurs at appointment &amp; VSM is in regular contact </w:t>
            </w:r>
            <w:r w:rsidR="004F45D8">
              <w:rPr>
                <w:rFonts w:cstheme="minorHAnsi"/>
                <w:sz w:val="20"/>
                <w:szCs w:val="20"/>
              </w:rPr>
              <w:t xml:space="preserve">personally </w:t>
            </w:r>
            <w:r>
              <w:rPr>
                <w:rFonts w:cstheme="minorHAnsi"/>
                <w:sz w:val="20"/>
                <w:szCs w:val="20"/>
              </w:rPr>
              <w:t xml:space="preserve">with volunteers </w:t>
            </w:r>
            <w:r w:rsidR="004F45D8">
              <w:rPr>
                <w:rFonts w:cstheme="minorHAnsi"/>
                <w:sz w:val="20"/>
                <w:szCs w:val="20"/>
              </w:rPr>
              <w:t>&amp; via newsletter</w:t>
            </w:r>
            <w:r w:rsidR="00C82D7C">
              <w:rPr>
                <w:rFonts w:cstheme="minorHAnsi"/>
                <w:sz w:val="20"/>
                <w:szCs w:val="20"/>
              </w:rPr>
              <w:t>.</w:t>
            </w:r>
          </w:p>
          <w:p w:rsidR="00C82D7C" w:rsidRPr="00292F29" w:rsidRDefault="00C82D7C" w:rsidP="000E41A1">
            <w:pPr>
              <w:rPr>
                <w:rFonts w:cstheme="minorHAnsi"/>
                <w:sz w:val="20"/>
                <w:szCs w:val="20"/>
              </w:rPr>
            </w:pPr>
            <w:r>
              <w:rPr>
                <w:rFonts w:cstheme="minorHAnsi"/>
                <w:sz w:val="20"/>
                <w:szCs w:val="20"/>
              </w:rPr>
              <w:t>VSM has regular one to one meetings with next of line manager and annual appraisal.</w:t>
            </w:r>
          </w:p>
        </w:tc>
        <w:tc>
          <w:tcPr>
            <w:tcW w:w="2102" w:type="dxa"/>
          </w:tcPr>
          <w:p w:rsidR="00E367A9" w:rsidRPr="00292F29" w:rsidRDefault="004C7666" w:rsidP="00CE7D01">
            <w:pPr>
              <w:rPr>
                <w:rFonts w:cstheme="minorHAnsi"/>
                <w:sz w:val="20"/>
                <w:szCs w:val="20"/>
              </w:rPr>
            </w:pPr>
            <w:r>
              <w:rPr>
                <w:rFonts w:cstheme="minorHAnsi"/>
                <w:sz w:val="20"/>
                <w:szCs w:val="20"/>
              </w:rPr>
              <w:t>Nil</w:t>
            </w:r>
          </w:p>
        </w:tc>
        <w:tc>
          <w:tcPr>
            <w:tcW w:w="1797" w:type="dxa"/>
          </w:tcPr>
          <w:p w:rsidR="00E367A9" w:rsidRPr="00292F29" w:rsidRDefault="004C7666" w:rsidP="00CE7D01">
            <w:pPr>
              <w:rPr>
                <w:rFonts w:cstheme="minorHAnsi"/>
                <w:sz w:val="20"/>
                <w:szCs w:val="20"/>
              </w:rPr>
            </w:pPr>
            <w:r>
              <w:rPr>
                <w:rFonts w:cstheme="minorHAnsi"/>
                <w:sz w:val="20"/>
                <w:szCs w:val="20"/>
              </w:rPr>
              <w:t>NA</w:t>
            </w:r>
          </w:p>
        </w:tc>
        <w:tc>
          <w:tcPr>
            <w:tcW w:w="1418" w:type="dxa"/>
          </w:tcPr>
          <w:p w:rsidR="00E367A9" w:rsidRPr="00292F29" w:rsidRDefault="004C7666" w:rsidP="00CE7D01">
            <w:pPr>
              <w:rPr>
                <w:rFonts w:cstheme="minorHAnsi"/>
                <w:sz w:val="20"/>
                <w:szCs w:val="20"/>
              </w:rPr>
            </w:pPr>
            <w:r>
              <w:rPr>
                <w:rFonts w:cstheme="minorHAnsi"/>
                <w:sz w:val="20"/>
                <w:szCs w:val="20"/>
              </w:rPr>
              <w:t>NA</w:t>
            </w:r>
          </w:p>
        </w:tc>
      </w:tr>
      <w:tr w:rsidR="005057F0" w:rsidRPr="00355AAA" w:rsidTr="00C43D7C">
        <w:trPr>
          <w:trHeight w:val="567"/>
        </w:trPr>
        <w:tc>
          <w:tcPr>
            <w:tcW w:w="6007" w:type="dxa"/>
            <w:gridSpan w:val="2"/>
          </w:tcPr>
          <w:p w:rsidR="00E367A9" w:rsidRPr="00EE2FBF" w:rsidRDefault="00E367A9" w:rsidP="00E367A9">
            <w:pPr>
              <w:pStyle w:val="ListParagraph"/>
              <w:numPr>
                <w:ilvl w:val="0"/>
                <w:numId w:val="3"/>
              </w:numPr>
              <w:ind w:left="318" w:hanging="142"/>
              <w:rPr>
                <w:rFonts w:eastAsia="Calibri" w:cstheme="minorHAnsi"/>
                <w:sz w:val="20"/>
                <w:szCs w:val="20"/>
              </w:rPr>
            </w:pPr>
            <w:r w:rsidRPr="00DF4698">
              <w:rPr>
                <w:rFonts w:eastAsia="Calibri" w:cstheme="minorHAnsi"/>
                <w:sz w:val="20"/>
                <w:szCs w:val="20"/>
              </w:rPr>
              <w:t>All NHS hospital staff and volunteers should be required to undergo formal refresher training in safeguarding at the appropriate level at least every three years.</w:t>
            </w:r>
          </w:p>
        </w:tc>
        <w:tc>
          <w:tcPr>
            <w:tcW w:w="3844" w:type="dxa"/>
          </w:tcPr>
          <w:p w:rsidR="00E367A9" w:rsidRDefault="003E7270" w:rsidP="00CE7D01">
            <w:pPr>
              <w:rPr>
                <w:rFonts w:cstheme="minorHAnsi"/>
                <w:sz w:val="20"/>
                <w:szCs w:val="20"/>
              </w:rPr>
            </w:pPr>
            <w:r>
              <w:rPr>
                <w:rFonts w:cstheme="minorHAnsi"/>
                <w:b/>
                <w:sz w:val="20"/>
                <w:szCs w:val="20"/>
              </w:rPr>
              <w:t>Partly in place</w:t>
            </w:r>
            <w:r w:rsidR="00B978A1" w:rsidRPr="00B978A1">
              <w:rPr>
                <w:rFonts w:cstheme="minorHAnsi"/>
                <w:b/>
                <w:sz w:val="20"/>
                <w:szCs w:val="20"/>
              </w:rPr>
              <w:t>.</w:t>
            </w:r>
            <w:r w:rsidR="00B978A1">
              <w:rPr>
                <w:rFonts w:cstheme="minorHAnsi"/>
                <w:sz w:val="20"/>
                <w:szCs w:val="20"/>
              </w:rPr>
              <w:t xml:space="preserve"> </w:t>
            </w:r>
            <w:r w:rsidR="009F237A">
              <w:rPr>
                <w:rFonts w:cstheme="minorHAnsi"/>
                <w:sz w:val="20"/>
                <w:szCs w:val="20"/>
              </w:rPr>
              <w:t>Staff,</w:t>
            </w:r>
            <w:r w:rsidR="000F2220">
              <w:rPr>
                <w:rFonts w:cstheme="minorHAnsi"/>
                <w:sz w:val="20"/>
                <w:szCs w:val="20"/>
              </w:rPr>
              <w:t xml:space="preserve"> child safeguarding - l</w:t>
            </w:r>
            <w:r w:rsidR="009F295D">
              <w:rPr>
                <w:rFonts w:cstheme="minorHAnsi"/>
                <w:sz w:val="20"/>
                <w:szCs w:val="20"/>
              </w:rPr>
              <w:t xml:space="preserve">evel 3 </w:t>
            </w:r>
            <w:proofErr w:type="gramStart"/>
            <w:r w:rsidR="000F2220">
              <w:rPr>
                <w:rFonts w:cstheme="minorHAnsi"/>
                <w:sz w:val="20"/>
                <w:szCs w:val="20"/>
              </w:rPr>
              <w:t>attendance</w:t>
            </w:r>
            <w:proofErr w:type="gramEnd"/>
            <w:r w:rsidR="000F2220">
              <w:rPr>
                <w:rFonts w:cstheme="minorHAnsi"/>
                <w:sz w:val="20"/>
                <w:szCs w:val="20"/>
              </w:rPr>
              <w:t xml:space="preserve"> </w:t>
            </w:r>
            <w:r w:rsidR="00B978A1">
              <w:rPr>
                <w:rFonts w:cstheme="minorHAnsi"/>
                <w:sz w:val="20"/>
                <w:szCs w:val="20"/>
              </w:rPr>
              <w:t xml:space="preserve">is </w:t>
            </w:r>
            <w:r w:rsidR="00B24EC5">
              <w:rPr>
                <w:rFonts w:cstheme="minorHAnsi"/>
                <w:sz w:val="20"/>
                <w:szCs w:val="20"/>
              </w:rPr>
              <w:t>60</w:t>
            </w:r>
            <w:r w:rsidR="009F295D">
              <w:rPr>
                <w:rFonts w:cstheme="minorHAnsi"/>
                <w:sz w:val="20"/>
                <w:szCs w:val="20"/>
              </w:rPr>
              <w:t>%</w:t>
            </w:r>
            <w:r w:rsidR="000D563F">
              <w:rPr>
                <w:rFonts w:cstheme="minorHAnsi"/>
                <w:sz w:val="20"/>
                <w:szCs w:val="20"/>
              </w:rPr>
              <w:t>.</w:t>
            </w:r>
            <w:r w:rsidR="009F237A">
              <w:rPr>
                <w:rFonts w:cstheme="minorHAnsi"/>
                <w:sz w:val="20"/>
                <w:szCs w:val="20"/>
              </w:rPr>
              <w:t xml:space="preserve"> (April 2015)</w:t>
            </w:r>
          </w:p>
          <w:p w:rsidR="00013879" w:rsidRPr="00292F29" w:rsidRDefault="00B978A1" w:rsidP="00CE7D01">
            <w:pPr>
              <w:rPr>
                <w:rFonts w:cstheme="minorHAnsi"/>
                <w:sz w:val="20"/>
                <w:szCs w:val="20"/>
              </w:rPr>
            </w:pPr>
            <w:r>
              <w:rPr>
                <w:rFonts w:cstheme="minorHAnsi"/>
                <w:sz w:val="20"/>
                <w:szCs w:val="20"/>
              </w:rPr>
              <w:t>Volunteer’s</w:t>
            </w:r>
            <w:r w:rsidR="00013879">
              <w:rPr>
                <w:rFonts w:cstheme="minorHAnsi"/>
                <w:sz w:val="20"/>
                <w:szCs w:val="20"/>
              </w:rPr>
              <w:t xml:space="preserve"> refresher training occurs every two years</w:t>
            </w:r>
            <w:r w:rsidR="009F237A">
              <w:rPr>
                <w:rFonts w:cstheme="minorHAnsi"/>
                <w:sz w:val="20"/>
                <w:szCs w:val="20"/>
              </w:rPr>
              <w:t>.</w:t>
            </w:r>
          </w:p>
        </w:tc>
        <w:tc>
          <w:tcPr>
            <w:tcW w:w="2102" w:type="dxa"/>
          </w:tcPr>
          <w:p w:rsidR="00E367A9" w:rsidRDefault="00714689" w:rsidP="00CE7D01">
            <w:pPr>
              <w:rPr>
                <w:rFonts w:cstheme="minorHAnsi"/>
                <w:sz w:val="20"/>
                <w:szCs w:val="20"/>
              </w:rPr>
            </w:pPr>
            <w:r>
              <w:rPr>
                <w:rFonts w:cstheme="minorHAnsi"/>
                <w:sz w:val="20"/>
                <w:szCs w:val="20"/>
              </w:rPr>
              <w:t xml:space="preserve">In house training </w:t>
            </w:r>
            <w:r w:rsidR="00B24EC5">
              <w:rPr>
                <w:rFonts w:cstheme="minorHAnsi"/>
                <w:sz w:val="20"/>
                <w:szCs w:val="20"/>
              </w:rPr>
              <w:t xml:space="preserve">for staff planned </w:t>
            </w:r>
            <w:r w:rsidR="00013879">
              <w:rPr>
                <w:rFonts w:cstheme="minorHAnsi"/>
                <w:sz w:val="20"/>
                <w:szCs w:val="20"/>
              </w:rPr>
              <w:t>for child</w:t>
            </w:r>
            <w:r>
              <w:rPr>
                <w:rFonts w:cstheme="minorHAnsi"/>
                <w:sz w:val="20"/>
                <w:szCs w:val="20"/>
              </w:rPr>
              <w:t xml:space="preserve"> safeguarding level 3</w:t>
            </w:r>
            <w:r w:rsidR="008B78BF">
              <w:rPr>
                <w:rFonts w:cstheme="minorHAnsi"/>
                <w:sz w:val="20"/>
                <w:szCs w:val="20"/>
              </w:rPr>
              <w:t xml:space="preserve"> and will be reviewed by monthly monitoring.</w:t>
            </w:r>
          </w:p>
          <w:p w:rsidR="006F04EF" w:rsidRPr="00292F29" w:rsidRDefault="003E7270" w:rsidP="00B24EC5">
            <w:pPr>
              <w:rPr>
                <w:rFonts w:cstheme="minorHAnsi"/>
                <w:sz w:val="20"/>
                <w:szCs w:val="20"/>
              </w:rPr>
            </w:pPr>
            <w:r>
              <w:rPr>
                <w:rFonts w:cstheme="minorHAnsi"/>
                <w:sz w:val="20"/>
                <w:szCs w:val="20"/>
              </w:rPr>
              <w:t xml:space="preserve">Volunteer attendance rates at refresher training </w:t>
            </w:r>
            <w:r w:rsidR="008B78BF">
              <w:rPr>
                <w:rFonts w:cstheme="minorHAnsi"/>
                <w:sz w:val="20"/>
                <w:szCs w:val="20"/>
              </w:rPr>
              <w:t xml:space="preserve">monitored and </w:t>
            </w:r>
            <w:r>
              <w:rPr>
                <w:rFonts w:cstheme="minorHAnsi"/>
                <w:sz w:val="20"/>
                <w:szCs w:val="20"/>
              </w:rPr>
              <w:t xml:space="preserve">to be included in </w:t>
            </w:r>
            <w:r w:rsidR="008B78BF">
              <w:rPr>
                <w:rFonts w:cstheme="minorHAnsi"/>
                <w:sz w:val="20"/>
                <w:szCs w:val="20"/>
              </w:rPr>
              <w:lastRenderedPageBreak/>
              <w:t>Quality &amp; Governance Committee reporting</w:t>
            </w:r>
            <w:r>
              <w:rPr>
                <w:rFonts w:cstheme="minorHAnsi"/>
                <w:sz w:val="20"/>
                <w:szCs w:val="20"/>
              </w:rPr>
              <w:t>.</w:t>
            </w:r>
          </w:p>
        </w:tc>
        <w:tc>
          <w:tcPr>
            <w:tcW w:w="1797" w:type="dxa"/>
          </w:tcPr>
          <w:p w:rsidR="00B24EC5" w:rsidRDefault="00E45852" w:rsidP="00B24EC5">
            <w:pPr>
              <w:rPr>
                <w:rFonts w:cstheme="minorHAnsi"/>
                <w:sz w:val="20"/>
                <w:szCs w:val="20"/>
              </w:rPr>
            </w:pPr>
            <w:r w:rsidRPr="00E45852">
              <w:rPr>
                <w:rFonts w:cstheme="minorHAnsi"/>
                <w:b/>
                <w:sz w:val="20"/>
                <w:szCs w:val="20"/>
              </w:rPr>
              <w:lastRenderedPageBreak/>
              <w:t>Child Safeguarding Lead.</w:t>
            </w:r>
            <w:r>
              <w:rPr>
                <w:rFonts w:cstheme="minorHAnsi"/>
                <w:sz w:val="20"/>
                <w:szCs w:val="20"/>
              </w:rPr>
              <w:t xml:space="preserve"> </w:t>
            </w:r>
            <w:r w:rsidR="00B24EC5">
              <w:rPr>
                <w:rFonts w:cstheme="minorHAnsi"/>
                <w:sz w:val="20"/>
                <w:szCs w:val="20"/>
              </w:rPr>
              <w:t>In house training for staff in place since May 2015.</w:t>
            </w:r>
            <w:r w:rsidR="009F237A">
              <w:rPr>
                <w:rFonts w:cstheme="minorHAnsi"/>
                <w:sz w:val="20"/>
                <w:szCs w:val="20"/>
              </w:rPr>
              <w:t xml:space="preserve"> Attendance improved to 79% (Octo</w:t>
            </w:r>
            <w:r w:rsidR="000D563F">
              <w:rPr>
                <w:rFonts w:cstheme="minorHAnsi"/>
                <w:sz w:val="20"/>
                <w:szCs w:val="20"/>
              </w:rPr>
              <w:t>ber 2015)</w:t>
            </w:r>
            <w:r w:rsidR="00552147">
              <w:rPr>
                <w:rFonts w:cstheme="minorHAnsi"/>
                <w:sz w:val="20"/>
                <w:szCs w:val="20"/>
              </w:rPr>
              <w:t>. Ongoing work with medics in ED</w:t>
            </w:r>
          </w:p>
          <w:p w:rsidR="00E367A9" w:rsidRPr="00292F29" w:rsidRDefault="00E45852" w:rsidP="00E45852">
            <w:pPr>
              <w:rPr>
                <w:rFonts w:cstheme="minorHAnsi"/>
                <w:sz w:val="20"/>
                <w:szCs w:val="20"/>
              </w:rPr>
            </w:pPr>
            <w:r w:rsidRPr="00E45852">
              <w:rPr>
                <w:rFonts w:cstheme="minorHAnsi"/>
                <w:b/>
                <w:sz w:val="20"/>
                <w:szCs w:val="20"/>
              </w:rPr>
              <w:t xml:space="preserve">HR Manager </w:t>
            </w:r>
            <w:r w:rsidRPr="00E45852">
              <w:rPr>
                <w:rFonts w:cstheme="minorHAnsi"/>
                <w:b/>
                <w:sz w:val="20"/>
                <w:szCs w:val="20"/>
              </w:rPr>
              <w:lastRenderedPageBreak/>
              <w:t>(Training)</w:t>
            </w:r>
            <w:r>
              <w:rPr>
                <w:rFonts w:cstheme="minorHAnsi"/>
                <w:b/>
                <w:sz w:val="20"/>
                <w:szCs w:val="20"/>
              </w:rPr>
              <w:t xml:space="preserve"> </w:t>
            </w:r>
            <w:r w:rsidR="00BD3488">
              <w:rPr>
                <w:rFonts w:cstheme="minorHAnsi"/>
                <w:b/>
                <w:sz w:val="20"/>
                <w:szCs w:val="20"/>
              </w:rPr>
              <w:t xml:space="preserve">and </w:t>
            </w:r>
            <w:r w:rsidR="00153CB3">
              <w:rPr>
                <w:rFonts w:cstheme="minorHAnsi"/>
                <w:b/>
                <w:sz w:val="20"/>
                <w:szCs w:val="20"/>
              </w:rPr>
              <w:t xml:space="preserve">Volunteers Manager. </w:t>
            </w:r>
            <w:r>
              <w:rPr>
                <w:rFonts w:cstheme="minorHAnsi"/>
                <w:sz w:val="20"/>
                <w:szCs w:val="20"/>
              </w:rPr>
              <w:t xml:space="preserve">Volunteer training attendance </w:t>
            </w:r>
            <w:r w:rsidR="00BD3488">
              <w:rPr>
                <w:rFonts w:cstheme="minorHAnsi"/>
                <w:sz w:val="20"/>
                <w:szCs w:val="20"/>
              </w:rPr>
              <w:t xml:space="preserve">monitored monthly by Trust </w:t>
            </w:r>
            <w:r w:rsidR="00153CB3">
              <w:rPr>
                <w:rFonts w:cstheme="minorHAnsi"/>
                <w:sz w:val="20"/>
                <w:szCs w:val="20"/>
              </w:rPr>
              <w:t>lead</w:t>
            </w:r>
            <w:r w:rsidR="00BD3488">
              <w:rPr>
                <w:rFonts w:cstheme="minorHAnsi"/>
                <w:sz w:val="20"/>
                <w:szCs w:val="20"/>
              </w:rPr>
              <w:t xml:space="preserve"> and </w:t>
            </w:r>
            <w:r>
              <w:rPr>
                <w:rFonts w:cstheme="minorHAnsi"/>
                <w:sz w:val="20"/>
                <w:szCs w:val="20"/>
              </w:rPr>
              <w:t>included in training reports to Quality &amp; Governance Committee</w:t>
            </w:r>
          </w:p>
        </w:tc>
        <w:tc>
          <w:tcPr>
            <w:tcW w:w="1418" w:type="dxa"/>
          </w:tcPr>
          <w:p w:rsidR="00E45852" w:rsidRDefault="008B78BF" w:rsidP="00CE7D01">
            <w:pPr>
              <w:rPr>
                <w:rFonts w:cstheme="minorHAnsi"/>
                <w:sz w:val="20"/>
                <w:szCs w:val="20"/>
              </w:rPr>
            </w:pPr>
            <w:r>
              <w:rPr>
                <w:rFonts w:cstheme="minorHAnsi"/>
                <w:sz w:val="20"/>
                <w:szCs w:val="20"/>
              </w:rPr>
              <w:lastRenderedPageBreak/>
              <w:t>Completed</w:t>
            </w:r>
          </w:p>
          <w:p w:rsidR="00E45852" w:rsidRDefault="00E45852" w:rsidP="00CE7D01">
            <w:pPr>
              <w:rPr>
                <w:rFonts w:cstheme="minorHAnsi"/>
                <w:sz w:val="20"/>
                <w:szCs w:val="20"/>
              </w:rPr>
            </w:pPr>
          </w:p>
          <w:p w:rsidR="00E45852" w:rsidRDefault="00E45852" w:rsidP="00CE7D01">
            <w:pPr>
              <w:rPr>
                <w:rFonts w:cstheme="minorHAnsi"/>
                <w:sz w:val="20"/>
                <w:szCs w:val="20"/>
              </w:rPr>
            </w:pPr>
          </w:p>
          <w:p w:rsidR="00E45852" w:rsidRDefault="00E45852" w:rsidP="00CE7D01">
            <w:pPr>
              <w:rPr>
                <w:rFonts w:cstheme="minorHAnsi"/>
                <w:sz w:val="20"/>
                <w:szCs w:val="20"/>
              </w:rPr>
            </w:pPr>
          </w:p>
          <w:p w:rsidR="00552147" w:rsidRDefault="00552147" w:rsidP="00CE7D01">
            <w:pPr>
              <w:rPr>
                <w:rFonts w:cstheme="minorHAnsi"/>
                <w:sz w:val="20"/>
                <w:szCs w:val="20"/>
              </w:rPr>
            </w:pPr>
          </w:p>
          <w:p w:rsidR="00E45852" w:rsidRPr="00292F29" w:rsidRDefault="00E45852" w:rsidP="00CE7D01">
            <w:pPr>
              <w:rPr>
                <w:rFonts w:cstheme="minorHAnsi"/>
                <w:sz w:val="20"/>
                <w:szCs w:val="20"/>
              </w:rPr>
            </w:pPr>
          </w:p>
        </w:tc>
      </w:tr>
      <w:tr w:rsidR="005057F0" w:rsidRPr="00355AAA" w:rsidTr="00C43D7C">
        <w:trPr>
          <w:trHeight w:val="567"/>
        </w:trPr>
        <w:tc>
          <w:tcPr>
            <w:tcW w:w="6007" w:type="dxa"/>
            <w:gridSpan w:val="2"/>
          </w:tcPr>
          <w:p w:rsidR="00E367A9" w:rsidRPr="00C1215A" w:rsidRDefault="00E367A9" w:rsidP="00E367A9">
            <w:pPr>
              <w:pStyle w:val="ListParagraph"/>
              <w:numPr>
                <w:ilvl w:val="0"/>
                <w:numId w:val="3"/>
              </w:numPr>
              <w:ind w:left="318" w:hanging="142"/>
              <w:rPr>
                <w:rFonts w:eastAsia="Calibri" w:cstheme="minorHAnsi"/>
                <w:sz w:val="20"/>
                <w:szCs w:val="20"/>
              </w:rPr>
            </w:pPr>
            <w:r w:rsidRPr="00C1215A">
              <w:rPr>
                <w:rFonts w:eastAsia="Calibri" w:cstheme="minorHAnsi"/>
                <w:sz w:val="20"/>
                <w:szCs w:val="20"/>
              </w:rPr>
              <w:lastRenderedPageBreak/>
              <w:t>All NHS Hospital trusts should undertake regular reviews of:</w:t>
            </w:r>
          </w:p>
          <w:p w:rsidR="00E367A9" w:rsidRPr="00292F29" w:rsidRDefault="00E367A9" w:rsidP="00E367A9">
            <w:pPr>
              <w:numPr>
                <w:ilvl w:val="0"/>
                <w:numId w:val="2"/>
              </w:numPr>
              <w:ind w:left="318" w:hanging="142"/>
              <w:rPr>
                <w:rFonts w:eastAsia="Calibri" w:cstheme="minorHAnsi"/>
                <w:sz w:val="20"/>
                <w:szCs w:val="20"/>
              </w:rPr>
            </w:pPr>
            <w:r w:rsidRPr="00292F29">
              <w:rPr>
                <w:rFonts w:eastAsia="Calibri" w:cstheme="minorHAnsi"/>
                <w:sz w:val="20"/>
                <w:szCs w:val="20"/>
              </w:rPr>
              <w:t xml:space="preserve">Their safeguarding resources, structures and processes (including their training programmes); and, </w:t>
            </w:r>
          </w:p>
          <w:p w:rsidR="00E367A9" w:rsidRPr="00292F29" w:rsidRDefault="00E367A9" w:rsidP="00E367A9">
            <w:pPr>
              <w:numPr>
                <w:ilvl w:val="0"/>
                <w:numId w:val="2"/>
              </w:numPr>
              <w:ind w:left="318" w:hanging="142"/>
              <w:rPr>
                <w:rFonts w:eastAsia="Calibri" w:cstheme="minorHAnsi"/>
                <w:sz w:val="20"/>
                <w:szCs w:val="20"/>
              </w:rPr>
            </w:pPr>
            <w:r w:rsidRPr="00292F29">
              <w:rPr>
                <w:rFonts w:eastAsia="Calibri" w:cstheme="minorHAnsi"/>
                <w:sz w:val="20"/>
                <w:szCs w:val="20"/>
              </w:rPr>
              <w:t xml:space="preserve">The behaviours and responsiveness of management and staff in relation to safeguarding issues. </w:t>
            </w:r>
          </w:p>
          <w:p w:rsidR="00E367A9" w:rsidRPr="00292F29" w:rsidRDefault="00E367A9" w:rsidP="00E367A9">
            <w:pPr>
              <w:numPr>
                <w:ilvl w:val="0"/>
                <w:numId w:val="2"/>
              </w:numPr>
              <w:ind w:left="318" w:hanging="142"/>
              <w:rPr>
                <w:rFonts w:eastAsia="Calibri" w:cstheme="minorHAnsi"/>
                <w:sz w:val="20"/>
                <w:szCs w:val="20"/>
              </w:rPr>
            </w:pPr>
            <w:proofErr w:type="gramStart"/>
            <w:r w:rsidRPr="00292F29">
              <w:rPr>
                <w:rFonts w:eastAsia="Calibri" w:cstheme="minorHAnsi"/>
                <w:sz w:val="20"/>
                <w:szCs w:val="20"/>
              </w:rPr>
              <w:t>to</w:t>
            </w:r>
            <w:proofErr w:type="gramEnd"/>
            <w:r w:rsidRPr="00292F29">
              <w:rPr>
                <w:rFonts w:eastAsia="Calibri" w:cstheme="minorHAnsi"/>
                <w:sz w:val="20"/>
                <w:szCs w:val="20"/>
              </w:rPr>
              <w:t xml:space="preserve"> ensure that their arrangements are robust and operate as effectively as possible. </w:t>
            </w:r>
          </w:p>
        </w:tc>
        <w:tc>
          <w:tcPr>
            <w:tcW w:w="3844" w:type="dxa"/>
          </w:tcPr>
          <w:p w:rsidR="00E367A9" w:rsidRPr="00292F29" w:rsidRDefault="0091495C" w:rsidP="00CE7D01">
            <w:pPr>
              <w:rPr>
                <w:rFonts w:cstheme="minorHAnsi"/>
                <w:sz w:val="20"/>
                <w:szCs w:val="20"/>
              </w:rPr>
            </w:pPr>
            <w:r>
              <w:rPr>
                <w:rFonts w:cstheme="minorHAnsi"/>
                <w:b/>
                <w:sz w:val="20"/>
                <w:szCs w:val="20"/>
              </w:rPr>
              <w:t>In place</w:t>
            </w:r>
            <w:r w:rsidR="00B978A1" w:rsidRPr="00B978A1">
              <w:rPr>
                <w:rFonts w:cstheme="minorHAnsi"/>
                <w:b/>
                <w:sz w:val="20"/>
                <w:szCs w:val="20"/>
              </w:rPr>
              <w:t>.</w:t>
            </w:r>
            <w:r w:rsidR="00B978A1">
              <w:rPr>
                <w:rFonts w:cstheme="minorHAnsi"/>
                <w:sz w:val="20"/>
                <w:szCs w:val="20"/>
              </w:rPr>
              <w:t xml:space="preserve"> </w:t>
            </w:r>
            <w:r w:rsidR="0015658B">
              <w:rPr>
                <w:rFonts w:cstheme="minorHAnsi"/>
                <w:sz w:val="20"/>
                <w:szCs w:val="20"/>
              </w:rPr>
              <w:t xml:space="preserve">Evidenced via 2014/15 Annual Report &amp; Safeguarding Committee </w:t>
            </w:r>
            <w:r w:rsidR="00B978A1">
              <w:rPr>
                <w:rFonts w:cstheme="minorHAnsi"/>
                <w:sz w:val="20"/>
                <w:szCs w:val="20"/>
              </w:rPr>
              <w:t>reports/</w:t>
            </w:r>
            <w:r w:rsidR="0015658B">
              <w:rPr>
                <w:rFonts w:cstheme="minorHAnsi"/>
                <w:sz w:val="20"/>
                <w:szCs w:val="20"/>
              </w:rPr>
              <w:t>minutes</w:t>
            </w:r>
            <w:r>
              <w:rPr>
                <w:rFonts w:cstheme="minorHAnsi"/>
                <w:sz w:val="20"/>
                <w:szCs w:val="20"/>
              </w:rPr>
              <w:t xml:space="preserve"> – reviewed by Quality &amp; Governance Committee.</w:t>
            </w:r>
          </w:p>
        </w:tc>
        <w:tc>
          <w:tcPr>
            <w:tcW w:w="2102" w:type="dxa"/>
          </w:tcPr>
          <w:p w:rsidR="00E367A9" w:rsidRPr="00292F29" w:rsidRDefault="0015658B" w:rsidP="00CE7D01">
            <w:pPr>
              <w:rPr>
                <w:rFonts w:cstheme="minorHAnsi"/>
                <w:sz w:val="20"/>
                <w:szCs w:val="20"/>
              </w:rPr>
            </w:pPr>
            <w:r>
              <w:rPr>
                <w:rFonts w:cstheme="minorHAnsi"/>
                <w:sz w:val="20"/>
                <w:szCs w:val="20"/>
              </w:rPr>
              <w:t>Nil</w:t>
            </w:r>
          </w:p>
        </w:tc>
        <w:tc>
          <w:tcPr>
            <w:tcW w:w="1797" w:type="dxa"/>
          </w:tcPr>
          <w:p w:rsidR="00E367A9" w:rsidRPr="00292F29" w:rsidRDefault="0015658B" w:rsidP="00CE7D01">
            <w:pPr>
              <w:rPr>
                <w:rFonts w:cstheme="minorHAnsi"/>
                <w:sz w:val="20"/>
                <w:szCs w:val="20"/>
              </w:rPr>
            </w:pPr>
            <w:r>
              <w:rPr>
                <w:rFonts w:cstheme="minorHAnsi"/>
                <w:sz w:val="20"/>
                <w:szCs w:val="20"/>
              </w:rPr>
              <w:t>NA</w:t>
            </w:r>
          </w:p>
        </w:tc>
        <w:tc>
          <w:tcPr>
            <w:tcW w:w="1418" w:type="dxa"/>
          </w:tcPr>
          <w:p w:rsidR="00E367A9" w:rsidRPr="00292F29" w:rsidRDefault="0015658B" w:rsidP="00CE7D01">
            <w:pPr>
              <w:rPr>
                <w:rFonts w:cstheme="minorHAnsi"/>
                <w:sz w:val="20"/>
                <w:szCs w:val="20"/>
              </w:rPr>
            </w:pPr>
            <w:r>
              <w:rPr>
                <w:rFonts w:cstheme="minorHAnsi"/>
                <w:sz w:val="20"/>
                <w:szCs w:val="20"/>
              </w:rPr>
              <w:t>NA</w:t>
            </w:r>
          </w:p>
        </w:tc>
      </w:tr>
      <w:tr w:rsidR="005057F0" w:rsidRPr="00355AAA" w:rsidTr="00C43D7C">
        <w:trPr>
          <w:trHeight w:val="567"/>
        </w:trPr>
        <w:tc>
          <w:tcPr>
            <w:tcW w:w="6007" w:type="dxa"/>
            <w:gridSpan w:val="2"/>
          </w:tcPr>
          <w:p w:rsidR="00E367A9" w:rsidRPr="00C1215A" w:rsidRDefault="00E367A9" w:rsidP="00E367A9">
            <w:pPr>
              <w:pStyle w:val="ListParagraph"/>
              <w:numPr>
                <w:ilvl w:val="0"/>
                <w:numId w:val="3"/>
              </w:numPr>
              <w:ind w:left="318" w:hanging="142"/>
              <w:rPr>
                <w:rFonts w:eastAsia="Calibri" w:cstheme="minorHAnsi"/>
                <w:sz w:val="20"/>
                <w:szCs w:val="20"/>
              </w:rPr>
            </w:pPr>
            <w:r w:rsidRPr="00867CD3">
              <w:rPr>
                <w:rFonts w:eastAsia="Calibri" w:cstheme="minorHAnsi"/>
                <w:sz w:val="20"/>
                <w:szCs w:val="20"/>
              </w:rPr>
              <w:t>All NHS hospital trusts should undertake DBS checks (including, where applicable, enhanced DBS and barring list checks) on their staff and volunteers every three years.</w:t>
            </w:r>
            <w:r w:rsidRPr="00C1215A">
              <w:rPr>
                <w:rFonts w:eastAsia="Calibri" w:cstheme="minorHAnsi"/>
                <w:sz w:val="20"/>
                <w:szCs w:val="20"/>
              </w:rPr>
              <w:t xml:space="preserve"> The implementation of this recommendation should be supported by NHS Employers.</w:t>
            </w:r>
          </w:p>
        </w:tc>
        <w:tc>
          <w:tcPr>
            <w:tcW w:w="3844" w:type="dxa"/>
          </w:tcPr>
          <w:p w:rsidR="0091495C" w:rsidRPr="00297696" w:rsidRDefault="00B66C0F" w:rsidP="00225E07">
            <w:pPr>
              <w:rPr>
                <w:rFonts w:cstheme="minorHAnsi"/>
                <w:sz w:val="20"/>
                <w:szCs w:val="20"/>
              </w:rPr>
            </w:pPr>
            <w:r w:rsidRPr="00B66C0F">
              <w:rPr>
                <w:b/>
                <w:sz w:val="20"/>
                <w:szCs w:val="20"/>
              </w:rPr>
              <w:t xml:space="preserve">Partly </w:t>
            </w:r>
            <w:r>
              <w:rPr>
                <w:b/>
                <w:sz w:val="20"/>
                <w:szCs w:val="20"/>
              </w:rPr>
              <w:t>i</w:t>
            </w:r>
            <w:r w:rsidRPr="00B66C0F">
              <w:rPr>
                <w:b/>
                <w:sz w:val="20"/>
                <w:szCs w:val="20"/>
              </w:rPr>
              <w:t>n place</w:t>
            </w:r>
            <w:r w:rsidRPr="00225E07">
              <w:rPr>
                <w:b/>
                <w:sz w:val="20"/>
                <w:szCs w:val="20"/>
              </w:rPr>
              <w:t xml:space="preserve">. </w:t>
            </w:r>
            <w:r w:rsidR="00DD588D" w:rsidRPr="00225E07">
              <w:rPr>
                <w:sz w:val="20"/>
                <w:szCs w:val="20"/>
              </w:rPr>
              <w:t xml:space="preserve">The Trust does not recheck </w:t>
            </w:r>
            <w:r w:rsidRPr="00225E07">
              <w:rPr>
                <w:sz w:val="20"/>
                <w:szCs w:val="20"/>
              </w:rPr>
              <w:t xml:space="preserve">all staff </w:t>
            </w:r>
            <w:r w:rsidR="00C647CF" w:rsidRPr="00225E07">
              <w:rPr>
                <w:sz w:val="20"/>
                <w:szCs w:val="20"/>
              </w:rPr>
              <w:t xml:space="preserve">and volunteers </w:t>
            </w:r>
            <w:r w:rsidRPr="00225E07">
              <w:rPr>
                <w:sz w:val="20"/>
                <w:szCs w:val="20"/>
              </w:rPr>
              <w:t>every three years</w:t>
            </w:r>
            <w:r w:rsidR="00867CD3" w:rsidRPr="00B66C0F">
              <w:rPr>
                <w:sz w:val="20"/>
                <w:szCs w:val="20"/>
              </w:rPr>
              <w:t xml:space="preserve">. </w:t>
            </w:r>
            <w:r w:rsidR="00297696" w:rsidRPr="00B66C0F">
              <w:rPr>
                <w:sz w:val="20"/>
                <w:szCs w:val="20"/>
              </w:rPr>
              <w:t xml:space="preserve">Our current practice &amp; policy </w:t>
            </w:r>
            <w:r w:rsidRPr="00B66C0F">
              <w:rPr>
                <w:sz w:val="20"/>
                <w:szCs w:val="20"/>
              </w:rPr>
              <w:t>(Employment Checks Policy</w:t>
            </w:r>
            <w:r>
              <w:rPr>
                <w:sz w:val="20"/>
                <w:szCs w:val="20"/>
              </w:rPr>
              <w:t xml:space="preserve">) </w:t>
            </w:r>
            <w:r w:rsidR="00297696" w:rsidRPr="00297696">
              <w:rPr>
                <w:sz w:val="20"/>
                <w:szCs w:val="20"/>
              </w:rPr>
              <w:t xml:space="preserve">is that we re-check </w:t>
            </w:r>
            <w:r w:rsidR="0091495C">
              <w:rPr>
                <w:sz w:val="20"/>
                <w:szCs w:val="20"/>
              </w:rPr>
              <w:t xml:space="preserve">DBS in </w:t>
            </w:r>
            <w:r w:rsidR="00297696" w:rsidRPr="00297696">
              <w:rPr>
                <w:sz w:val="20"/>
                <w:szCs w:val="20"/>
              </w:rPr>
              <w:t xml:space="preserve">high risk (children’s areas) every three years </w:t>
            </w:r>
            <w:r w:rsidR="00297696" w:rsidRPr="00297696">
              <w:rPr>
                <w:sz w:val="20"/>
                <w:szCs w:val="20"/>
              </w:rPr>
              <w:lastRenderedPageBreak/>
              <w:t xml:space="preserve">and spot check a sample of </w:t>
            </w:r>
            <w:r w:rsidR="00225E07">
              <w:rPr>
                <w:sz w:val="20"/>
                <w:szCs w:val="20"/>
              </w:rPr>
              <w:t xml:space="preserve">staff in </w:t>
            </w:r>
            <w:r w:rsidR="00297696" w:rsidRPr="00297696">
              <w:rPr>
                <w:sz w:val="20"/>
                <w:szCs w:val="20"/>
              </w:rPr>
              <w:t>other areas every year. NHS Employers guidance does not specify how often people should be rechecked and leaves it for the employers to determine.</w:t>
            </w:r>
          </w:p>
        </w:tc>
        <w:tc>
          <w:tcPr>
            <w:tcW w:w="2102" w:type="dxa"/>
          </w:tcPr>
          <w:p w:rsidR="00E367A9" w:rsidRPr="00292F29" w:rsidRDefault="00297696" w:rsidP="00CE7D01">
            <w:pPr>
              <w:rPr>
                <w:rFonts w:cstheme="minorHAnsi"/>
                <w:sz w:val="20"/>
                <w:szCs w:val="20"/>
              </w:rPr>
            </w:pPr>
            <w:r>
              <w:rPr>
                <w:rFonts w:cstheme="minorHAnsi"/>
                <w:sz w:val="20"/>
                <w:szCs w:val="20"/>
              </w:rPr>
              <w:lastRenderedPageBreak/>
              <w:t xml:space="preserve">Safeguarding Committee </w:t>
            </w:r>
            <w:r w:rsidR="00B66C0F">
              <w:rPr>
                <w:rFonts w:cstheme="minorHAnsi"/>
                <w:sz w:val="20"/>
                <w:szCs w:val="20"/>
              </w:rPr>
              <w:t xml:space="preserve">and Director of HR </w:t>
            </w:r>
            <w:r>
              <w:rPr>
                <w:rFonts w:cstheme="minorHAnsi"/>
                <w:sz w:val="20"/>
                <w:szCs w:val="20"/>
              </w:rPr>
              <w:t xml:space="preserve">to review </w:t>
            </w:r>
            <w:r w:rsidR="00867CD3">
              <w:rPr>
                <w:rFonts w:cstheme="minorHAnsi"/>
                <w:sz w:val="20"/>
                <w:szCs w:val="20"/>
              </w:rPr>
              <w:t xml:space="preserve">adequacy of </w:t>
            </w:r>
            <w:r>
              <w:rPr>
                <w:rFonts w:cstheme="minorHAnsi"/>
                <w:sz w:val="20"/>
                <w:szCs w:val="20"/>
              </w:rPr>
              <w:t xml:space="preserve">current practice &amp; </w:t>
            </w:r>
            <w:r>
              <w:rPr>
                <w:rFonts w:cstheme="minorHAnsi"/>
                <w:sz w:val="20"/>
                <w:szCs w:val="20"/>
              </w:rPr>
              <w:lastRenderedPageBreak/>
              <w:t>recommend next steps.</w:t>
            </w:r>
          </w:p>
        </w:tc>
        <w:tc>
          <w:tcPr>
            <w:tcW w:w="1797" w:type="dxa"/>
            <w:shd w:val="clear" w:color="auto" w:fill="auto"/>
          </w:tcPr>
          <w:p w:rsidR="00E367A9" w:rsidRPr="00E45852" w:rsidRDefault="00E45852" w:rsidP="00225E07">
            <w:pPr>
              <w:rPr>
                <w:rFonts w:cstheme="minorHAnsi"/>
                <w:b/>
                <w:sz w:val="20"/>
                <w:szCs w:val="20"/>
                <w:highlight w:val="yellow"/>
              </w:rPr>
            </w:pPr>
            <w:r w:rsidRPr="00E45852">
              <w:rPr>
                <w:rFonts w:cstheme="minorHAnsi"/>
                <w:b/>
                <w:sz w:val="20"/>
                <w:szCs w:val="20"/>
              </w:rPr>
              <w:lastRenderedPageBreak/>
              <w:t>Director of HR.</w:t>
            </w:r>
            <w:r w:rsidR="00552147">
              <w:rPr>
                <w:rFonts w:cstheme="minorHAnsi"/>
                <w:b/>
                <w:sz w:val="20"/>
                <w:szCs w:val="20"/>
              </w:rPr>
              <w:t xml:space="preserve"> </w:t>
            </w:r>
            <w:r w:rsidR="00225E07" w:rsidRPr="00225E07">
              <w:rPr>
                <w:rFonts w:cstheme="minorHAnsi"/>
                <w:sz w:val="20"/>
                <w:szCs w:val="20"/>
              </w:rPr>
              <w:t>Volunteers now included in DBS spot check.</w:t>
            </w:r>
            <w:r w:rsidR="00225E07">
              <w:rPr>
                <w:rFonts w:cstheme="minorHAnsi"/>
                <w:b/>
                <w:sz w:val="20"/>
                <w:szCs w:val="20"/>
              </w:rPr>
              <w:t xml:space="preserve"> </w:t>
            </w:r>
          </w:p>
        </w:tc>
        <w:tc>
          <w:tcPr>
            <w:tcW w:w="1418" w:type="dxa"/>
          </w:tcPr>
          <w:p w:rsidR="00E367A9" w:rsidRPr="00297696" w:rsidRDefault="00552147" w:rsidP="00CE7D01">
            <w:pPr>
              <w:rPr>
                <w:rFonts w:cstheme="minorHAnsi"/>
                <w:sz w:val="20"/>
                <w:szCs w:val="20"/>
                <w:highlight w:val="yellow"/>
              </w:rPr>
            </w:pPr>
            <w:r>
              <w:rPr>
                <w:rFonts w:cstheme="minorHAnsi"/>
                <w:sz w:val="20"/>
                <w:szCs w:val="20"/>
              </w:rPr>
              <w:t>Complete</w:t>
            </w:r>
            <w:r w:rsidR="00544FB3">
              <w:rPr>
                <w:rFonts w:cstheme="minorHAnsi"/>
                <w:sz w:val="20"/>
                <w:szCs w:val="20"/>
              </w:rPr>
              <w:t>d</w:t>
            </w:r>
          </w:p>
        </w:tc>
      </w:tr>
      <w:tr w:rsidR="005057F0" w:rsidRPr="00355AAA" w:rsidTr="00C43D7C">
        <w:trPr>
          <w:trHeight w:val="567"/>
        </w:trPr>
        <w:tc>
          <w:tcPr>
            <w:tcW w:w="6007" w:type="dxa"/>
            <w:gridSpan w:val="2"/>
          </w:tcPr>
          <w:p w:rsidR="00C82D7C" w:rsidRPr="00C1215A" w:rsidRDefault="00C82D7C" w:rsidP="00E367A9">
            <w:pPr>
              <w:pStyle w:val="ListParagraph"/>
              <w:numPr>
                <w:ilvl w:val="0"/>
                <w:numId w:val="3"/>
              </w:numPr>
              <w:ind w:left="318" w:hanging="142"/>
              <w:rPr>
                <w:rFonts w:eastAsia="Calibri" w:cstheme="minorHAnsi"/>
                <w:sz w:val="20"/>
                <w:szCs w:val="20"/>
              </w:rPr>
            </w:pPr>
            <w:r w:rsidRPr="00C1215A">
              <w:rPr>
                <w:rFonts w:eastAsia="Calibri" w:cstheme="minorHAnsi"/>
                <w:sz w:val="20"/>
                <w:szCs w:val="20"/>
              </w:rPr>
              <w:lastRenderedPageBreak/>
              <w:t xml:space="preserve">All NHS hospital trusts should devise a robust trust-wide policy setting out how access by patients and visitors to the internet, to social networks and other social media activities such as blogs and Twitter is managed and where necessary restricted. Such policy should be widely publicised to staff, patients and visitors and should be regularly reviewed and updated as necessary. </w:t>
            </w:r>
          </w:p>
        </w:tc>
        <w:tc>
          <w:tcPr>
            <w:tcW w:w="3844" w:type="dxa"/>
          </w:tcPr>
          <w:p w:rsidR="00C82D7C" w:rsidRPr="00292F29" w:rsidRDefault="0091495C" w:rsidP="00C82D7C">
            <w:pPr>
              <w:rPr>
                <w:rFonts w:cstheme="minorHAnsi"/>
                <w:sz w:val="20"/>
                <w:szCs w:val="20"/>
              </w:rPr>
            </w:pPr>
            <w:r>
              <w:rPr>
                <w:rFonts w:cstheme="minorHAnsi"/>
                <w:b/>
                <w:sz w:val="20"/>
                <w:szCs w:val="20"/>
              </w:rPr>
              <w:t>Not in place</w:t>
            </w:r>
            <w:r w:rsidR="001E3458" w:rsidRPr="001E3458">
              <w:rPr>
                <w:rFonts w:cstheme="minorHAnsi"/>
                <w:b/>
                <w:sz w:val="20"/>
                <w:szCs w:val="20"/>
              </w:rPr>
              <w:t>.</w:t>
            </w:r>
            <w:r w:rsidR="001E3458">
              <w:rPr>
                <w:rFonts w:cstheme="minorHAnsi"/>
                <w:sz w:val="20"/>
                <w:szCs w:val="20"/>
              </w:rPr>
              <w:t xml:space="preserve"> </w:t>
            </w:r>
            <w:r w:rsidR="00C82D7C">
              <w:rPr>
                <w:rFonts w:cstheme="minorHAnsi"/>
                <w:sz w:val="20"/>
                <w:szCs w:val="20"/>
              </w:rPr>
              <w:t>Currently no such policy is in place at the Trust.</w:t>
            </w:r>
          </w:p>
        </w:tc>
        <w:tc>
          <w:tcPr>
            <w:tcW w:w="2102" w:type="dxa"/>
          </w:tcPr>
          <w:p w:rsidR="00C82D7C" w:rsidRDefault="00C82D7C" w:rsidP="00C82D7C">
            <w:pPr>
              <w:rPr>
                <w:rFonts w:cstheme="minorHAnsi"/>
                <w:sz w:val="20"/>
                <w:szCs w:val="20"/>
              </w:rPr>
            </w:pPr>
            <w:r w:rsidRPr="0089408F">
              <w:rPr>
                <w:rFonts w:cstheme="minorHAnsi"/>
                <w:i/>
                <w:sz w:val="20"/>
                <w:szCs w:val="20"/>
              </w:rPr>
              <w:t xml:space="preserve">Policy </w:t>
            </w:r>
            <w:r w:rsidR="001E3458" w:rsidRPr="0089408F">
              <w:rPr>
                <w:rFonts w:cstheme="minorHAnsi"/>
                <w:i/>
                <w:sz w:val="20"/>
                <w:szCs w:val="20"/>
              </w:rPr>
              <w:t xml:space="preserve">on the access by patients and visitors to the internet and social media whilst on Trust premises </w:t>
            </w:r>
            <w:r w:rsidRPr="0089408F">
              <w:rPr>
                <w:rFonts w:cstheme="minorHAnsi"/>
                <w:sz w:val="20"/>
                <w:szCs w:val="20"/>
              </w:rPr>
              <w:t xml:space="preserve">to </w:t>
            </w:r>
            <w:r w:rsidR="001E3458" w:rsidRPr="0089408F">
              <w:rPr>
                <w:rFonts w:cstheme="minorHAnsi"/>
                <w:sz w:val="20"/>
                <w:szCs w:val="20"/>
              </w:rPr>
              <w:t xml:space="preserve">be developed - led by </w:t>
            </w:r>
            <w:r w:rsidR="0089408F" w:rsidRPr="0089408F">
              <w:rPr>
                <w:rFonts w:cstheme="minorHAnsi"/>
                <w:sz w:val="20"/>
                <w:szCs w:val="20"/>
              </w:rPr>
              <w:t>Head of Communications.</w:t>
            </w:r>
          </w:p>
          <w:p w:rsidR="006F04EF" w:rsidRPr="00292F29" w:rsidRDefault="006F04EF" w:rsidP="00C82D7C">
            <w:pPr>
              <w:rPr>
                <w:rFonts w:cstheme="minorHAnsi"/>
                <w:sz w:val="20"/>
                <w:szCs w:val="20"/>
              </w:rPr>
            </w:pPr>
          </w:p>
        </w:tc>
        <w:tc>
          <w:tcPr>
            <w:tcW w:w="1797" w:type="dxa"/>
          </w:tcPr>
          <w:p w:rsidR="00C82D7C" w:rsidRPr="00297696" w:rsidRDefault="005057F0" w:rsidP="00C82D7C">
            <w:pPr>
              <w:rPr>
                <w:rFonts w:cstheme="minorHAnsi"/>
                <w:sz w:val="20"/>
                <w:szCs w:val="20"/>
                <w:highlight w:val="yellow"/>
              </w:rPr>
            </w:pPr>
            <w:r w:rsidRPr="005057F0">
              <w:rPr>
                <w:rFonts w:cstheme="minorHAnsi"/>
                <w:b/>
                <w:sz w:val="20"/>
                <w:szCs w:val="20"/>
              </w:rPr>
              <w:t xml:space="preserve">Head of Communications and </w:t>
            </w:r>
            <w:r>
              <w:rPr>
                <w:rFonts w:cstheme="minorHAnsi"/>
                <w:b/>
                <w:sz w:val="20"/>
                <w:szCs w:val="20"/>
              </w:rPr>
              <w:t>AD Governance and Patient Experience</w:t>
            </w:r>
            <w:r w:rsidRPr="005057F0">
              <w:rPr>
                <w:rFonts w:cstheme="minorHAnsi"/>
                <w:b/>
                <w:sz w:val="20"/>
                <w:szCs w:val="20"/>
              </w:rPr>
              <w:t>.</w:t>
            </w:r>
            <w:r>
              <w:rPr>
                <w:rFonts w:cstheme="minorHAnsi"/>
                <w:sz w:val="20"/>
                <w:szCs w:val="20"/>
              </w:rPr>
              <w:t xml:space="preserve"> Incorporated into updated Social Media and Mobile Phone and Devices Policies.</w:t>
            </w:r>
          </w:p>
        </w:tc>
        <w:tc>
          <w:tcPr>
            <w:tcW w:w="1418" w:type="dxa"/>
          </w:tcPr>
          <w:p w:rsidR="00C82D7C" w:rsidRPr="00297696" w:rsidRDefault="005057F0" w:rsidP="00C82D7C">
            <w:pPr>
              <w:rPr>
                <w:rFonts w:cstheme="minorHAnsi"/>
                <w:sz w:val="20"/>
                <w:szCs w:val="20"/>
                <w:highlight w:val="yellow"/>
              </w:rPr>
            </w:pPr>
            <w:r>
              <w:rPr>
                <w:rFonts w:cstheme="minorHAnsi"/>
                <w:sz w:val="20"/>
                <w:szCs w:val="20"/>
              </w:rPr>
              <w:t>Complete</w:t>
            </w:r>
            <w:r w:rsidR="008B19F4">
              <w:rPr>
                <w:rFonts w:cstheme="minorHAnsi"/>
                <w:sz w:val="20"/>
                <w:szCs w:val="20"/>
              </w:rPr>
              <w:t>d</w:t>
            </w:r>
          </w:p>
        </w:tc>
      </w:tr>
      <w:tr w:rsidR="005057F0" w:rsidRPr="00355AAA" w:rsidTr="00C43D7C">
        <w:trPr>
          <w:trHeight w:val="567"/>
        </w:trPr>
        <w:tc>
          <w:tcPr>
            <w:tcW w:w="6007" w:type="dxa"/>
            <w:gridSpan w:val="2"/>
          </w:tcPr>
          <w:p w:rsidR="00E367A9" w:rsidRDefault="00E367A9" w:rsidP="00E367A9">
            <w:pPr>
              <w:pStyle w:val="ListParagraph"/>
              <w:numPr>
                <w:ilvl w:val="0"/>
                <w:numId w:val="3"/>
              </w:numPr>
              <w:spacing w:after="0" w:line="240" w:lineRule="auto"/>
              <w:ind w:left="317" w:hanging="142"/>
              <w:rPr>
                <w:rFonts w:eastAsia="Calibri" w:cstheme="minorHAnsi"/>
                <w:sz w:val="20"/>
                <w:szCs w:val="20"/>
              </w:rPr>
            </w:pPr>
            <w:r w:rsidRPr="00F623DA">
              <w:rPr>
                <w:rFonts w:eastAsia="Calibri" w:cstheme="minorHAnsi"/>
                <w:sz w:val="20"/>
                <w:szCs w:val="20"/>
              </w:rPr>
              <w:t>All NHS hospital trusts should ensure</w:t>
            </w:r>
            <w:r w:rsidR="001E3458">
              <w:rPr>
                <w:rFonts w:eastAsia="Calibri" w:cstheme="minorHAnsi"/>
                <w:sz w:val="20"/>
                <w:szCs w:val="20"/>
              </w:rPr>
              <w:t xml:space="preserve"> that arrangements and processes</w:t>
            </w:r>
            <w:r w:rsidRPr="00F623DA">
              <w:rPr>
                <w:rFonts w:eastAsia="Calibri" w:cstheme="minorHAnsi"/>
                <w:sz w:val="20"/>
                <w:szCs w:val="20"/>
              </w:rPr>
              <w:t xml:space="preserve"> for the recruitment, checking, general employment and training of contract and agency staff are consistent with their own internal HR processes and standards and are subject to monitoring and oversight by their own HR managers.  </w:t>
            </w:r>
          </w:p>
          <w:p w:rsidR="00E367A9" w:rsidRPr="00F623DA" w:rsidRDefault="00E367A9" w:rsidP="00CE7D01">
            <w:pPr>
              <w:pStyle w:val="ListParagraph"/>
              <w:spacing w:after="0" w:line="240" w:lineRule="auto"/>
              <w:ind w:left="317"/>
              <w:rPr>
                <w:rFonts w:eastAsia="Calibri" w:cstheme="minorHAnsi"/>
                <w:sz w:val="20"/>
                <w:szCs w:val="20"/>
              </w:rPr>
            </w:pPr>
          </w:p>
        </w:tc>
        <w:tc>
          <w:tcPr>
            <w:tcW w:w="3844" w:type="dxa"/>
          </w:tcPr>
          <w:p w:rsidR="00E367A9" w:rsidRDefault="0089408F" w:rsidP="00CE7D01">
            <w:pPr>
              <w:rPr>
                <w:rFonts w:cstheme="minorHAnsi"/>
                <w:sz w:val="20"/>
                <w:szCs w:val="20"/>
              </w:rPr>
            </w:pPr>
            <w:r>
              <w:rPr>
                <w:rFonts w:cstheme="minorHAnsi"/>
                <w:b/>
                <w:sz w:val="20"/>
                <w:szCs w:val="20"/>
              </w:rPr>
              <w:t>Partly in place</w:t>
            </w:r>
            <w:r w:rsidR="001E3458" w:rsidRPr="001E3458">
              <w:rPr>
                <w:rFonts w:cstheme="minorHAnsi"/>
                <w:b/>
                <w:sz w:val="20"/>
                <w:szCs w:val="20"/>
              </w:rPr>
              <w:t>.</w:t>
            </w:r>
            <w:r w:rsidR="001E3458">
              <w:rPr>
                <w:rFonts w:cstheme="minorHAnsi"/>
                <w:sz w:val="20"/>
                <w:szCs w:val="20"/>
              </w:rPr>
              <w:t xml:space="preserve"> </w:t>
            </w:r>
            <w:r w:rsidR="00297696">
              <w:rPr>
                <w:rFonts w:cstheme="minorHAnsi"/>
                <w:sz w:val="20"/>
                <w:szCs w:val="20"/>
              </w:rPr>
              <w:t xml:space="preserve">Bank staff </w:t>
            </w:r>
            <w:r w:rsidR="00DD588D">
              <w:rPr>
                <w:rFonts w:cstheme="minorHAnsi"/>
                <w:sz w:val="20"/>
                <w:szCs w:val="20"/>
              </w:rPr>
              <w:t xml:space="preserve">mandatory training </w:t>
            </w:r>
            <w:r w:rsidR="00297696">
              <w:rPr>
                <w:rFonts w:cstheme="minorHAnsi"/>
                <w:sz w:val="20"/>
                <w:szCs w:val="20"/>
              </w:rPr>
              <w:t xml:space="preserve">attendance records reviewed by Quality &amp; </w:t>
            </w:r>
            <w:r w:rsidR="00A14AFA">
              <w:rPr>
                <w:rFonts w:cstheme="minorHAnsi"/>
                <w:sz w:val="20"/>
                <w:szCs w:val="20"/>
              </w:rPr>
              <w:t>Governance</w:t>
            </w:r>
            <w:r w:rsidR="00297696">
              <w:rPr>
                <w:rFonts w:cstheme="minorHAnsi"/>
                <w:sz w:val="20"/>
                <w:szCs w:val="20"/>
              </w:rPr>
              <w:t xml:space="preserve"> Committee</w:t>
            </w:r>
            <w:r w:rsidR="00A14AFA">
              <w:rPr>
                <w:rFonts w:cstheme="minorHAnsi"/>
                <w:sz w:val="20"/>
                <w:szCs w:val="20"/>
              </w:rPr>
              <w:t>. Plan for improvement in place.</w:t>
            </w:r>
            <w:r w:rsidR="00297696">
              <w:rPr>
                <w:rFonts w:cstheme="minorHAnsi"/>
                <w:sz w:val="20"/>
                <w:szCs w:val="20"/>
              </w:rPr>
              <w:t xml:space="preserve"> </w:t>
            </w:r>
          </w:p>
          <w:p w:rsidR="0089408F" w:rsidRPr="00292F29" w:rsidRDefault="0089408F" w:rsidP="001F3494">
            <w:pPr>
              <w:rPr>
                <w:rFonts w:cstheme="minorHAnsi"/>
                <w:sz w:val="20"/>
                <w:szCs w:val="20"/>
              </w:rPr>
            </w:pPr>
            <w:r>
              <w:rPr>
                <w:rFonts w:cstheme="minorHAnsi"/>
                <w:sz w:val="20"/>
                <w:szCs w:val="20"/>
              </w:rPr>
              <w:t>Contractual arrangements overseen by Estates Department</w:t>
            </w:r>
            <w:r w:rsidR="001F3494">
              <w:rPr>
                <w:rFonts w:cstheme="minorHAnsi"/>
                <w:sz w:val="20"/>
                <w:szCs w:val="20"/>
              </w:rPr>
              <w:t xml:space="preserve">.  Full documentation check pre contract final award in place for all contractors together with on-site mandatory induction for all contractors, sign </w:t>
            </w:r>
            <w:r w:rsidR="001F3494">
              <w:rPr>
                <w:rFonts w:cstheme="minorHAnsi"/>
                <w:sz w:val="20"/>
                <w:szCs w:val="20"/>
              </w:rPr>
              <w:lastRenderedPageBreak/>
              <w:t>in and out processes, premises access control procedures in place and high visibility clothing on site requirements in place.</w:t>
            </w:r>
          </w:p>
        </w:tc>
        <w:tc>
          <w:tcPr>
            <w:tcW w:w="2102" w:type="dxa"/>
          </w:tcPr>
          <w:p w:rsidR="00E367A9" w:rsidRDefault="00A14AFA" w:rsidP="00CE7D01">
            <w:pPr>
              <w:rPr>
                <w:rFonts w:cstheme="minorHAnsi"/>
                <w:sz w:val="20"/>
                <w:szCs w:val="20"/>
              </w:rPr>
            </w:pPr>
            <w:r>
              <w:rPr>
                <w:rFonts w:cstheme="minorHAnsi"/>
                <w:sz w:val="20"/>
                <w:szCs w:val="20"/>
              </w:rPr>
              <w:lastRenderedPageBreak/>
              <w:t xml:space="preserve">Trajectory for improvement </w:t>
            </w:r>
            <w:r w:rsidR="0089408F">
              <w:rPr>
                <w:rFonts w:cstheme="minorHAnsi"/>
                <w:sz w:val="20"/>
                <w:szCs w:val="20"/>
              </w:rPr>
              <w:t xml:space="preserve">for bank staff </w:t>
            </w:r>
            <w:r w:rsidR="000F1AAA">
              <w:rPr>
                <w:rFonts w:cstheme="minorHAnsi"/>
                <w:sz w:val="20"/>
                <w:szCs w:val="20"/>
              </w:rPr>
              <w:t xml:space="preserve">training </w:t>
            </w:r>
            <w:r>
              <w:rPr>
                <w:rFonts w:cstheme="minorHAnsi"/>
                <w:sz w:val="20"/>
                <w:szCs w:val="20"/>
              </w:rPr>
              <w:t>to be agreed</w:t>
            </w:r>
            <w:r w:rsidR="0089408F">
              <w:rPr>
                <w:rFonts w:cstheme="minorHAnsi"/>
                <w:sz w:val="20"/>
                <w:szCs w:val="20"/>
              </w:rPr>
              <w:t>.</w:t>
            </w:r>
          </w:p>
          <w:p w:rsidR="0089408F" w:rsidRPr="00292F29" w:rsidRDefault="0089408F" w:rsidP="00CE7D01">
            <w:pPr>
              <w:rPr>
                <w:rFonts w:cstheme="minorHAnsi"/>
                <w:sz w:val="20"/>
                <w:szCs w:val="20"/>
              </w:rPr>
            </w:pPr>
            <w:r>
              <w:rPr>
                <w:rFonts w:cstheme="minorHAnsi"/>
                <w:sz w:val="20"/>
                <w:szCs w:val="20"/>
              </w:rPr>
              <w:t>.</w:t>
            </w:r>
          </w:p>
        </w:tc>
        <w:tc>
          <w:tcPr>
            <w:tcW w:w="1797" w:type="dxa"/>
          </w:tcPr>
          <w:p w:rsidR="000F1AAA" w:rsidRDefault="000F1AAA" w:rsidP="000F1AAA">
            <w:pPr>
              <w:rPr>
                <w:rFonts w:cstheme="minorHAnsi"/>
                <w:sz w:val="20"/>
                <w:szCs w:val="20"/>
              </w:rPr>
            </w:pPr>
            <w:r w:rsidRPr="00E45852">
              <w:rPr>
                <w:rFonts w:cstheme="minorHAnsi"/>
                <w:b/>
                <w:sz w:val="20"/>
                <w:szCs w:val="20"/>
              </w:rPr>
              <w:t>HR Manager (Training)</w:t>
            </w:r>
            <w:r>
              <w:rPr>
                <w:rFonts w:cstheme="minorHAnsi"/>
                <w:b/>
                <w:sz w:val="20"/>
                <w:szCs w:val="20"/>
              </w:rPr>
              <w:t xml:space="preserve">. </w:t>
            </w:r>
            <w:r>
              <w:rPr>
                <w:rFonts w:cstheme="minorHAnsi"/>
                <w:sz w:val="20"/>
                <w:szCs w:val="20"/>
              </w:rPr>
              <w:t>Bank staff training attendance included in reports to Quality &amp; Governance Committee</w:t>
            </w:r>
            <w:r w:rsidR="0016636B">
              <w:rPr>
                <w:rFonts w:cstheme="minorHAnsi"/>
                <w:sz w:val="20"/>
                <w:szCs w:val="20"/>
              </w:rPr>
              <w:t>.</w:t>
            </w:r>
          </w:p>
          <w:p w:rsidR="00E367A9" w:rsidRPr="00A14AFA" w:rsidRDefault="00E367A9" w:rsidP="00CE7D01">
            <w:pPr>
              <w:rPr>
                <w:rFonts w:cstheme="minorHAnsi"/>
                <w:sz w:val="20"/>
                <w:szCs w:val="20"/>
                <w:highlight w:val="yellow"/>
              </w:rPr>
            </w:pPr>
          </w:p>
        </w:tc>
        <w:tc>
          <w:tcPr>
            <w:tcW w:w="1418" w:type="dxa"/>
          </w:tcPr>
          <w:p w:rsidR="00E367A9" w:rsidRPr="00A14AFA" w:rsidRDefault="0016636B" w:rsidP="00CE7D01">
            <w:pPr>
              <w:rPr>
                <w:rFonts w:cstheme="minorHAnsi"/>
                <w:sz w:val="20"/>
                <w:szCs w:val="20"/>
                <w:highlight w:val="yellow"/>
              </w:rPr>
            </w:pPr>
            <w:r>
              <w:rPr>
                <w:rFonts w:cstheme="minorHAnsi"/>
                <w:sz w:val="20"/>
                <w:szCs w:val="20"/>
              </w:rPr>
              <w:t>Complete</w:t>
            </w:r>
            <w:r w:rsidR="008B19F4">
              <w:rPr>
                <w:rFonts w:cstheme="minorHAnsi"/>
                <w:sz w:val="20"/>
                <w:szCs w:val="20"/>
              </w:rPr>
              <w:t>d</w:t>
            </w:r>
          </w:p>
        </w:tc>
      </w:tr>
      <w:tr w:rsidR="005057F0" w:rsidRPr="00355AAA" w:rsidTr="00C43D7C">
        <w:trPr>
          <w:trHeight w:val="567"/>
        </w:trPr>
        <w:tc>
          <w:tcPr>
            <w:tcW w:w="6007" w:type="dxa"/>
            <w:gridSpan w:val="2"/>
          </w:tcPr>
          <w:p w:rsidR="00E367A9" w:rsidRPr="00F623DA" w:rsidRDefault="00E367A9" w:rsidP="00E367A9">
            <w:pPr>
              <w:pStyle w:val="ListParagraph"/>
              <w:numPr>
                <w:ilvl w:val="0"/>
                <w:numId w:val="3"/>
              </w:numPr>
              <w:spacing w:after="0" w:line="240" w:lineRule="auto"/>
              <w:ind w:left="317" w:hanging="142"/>
              <w:rPr>
                <w:rFonts w:eastAsia="Calibri" w:cstheme="minorHAnsi"/>
                <w:sz w:val="20"/>
                <w:szCs w:val="20"/>
              </w:rPr>
            </w:pPr>
            <w:r w:rsidRPr="00F623DA">
              <w:rPr>
                <w:rFonts w:eastAsia="Calibri" w:cstheme="minorHAnsi"/>
                <w:sz w:val="20"/>
                <w:szCs w:val="20"/>
              </w:rPr>
              <w:lastRenderedPageBreak/>
              <w:t xml:space="preserve">NHS hospital trusts should review their recruitment, checking, training and general employment processes to ensure they operate in a consistent and robust manner across all departments and functions and that overall responsibility for these matters rests with a single executive director.  </w:t>
            </w:r>
          </w:p>
          <w:p w:rsidR="00E367A9" w:rsidRPr="00C1215A" w:rsidRDefault="00E367A9" w:rsidP="00CE7D01">
            <w:pPr>
              <w:ind w:left="317" w:hanging="142"/>
              <w:rPr>
                <w:rFonts w:eastAsia="Calibri" w:cstheme="minorHAnsi"/>
                <w:sz w:val="20"/>
                <w:szCs w:val="20"/>
              </w:rPr>
            </w:pPr>
          </w:p>
        </w:tc>
        <w:tc>
          <w:tcPr>
            <w:tcW w:w="3844" w:type="dxa"/>
          </w:tcPr>
          <w:p w:rsidR="00E367A9" w:rsidRPr="001E3458" w:rsidRDefault="0055188D" w:rsidP="00CE7D01">
            <w:pPr>
              <w:rPr>
                <w:rFonts w:cstheme="minorHAnsi"/>
                <w:b/>
                <w:sz w:val="20"/>
                <w:szCs w:val="20"/>
              </w:rPr>
            </w:pPr>
            <w:r>
              <w:rPr>
                <w:rFonts w:cstheme="minorHAnsi"/>
                <w:b/>
                <w:sz w:val="20"/>
                <w:szCs w:val="20"/>
              </w:rPr>
              <w:t>In place</w:t>
            </w:r>
            <w:r w:rsidR="001E3458" w:rsidRPr="001E3458">
              <w:rPr>
                <w:rFonts w:cstheme="minorHAnsi"/>
                <w:b/>
                <w:sz w:val="20"/>
                <w:szCs w:val="20"/>
              </w:rPr>
              <w:t>.</w:t>
            </w:r>
          </w:p>
        </w:tc>
        <w:tc>
          <w:tcPr>
            <w:tcW w:w="2102" w:type="dxa"/>
          </w:tcPr>
          <w:p w:rsidR="00E367A9" w:rsidRPr="00292F29" w:rsidRDefault="00A14AFA" w:rsidP="00CE7D01">
            <w:pPr>
              <w:rPr>
                <w:rFonts w:cstheme="minorHAnsi"/>
                <w:sz w:val="20"/>
                <w:szCs w:val="20"/>
              </w:rPr>
            </w:pPr>
            <w:r>
              <w:rPr>
                <w:rFonts w:cstheme="minorHAnsi"/>
                <w:sz w:val="20"/>
                <w:szCs w:val="20"/>
              </w:rPr>
              <w:t>Nil</w:t>
            </w:r>
          </w:p>
        </w:tc>
        <w:tc>
          <w:tcPr>
            <w:tcW w:w="1797" w:type="dxa"/>
          </w:tcPr>
          <w:p w:rsidR="00E367A9" w:rsidRPr="00292F29" w:rsidRDefault="00A14AFA" w:rsidP="00CE7D01">
            <w:pPr>
              <w:rPr>
                <w:rFonts w:cstheme="minorHAnsi"/>
                <w:sz w:val="20"/>
                <w:szCs w:val="20"/>
              </w:rPr>
            </w:pPr>
            <w:r>
              <w:rPr>
                <w:rFonts w:cstheme="minorHAnsi"/>
                <w:sz w:val="20"/>
                <w:szCs w:val="20"/>
              </w:rPr>
              <w:t>NA</w:t>
            </w:r>
          </w:p>
        </w:tc>
        <w:tc>
          <w:tcPr>
            <w:tcW w:w="1418" w:type="dxa"/>
          </w:tcPr>
          <w:p w:rsidR="00E367A9" w:rsidRPr="00292F29" w:rsidRDefault="00A14AFA" w:rsidP="00CE7D01">
            <w:pPr>
              <w:rPr>
                <w:rFonts w:cstheme="minorHAnsi"/>
                <w:sz w:val="20"/>
                <w:szCs w:val="20"/>
              </w:rPr>
            </w:pPr>
            <w:r>
              <w:rPr>
                <w:rFonts w:cstheme="minorHAnsi"/>
                <w:sz w:val="20"/>
                <w:szCs w:val="20"/>
              </w:rPr>
              <w:t>NA</w:t>
            </w:r>
          </w:p>
        </w:tc>
      </w:tr>
      <w:tr w:rsidR="005057F0" w:rsidRPr="00355AAA" w:rsidTr="00C43D7C">
        <w:trPr>
          <w:trHeight w:val="567"/>
        </w:trPr>
        <w:tc>
          <w:tcPr>
            <w:tcW w:w="6007" w:type="dxa"/>
            <w:gridSpan w:val="2"/>
          </w:tcPr>
          <w:p w:rsidR="00E367A9" w:rsidRPr="00F623DA" w:rsidRDefault="00E367A9" w:rsidP="00E367A9">
            <w:pPr>
              <w:pStyle w:val="ListParagraph"/>
              <w:numPr>
                <w:ilvl w:val="0"/>
                <w:numId w:val="3"/>
              </w:numPr>
              <w:spacing w:after="0" w:line="240" w:lineRule="auto"/>
              <w:ind w:left="317" w:hanging="142"/>
              <w:rPr>
                <w:rFonts w:eastAsia="Calibri" w:cstheme="minorHAnsi"/>
                <w:sz w:val="20"/>
                <w:szCs w:val="20"/>
              </w:rPr>
            </w:pPr>
            <w:r w:rsidRPr="00F623DA">
              <w:rPr>
                <w:rFonts w:eastAsia="Calibri" w:cstheme="minorHAnsi"/>
                <w:sz w:val="20"/>
                <w:szCs w:val="20"/>
              </w:rPr>
              <w:t>NHS hospital trusts and their associated charities should consider the adequacy of their policies and procedures in relation to the assessment and management of the risks to their brand and reputation, including as a result of their associations with celebrities and major donors, and whether their risk registers adequately reflect this.</w:t>
            </w:r>
          </w:p>
          <w:p w:rsidR="00E367A9" w:rsidRPr="00C1215A" w:rsidRDefault="00E367A9" w:rsidP="00CE7D01">
            <w:pPr>
              <w:ind w:left="317" w:hanging="142"/>
              <w:rPr>
                <w:rFonts w:eastAsia="Calibri" w:cstheme="minorHAnsi"/>
                <w:sz w:val="20"/>
                <w:szCs w:val="20"/>
              </w:rPr>
            </w:pPr>
          </w:p>
        </w:tc>
        <w:tc>
          <w:tcPr>
            <w:tcW w:w="3844" w:type="dxa"/>
          </w:tcPr>
          <w:p w:rsidR="0055188D" w:rsidRDefault="00CF728F" w:rsidP="0055188D">
            <w:pPr>
              <w:rPr>
                <w:rFonts w:cstheme="minorHAnsi"/>
                <w:sz w:val="20"/>
                <w:szCs w:val="20"/>
              </w:rPr>
            </w:pPr>
            <w:r w:rsidRPr="00CF728F">
              <w:rPr>
                <w:rFonts w:cstheme="minorHAnsi"/>
                <w:b/>
                <w:sz w:val="20"/>
                <w:szCs w:val="20"/>
              </w:rPr>
              <w:t xml:space="preserve">Partly </w:t>
            </w:r>
            <w:r w:rsidR="0055188D">
              <w:rPr>
                <w:rFonts w:cstheme="minorHAnsi"/>
                <w:b/>
                <w:sz w:val="20"/>
                <w:szCs w:val="20"/>
              </w:rPr>
              <w:t>in place</w:t>
            </w:r>
            <w:r>
              <w:rPr>
                <w:rFonts w:cstheme="minorHAnsi"/>
                <w:sz w:val="20"/>
                <w:szCs w:val="20"/>
              </w:rPr>
              <w:t xml:space="preserve">. </w:t>
            </w:r>
            <w:r w:rsidR="0055188D" w:rsidRPr="00143F89">
              <w:rPr>
                <w:rFonts w:cstheme="minorHAnsi"/>
                <w:sz w:val="20"/>
                <w:szCs w:val="20"/>
              </w:rPr>
              <w:t>Policy for the management of visits by celebrities and VIPs t</w:t>
            </w:r>
            <w:r w:rsidR="00143F89">
              <w:rPr>
                <w:rFonts w:cstheme="minorHAnsi"/>
                <w:sz w:val="20"/>
                <w:szCs w:val="20"/>
              </w:rPr>
              <w:t>o be developed – and include associated charities of League of Friends and Sunshine Radio</w:t>
            </w:r>
            <w:r w:rsidR="00561425">
              <w:rPr>
                <w:rFonts w:cstheme="minorHAnsi"/>
                <w:sz w:val="20"/>
                <w:szCs w:val="20"/>
              </w:rPr>
              <w:t>.</w:t>
            </w:r>
          </w:p>
          <w:p w:rsidR="00EF12A0" w:rsidRPr="00292F29" w:rsidRDefault="00EF12A0" w:rsidP="00143F89">
            <w:pPr>
              <w:rPr>
                <w:rFonts w:cstheme="minorHAnsi"/>
                <w:sz w:val="20"/>
                <w:szCs w:val="20"/>
              </w:rPr>
            </w:pPr>
          </w:p>
        </w:tc>
        <w:tc>
          <w:tcPr>
            <w:tcW w:w="2102" w:type="dxa"/>
          </w:tcPr>
          <w:p w:rsidR="00EF12A0" w:rsidRPr="00292F29" w:rsidRDefault="00EF12A0" w:rsidP="00143F89">
            <w:pPr>
              <w:rPr>
                <w:rFonts w:cstheme="minorHAnsi"/>
                <w:sz w:val="20"/>
                <w:szCs w:val="20"/>
              </w:rPr>
            </w:pPr>
            <w:r w:rsidRPr="00B978A1">
              <w:rPr>
                <w:rFonts w:cstheme="minorHAnsi"/>
                <w:i/>
                <w:sz w:val="20"/>
                <w:szCs w:val="20"/>
              </w:rPr>
              <w:t xml:space="preserve">Policy for the management of visits by celebrities and VIPs </w:t>
            </w:r>
            <w:r>
              <w:rPr>
                <w:rFonts w:cstheme="minorHAnsi"/>
                <w:sz w:val="20"/>
                <w:szCs w:val="20"/>
              </w:rPr>
              <w:t>to be developed -by Head of Communications.</w:t>
            </w:r>
          </w:p>
        </w:tc>
        <w:tc>
          <w:tcPr>
            <w:tcW w:w="1797" w:type="dxa"/>
          </w:tcPr>
          <w:p w:rsidR="00544FB3" w:rsidRPr="00CF728F" w:rsidRDefault="0016636B" w:rsidP="00544FB3">
            <w:pPr>
              <w:rPr>
                <w:rFonts w:cstheme="minorHAnsi"/>
                <w:sz w:val="20"/>
                <w:szCs w:val="20"/>
                <w:highlight w:val="yellow"/>
              </w:rPr>
            </w:pPr>
            <w:r w:rsidRPr="00C43D7C">
              <w:rPr>
                <w:rFonts w:cstheme="minorHAnsi"/>
                <w:b/>
                <w:sz w:val="20"/>
                <w:szCs w:val="20"/>
              </w:rPr>
              <w:t xml:space="preserve">Head of Communications. </w:t>
            </w:r>
            <w:r w:rsidR="00544FB3">
              <w:rPr>
                <w:rFonts w:cstheme="minorHAnsi"/>
                <w:sz w:val="20"/>
                <w:szCs w:val="20"/>
              </w:rPr>
              <w:t>Approved by Safeguarding Committee Chair November 2015</w:t>
            </w:r>
          </w:p>
        </w:tc>
        <w:tc>
          <w:tcPr>
            <w:tcW w:w="1418" w:type="dxa"/>
          </w:tcPr>
          <w:p w:rsidR="00EF12A0" w:rsidRDefault="00544FB3" w:rsidP="00CE7D01">
            <w:pPr>
              <w:rPr>
                <w:rFonts w:cstheme="minorHAnsi"/>
                <w:sz w:val="20"/>
                <w:szCs w:val="20"/>
                <w:highlight w:val="yellow"/>
              </w:rPr>
            </w:pPr>
            <w:r>
              <w:rPr>
                <w:rFonts w:cstheme="minorHAnsi"/>
                <w:sz w:val="20"/>
                <w:szCs w:val="20"/>
              </w:rPr>
              <w:t>Completed</w:t>
            </w:r>
          </w:p>
          <w:p w:rsidR="00EF12A0" w:rsidRDefault="00EF12A0" w:rsidP="00CE7D01">
            <w:pPr>
              <w:rPr>
                <w:rFonts w:cstheme="minorHAnsi"/>
                <w:sz w:val="20"/>
                <w:szCs w:val="20"/>
                <w:highlight w:val="yellow"/>
              </w:rPr>
            </w:pPr>
          </w:p>
          <w:p w:rsidR="00EF12A0" w:rsidRPr="00CF728F" w:rsidRDefault="00EF12A0" w:rsidP="00CE7D01">
            <w:pPr>
              <w:rPr>
                <w:rFonts w:cstheme="minorHAnsi"/>
                <w:sz w:val="20"/>
                <w:szCs w:val="20"/>
                <w:highlight w:val="yellow"/>
              </w:rPr>
            </w:pPr>
          </w:p>
        </w:tc>
      </w:tr>
      <w:tr w:rsidR="00E367A9" w:rsidRPr="00355AAA" w:rsidTr="00C43D7C">
        <w:tc>
          <w:tcPr>
            <w:tcW w:w="15168" w:type="dxa"/>
            <w:gridSpan w:val="6"/>
          </w:tcPr>
          <w:p w:rsidR="00E367A9" w:rsidRPr="00C1215A" w:rsidRDefault="00E367A9" w:rsidP="00CE7D01">
            <w:pPr>
              <w:rPr>
                <w:rFonts w:cstheme="minorHAnsi"/>
                <w:b/>
                <w:szCs w:val="20"/>
              </w:rPr>
            </w:pPr>
            <w:r w:rsidRPr="00C1215A">
              <w:rPr>
                <w:rFonts w:cstheme="minorHAnsi"/>
                <w:b/>
                <w:szCs w:val="20"/>
              </w:rPr>
              <w:t xml:space="preserve">I confirm that this Trust Board has reviewed  the full recommendations in Kate </w:t>
            </w:r>
            <w:proofErr w:type="spellStart"/>
            <w:r w:rsidRPr="00C1215A">
              <w:rPr>
                <w:rFonts w:cstheme="minorHAnsi"/>
                <w:b/>
                <w:szCs w:val="20"/>
              </w:rPr>
              <w:t>Lampard’s</w:t>
            </w:r>
            <w:proofErr w:type="spellEnd"/>
            <w:r w:rsidRPr="00C1215A">
              <w:rPr>
                <w:rFonts w:cstheme="minorHAnsi"/>
                <w:b/>
                <w:szCs w:val="20"/>
              </w:rPr>
              <w:t xml:space="preserve"> lessons learnt report: </w:t>
            </w:r>
          </w:p>
          <w:p w:rsidR="00E367A9" w:rsidRPr="00292F29" w:rsidRDefault="00E367A9" w:rsidP="00CE7D01">
            <w:pPr>
              <w:rPr>
                <w:rFonts w:cstheme="minorHAnsi"/>
                <w:sz w:val="20"/>
                <w:szCs w:val="20"/>
              </w:rPr>
            </w:pPr>
            <w:r w:rsidRPr="00292F29">
              <w:rPr>
                <w:rFonts w:cstheme="minorHAnsi"/>
                <w:sz w:val="20"/>
                <w:szCs w:val="20"/>
              </w:rPr>
              <w:t>SIGNED:                                                                                                                                                        DATE:</w:t>
            </w:r>
            <w:r w:rsidR="00B978A1">
              <w:rPr>
                <w:rFonts w:cstheme="minorHAnsi"/>
                <w:sz w:val="20"/>
                <w:szCs w:val="20"/>
              </w:rPr>
              <w:t xml:space="preserve"> </w:t>
            </w:r>
            <w:r w:rsidR="00544FB3">
              <w:rPr>
                <w:rFonts w:cstheme="minorHAnsi"/>
                <w:sz w:val="20"/>
                <w:szCs w:val="20"/>
              </w:rPr>
              <w:t>11 November 2015</w:t>
            </w:r>
          </w:p>
          <w:p w:rsidR="00E367A9" w:rsidRPr="00292F29" w:rsidRDefault="00E367A9" w:rsidP="00CE7D01">
            <w:pPr>
              <w:rPr>
                <w:rFonts w:cstheme="minorHAnsi"/>
                <w:sz w:val="20"/>
                <w:szCs w:val="20"/>
              </w:rPr>
            </w:pPr>
            <w:r w:rsidRPr="00292F29">
              <w:rPr>
                <w:rFonts w:cstheme="minorHAnsi"/>
                <w:sz w:val="20"/>
                <w:szCs w:val="20"/>
              </w:rPr>
              <w:t>CE NAME:</w:t>
            </w:r>
          </w:p>
        </w:tc>
      </w:tr>
    </w:tbl>
    <w:p w:rsidR="00E367A9" w:rsidRDefault="00E367A9" w:rsidP="00E367A9">
      <w:pPr>
        <w:rPr>
          <w:b/>
        </w:rPr>
      </w:pPr>
    </w:p>
    <w:p w:rsidR="00CE7D01" w:rsidRDefault="00CE7D01"/>
    <w:sectPr w:rsidR="00CE7D01" w:rsidSect="00E367A9">
      <w:headerReference w:type="even" r:id="rId7"/>
      <w:headerReference w:type="default" r:id="rId8"/>
      <w:footerReference w:type="even" r:id="rId9"/>
      <w:footerReference w:type="default" r:id="rId10"/>
      <w:headerReference w:type="first" r:id="rId11"/>
      <w:footerReference w:type="first" r:id="rId12"/>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8BF" w:rsidRDefault="008B78BF" w:rsidP="00E367A9">
      <w:pPr>
        <w:spacing w:after="0" w:line="240" w:lineRule="auto"/>
      </w:pPr>
      <w:r>
        <w:separator/>
      </w:r>
    </w:p>
  </w:endnote>
  <w:endnote w:type="continuationSeparator" w:id="0">
    <w:p w:rsidR="008B78BF" w:rsidRDefault="008B78BF" w:rsidP="00E36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F" w:rsidRDefault="008B78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314324"/>
      <w:docPartObj>
        <w:docPartGallery w:val="Page Numbers (Bottom of Page)"/>
        <w:docPartUnique/>
      </w:docPartObj>
    </w:sdtPr>
    <w:sdtContent>
      <w:p w:rsidR="008B78BF" w:rsidRDefault="009314FC">
        <w:pPr>
          <w:pStyle w:val="Footer"/>
          <w:jc w:val="center"/>
        </w:pPr>
        <w:fldSimple w:instr=" PAGE   \* MERGEFORMAT ">
          <w:r w:rsidR="008B19F4">
            <w:rPr>
              <w:noProof/>
            </w:rPr>
            <w:t>4</w:t>
          </w:r>
        </w:fldSimple>
      </w:p>
    </w:sdtContent>
  </w:sdt>
  <w:p w:rsidR="008B78BF" w:rsidRDefault="008B78BF">
    <w:pPr>
      <w:pStyle w:val="Footer"/>
    </w:pPr>
    <w:r>
      <w:t>Gillian Hoskins, Associate Director for Governance &amp; Patient Experience</w:t>
    </w:r>
  </w:p>
  <w:p w:rsidR="008B78BF" w:rsidRDefault="008B78BF">
    <w:pPr>
      <w:pStyle w:val="Footer"/>
    </w:pPr>
    <w:r>
      <w:t>Weston Area NHS Health Trust, November 2015 update.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F" w:rsidRDefault="008B78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8BF" w:rsidRDefault="008B78BF" w:rsidP="00E367A9">
      <w:pPr>
        <w:spacing w:after="0" w:line="240" w:lineRule="auto"/>
      </w:pPr>
      <w:r>
        <w:separator/>
      </w:r>
    </w:p>
  </w:footnote>
  <w:footnote w:type="continuationSeparator" w:id="0">
    <w:p w:rsidR="008B78BF" w:rsidRDefault="008B78BF" w:rsidP="00E367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F" w:rsidRDefault="008B78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F" w:rsidRPr="00D30A9F" w:rsidRDefault="008B78BF" w:rsidP="00DF4698">
    <w:pPr>
      <w:pStyle w:val="Default"/>
      <w:jc w:val="center"/>
      <w:rPr>
        <w:rFonts w:asciiTheme="minorHAnsi" w:hAnsiTheme="minorHAnsi"/>
      </w:rPr>
    </w:pPr>
    <w:r w:rsidRPr="00D30A9F">
      <w:rPr>
        <w:rFonts w:asciiTheme="minorHAnsi" w:hAnsiTheme="minorHAnsi"/>
        <w:b/>
      </w:rPr>
      <w:t>Recommendations from</w:t>
    </w:r>
    <w:r>
      <w:t xml:space="preserve"> </w:t>
    </w:r>
    <w:r w:rsidRPr="00D30A9F">
      <w:rPr>
        <w:rFonts w:asciiTheme="minorHAnsi" w:hAnsiTheme="minorHAnsi"/>
        <w:b/>
        <w:bCs/>
      </w:rPr>
      <w:t xml:space="preserve">NHS investigations into matters relating to Jimmy </w:t>
    </w:r>
    <w:proofErr w:type="spellStart"/>
    <w:r w:rsidRPr="00D30A9F">
      <w:rPr>
        <w:rFonts w:asciiTheme="minorHAnsi" w:hAnsiTheme="minorHAnsi"/>
        <w:b/>
        <w:bCs/>
      </w:rPr>
      <w:t>Savile</w:t>
    </w:r>
    <w:proofErr w:type="spellEnd"/>
  </w:p>
  <w:p w:rsidR="008B78BF" w:rsidRPr="00D30A9F" w:rsidRDefault="008B78BF" w:rsidP="00DF4698">
    <w:pPr>
      <w:spacing w:line="240" w:lineRule="auto"/>
      <w:jc w:val="center"/>
      <w:rPr>
        <w:b/>
        <w:sz w:val="24"/>
        <w:szCs w:val="24"/>
      </w:rPr>
    </w:pPr>
    <w:r w:rsidRPr="00D30A9F">
      <w:rPr>
        <w:b/>
        <w:sz w:val="24"/>
        <w:szCs w:val="24"/>
      </w:rPr>
      <w:t xml:space="preserve">Independent report for the Secretary of </w:t>
    </w:r>
    <w:r>
      <w:rPr>
        <w:b/>
        <w:sz w:val="24"/>
        <w:szCs w:val="24"/>
      </w:rPr>
      <w:t xml:space="preserve">State for Health - </w:t>
    </w:r>
    <w:r w:rsidRPr="00D30A9F">
      <w:rPr>
        <w:b/>
        <w:sz w:val="24"/>
        <w:szCs w:val="24"/>
      </w:rPr>
      <w:t xml:space="preserve">Kate </w:t>
    </w:r>
    <w:proofErr w:type="spellStart"/>
    <w:r w:rsidRPr="00D30A9F">
      <w:rPr>
        <w:b/>
        <w:sz w:val="24"/>
        <w:szCs w:val="24"/>
      </w:rPr>
      <w:t>Lampard</w:t>
    </w:r>
    <w:proofErr w:type="spellEnd"/>
    <w:r w:rsidRPr="00D30A9F">
      <w:rPr>
        <w:b/>
        <w:sz w:val="24"/>
        <w:szCs w:val="24"/>
      </w:rPr>
      <w:t xml:space="preserve"> </w:t>
    </w:r>
    <w:r>
      <w:rPr>
        <w:b/>
        <w:sz w:val="24"/>
        <w:szCs w:val="24"/>
      </w:rPr>
      <w:t xml:space="preserve">and </w:t>
    </w:r>
    <w:r w:rsidRPr="00D30A9F">
      <w:rPr>
        <w:b/>
        <w:sz w:val="24"/>
        <w:szCs w:val="24"/>
      </w:rPr>
      <w:t>Ed Marsden</w:t>
    </w:r>
  </w:p>
  <w:p w:rsidR="008B78BF" w:rsidRDefault="008B78B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8BF" w:rsidRDefault="008B78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90387"/>
    <w:multiLevelType w:val="hybridMultilevel"/>
    <w:tmpl w:val="CB1812E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5B84E88"/>
    <w:multiLevelType w:val="hybridMultilevel"/>
    <w:tmpl w:val="EB7EF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6134DB"/>
    <w:multiLevelType w:val="hybridMultilevel"/>
    <w:tmpl w:val="0C8E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367A9"/>
    <w:rsid w:val="0000522F"/>
    <w:rsid w:val="00013879"/>
    <w:rsid w:val="00047A8D"/>
    <w:rsid w:val="000B4BC7"/>
    <w:rsid w:val="000D563F"/>
    <w:rsid w:val="000E41A1"/>
    <w:rsid w:val="000F073A"/>
    <w:rsid w:val="000F1AAA"/>
    <w:rsid w:val="000F2220"/>
    <w:rsid w:val="001337D6"/>
    <w:rsid w:val="00141C59"/>
    <w:rsid w:val="00143F89"/>
    <w:rsid w:val="00153CB3"/>
    <w:rsid w:val="0015658B"/>
    <w:rsid w:val="0016636B"/>
    <w:rsid w:val="001A6310"/>
    <w:rsid w:val="001D2D7D"/>
    <w:rsid w:val="001E3458"/>
    <w:rsid w:val="001F3494"/>
    <w:rsid w:val="0021206E"/>
    <w:rsid w:val="00225E07"/>
    <w:rsid w:val="00256508"/>
    <w:rsid w:val="002616CC"/>
    <w:rsid w:val="00297696"/>
    <w:rsid w:val="0031596B"/>
    <w:rsid w:val="0033072A"/>
    <w:rsid w:val="0039144E"/>
    <w:rsid w:val="003E7270"/>
    <w:rsid w:val="00425C11"/>
    <w:rsid w:val="00462383"/>
    <w:rsid w:val="00473FC0"/>
    <w:rsid w:val="004C06FD"/>
    <w:rsid w:val="004C7666"/>
    <w:rsid w:val="004F45D8"/>
    <w:rsid w:val="005057F0"/>
    <w:rsid w:val="00533258"/>
    <w:rsid w:val="00544FB3"/>
    <w:rsid w:val="0055188D"/>
    <w:rsid w:val="00552147"/>
    <w:rsid w:val="00561425"/>
    <w:rsid w:val="00574245"/>
    <w:rsid w:val="005D61A8"/>
    <w:rsid w:val="00673C6B"/>
    <w:rsid w:val="0068046B"/>
    <w:rsid w:val="006B651D"/>
    <w:rsid w:val="006F04EF"/>
    <w:rsid w:val="0070182F"/>
    <w:rsid w:val="00714689"/>
    <w:rsid w:val="00746CE8"/>
    <w:rsid w:val="007C4EAA"/>
    <w:rsid w:val="007C62EB"/>
    <w:rsid w:val="00867CD3"/>
    <w:rsid w:val="00874B08"/>
    <w:rsid w:val="0089408F"/>
    <w:rsid w:val="00897CC0"/>
    <w:rsid w:val="008B19F4"/>
    <w:rsid w:val="008B78BF"/>
    <w:rsid w:val="008D221B"/>
    <w:rsid w:val="0091495C"/>
    <w:rsid w:val="009314FC"/>
    <w:rsid w:val="009D2047"/>
    <w:rsid w:val="009F237A"/>
    <w:rsid w:val="009F295D"/>
    <w:rsid w:val="00A000FF"/>
    <w:rsid w:val="00A14AFA"/>
    <w:rsid w:val="00B24EC5"/>
    <w:rsid w:val="00B50A3E"/>
    <w:rsid w:val="00B66C0F"/>
    <w:rsid w:val="00B978A1"/>
    <w:rsid w:val="00BA0323"/>
    <w:rsid w:val="00BD3488"/>
    <w:rsid w:val="00C43D7C"/>
    <w:rsid w:val="00C647CF"/>
    <w:rsid w:val="00C82D7C"/>
    <w:rsid w:val="00C92933"/>
    <w:rsid w:val="00CD6844"/>
    <w:rsid w:val="00CE7D01"/>
    <w:rsid w:val="00CF5918"/>
    <w:rsid w:val="00CF728F"/>
    <w:rsid w:val="00D36883"/>
    <w:rsid w:val="00DD588D"/>
    <w:rsid w:val="00DF4698"/>
    <w:rsid w:val="00E367A9"/>
    <w:rsid w:val="00E45852"/>
    <w:rsid w:val="00EF12A0"/>
    <w:rsid w:val="00F10141"/>
    <w:rsid w:val="00FA3F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7A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67A9"/>
    <w:pPr>
      <w:spacing w:after="200" w:line="276" w:lineRule="auto"/>
      <w:ind w:left="720"/>
      <w:contextualSpacing/>
    </w:pPr>
  </w:style>
  <w:style w:type="table" w:styleId="TableGrid">
    <w:name w:val="Table Grid"/>
    <w:basedOn w:val="TableNormal"/>
    <w:uiPriority w:val="59"/>
    <w:rsid w:val="00E36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367A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367A9"/>
  </w:style>
  <w:style w:type="paragraph" w:styleId="Footer">
    <w:name w:val="footer"/>
    <w:basedOn w:val="Normal"/>
    <w:link w:val="FooterChar"/>
    <w:uiPriority w:val="99"/>
    <w:unhideWhenUsed/>
    <w:rsid w:val="00E367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7A9"/>
  </w:style>
  <w:style w:type="paragraph" w:customStyle="1" w:styleId="Default">
    <w:name w:val="Default"/>
    <w:rsid w:val="00E367A9"/>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1F34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967</Words>
  <Characters>5514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Weston Area Health Trust</Company>
  <LinksUpToDate>false</LinksUpToDate>
  <CharactersWithSpaces>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hoskins</dc:creator>
  <cp:lastModifiedBy>hoskins</cp:lastModifiedBy>
  <cp:revision>3</cp:revision>
  <cp:lastPrinted>2015-04-28T06:36:00Z</cp:lastPrinted>
  <dcterms:created xsi:type="dcterms:W3CDTF">2015-11-13T16:43:00Z</dcterms:created>
  <dcterms:modified xsi:type="dcterms:W3CDTF">2015-11-16T08:05:00Z</dcterms:modified>
</cp:coreProperties>
</file>