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8F3" w:rsidRDefault="00690916">
      <w:r>
        <w:rPr>
          <w:noProof/>
        </w:rPr>
        <w:pict>
          <v:group id="Group 2" o:spid="_x0000_s1026" style="position:absolute;margin-left:9.35pt;margin-top:-40.1pt;width:595.2pt;height:769.85pt;z-index:251658240;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p3sQA&#10;AADbAAAADwAAAGRycy9kb3ducmV2LnhtbESPT2vCQBTE70K/w/IK3ppNPUiNrhIK1Xoz8Q94e2Sf&#10;SWz2bchuY/rtXaHgcZiZ3zCL1WAa0VPnassK3qMYBHFhdc2lgsP+6+0DhPPIGhvLpOCPHKyWL6MF&#10;JtreOKM+96UIEHYJKqi8bxMpXVGRQRfZljh4F9sZ9EF2pdQd3gLcNHISx1NpsOawUGFLnxUVP/mv&#10;UZDFw3E3XW/09VS4fpbuznmWbpUavw7pHISnwT/D/+1vrWAyg8e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6d7EAAAA2wAAAA8AAAAAAAAAAAAAAAAAmAIAAGRycy9k&#10;b3ducmV2LnhtbFBLBQYAAAAABAAEAPUAAACJAwAAAAA=&#10;" path="m,l17,2863,7132,2578r,-2378l,xe" fillcolor="#90d4e5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9AMAA&#10;AADbAAAADwAAAGRycy9kb3ducmV2LnhtbERPTYvCMBC9L/gfwgje1lSLi1TTIqIgnnZVEG9DM7bV&#10;ZlKaaOv+enNY2OPjfS+z3tTiSa2rLCuYjCMQxLnVFRcKTsft5xyE88gaa8uk4EUOsnTwscRE245/&#10;6HnwhQgh7BJUUHrfJFK6vCSDbmwb4sBdbWvQB9gWUrfYhXBTy2kUfUmDFYeGEhtal5TfDw+j4HaJ&#10;kXu33seb3+8OH7PT7nq+KzUa9qsFCE+9/xf/uXdaQRzWhy/hB8j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79AMAAAADbAAAADwAAAAAAAAAAAAAAAACYAgAAZHJzL2Rvd25y&#10;ZXYueG1sUEsFBgAAAAAEAAQA9QAAAIUDAAAAAA==&#10;" path="m,569l,2930r3466,620l3466,,,569xe" fillcolor="#c7e9f2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r6MMA&#10;AADbAAAADwAAAGRycy9kb3ducmV2LnhtbESPQWvCQBSE70L/w/IKvekmWkViNiIFodemotdn9pks&#10;Zt+m2TWm/fXdQsHjMDPfMPl2tK0YqPfGsYJ0loAgrpw2XCs4fO6naxA+IGtsHZOCb/KwLZ4mOWba&#10;3fmDhjLUIkLYZ6igCaHLpPRVQxb9zHXE0bu43mKIsq+l7vEe4baV8yRZSYuG40KDHb01VF3Lm1VA&#10;u8XP17I8nc+pOR6r7jA3r4NV6uV53G1ABBrDI/zfftcKFin8fY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r6MMAAADbAAAADwAAAAAAAAAAAAAAAACYAgAAZHJzL2Rv&#10;d25yZXYueG1sUEsFBgAAAAAEAAQA9QAAAIgDAAAAAA==&#10;" path="m,l,3550,1591,2746r,-2009l,xe" fillcolor="#90d4e5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KUsUA&#10;AADbAAAADwAAAGRycy9kb3ducmV2LnhtbESPT2vCQBTE74V+h+UVvNWNBkRSV9GK/47aQnt8zT6T&#10;tNm36e5qop/eLQg9DjPzG2Yy60wtzuR8ZVnBoJ+AIM6trrhQ8P62eh6D8AFZY22ZFFzIw2z6+DDB&#10;TNuW93Q+hEJECPsMFZQhNJmUPi/JoO/bhjh6R+sMhihdIbXDNsJNLYdJMpIGK44LJTb0WlL+czgZ&#10;Bbvl14bT62C9+P4tFkvX2o+0/lSq99TNX0AE6sJ/+N7eagXpEP6+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8pSxQAAANsAAAAPAAAAAAAAAAAAAAAAAJgCAABkcnMv&#10;ZG93bnJldi54bWxQSwUGAAAAAAQABAD1AAAAigM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cl8QA&#10;AADbAAAADwAAAGRycy9kb3ducmV2LnhtbESPQWvCQBSE7wX/w/IKXkQ3tVBM6hokNKD01Ch4fWRf&#10;k6XZtyG70fjv3UKhx2FmvmG2+WQ7caXBG8cKXlYJCOLaacONgvOpXG5A+ICssXNMCu7kId/NnraY&#10;aXfjL7pWoRERwj5DBW0IfSalr1uy6FeuJ47etxsshiiHRuoBbxFuO7lOkjdp0XBcaLGnoqX6pxqt&#10;gsmErjqm69K4y+LjdCkXxed9VGr+PO3fQQSawn/4r33QCl5T+P0Sf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XJfEAAAA2wAAAA8AAAAAAAAAAAAAAAAAmAIAAGRycy9k&#10;b3ducmV2LnhtbFBLBQYAAAAABAAEAPUAAACJAw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e8sMA&#10;AADbAAAADwAAAGRycy9kb3ducmV2LnhtbESPQYvCMBSE7wv+h/AW9ramuiBSTYssip4EteD10Tzb&#10;0ualNlFrf70RFvY4zMw3zDLtTSPu1LnKsoLJOAJBnFtdcaEgO22+5yCcR9bYWCYFT3KQJqOPJcba&#10;PvhA96MvRICwi1FB6X0bS+nykgy6sW2Jg3exnUEfZFdI3eEjwE0jp1E0kwYrDgsltvRbUl4fb0bB&#10;cLb7i2yH4ec8bOr19VqvDttMqa/PfrUA4an3/+G/9k4rmE3g/SX8AJ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e8sMAAADbAAAADwAAAAAAAAAAAAAAAACYAgAAZHJzL2Rv&#10;d25yZXYueG1sUEsFBgAAAAAEAAQA9QAAAIgD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PfsMA&#10;AADbAAAADwAAAGRycy9kb3ducmV2LnhtbESPQWvCQBSE74X+h+UVvEjdVNugqatYQRA8NRW8PrLP&#10;JDT7NuxuYvz3riB4HGbmG2a5HkwjenK+tqzgY5KAIC6srrlUcPzbvc9B+ICssbFMCq7kYb16fVli&#10;pu2Ff6nPQykihH2GCqoQ2kxKX1Rk0E9sSxy9s3UGQ5SulNrhJcJNI6dJkkqDNceFClvaVlT8551R&#10;kC9w6L6STZ//0LEbn8aH6WHmlBq9DZtvEIGG8Aw/2nutIP2E+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PfsMAAADbAAAADwAAAAAAAAAAAAAAAACYAgAAZHJzL2Rv&#10;d25yZXYueG1sUEsFBgAAAAAEAAQA9QAAAIgDAAAAAA==&#10;" path="m,921l2060,r16,3851l,2981,,921xe" fillcolor="#c7e9f2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yRsQA&#10;AADbAAAADwAAAGRycy9kb3ducmV2LnhtbESPS4vCQBCE7wv+h6EFb+skIj6io8iC4klcH+CxybRJ&#10;MNMTM7Mx7q/fERY8FlX1FTVftqYUDdWusKwg7kcgiFOrC84UnI7rzwkI55E1lpZJwZMcLBedjzkm&#10;2j74m5qDz0SAsEtQQe59lUjp0pwMur6tiIN3tbVBH2SdSV3jI8BNKQdRNJIGCw4LOVb0lVN6O/wY&#10;BU25O7WjeDDdb+6X3ytNzuMhr5XqddvVDISn1r/D/+2tVjCO4fU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xskbEAAAA2wAAAA8AAAAAAAAAAAAAAAAAmAIAAGRycy9k&#10;b3ducmV2LnhtbFBLBQYAAAAABAAEAPUAAACJAwAAAAA=&#10;" path="m,l17,3835,6011,2629r,-1390l,xe" fillcolor="#90d4e5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WI8IA&#10;AADbAAAADwAAAGRycy9kb3ducmV2LnhtbESPQWvCQBSE74X+h+UJXopu2kgbo6tIQejBi2l/wCP7&#10;3A1m34bsGuO/dwuCx2FmvmHW29G1YqA+NJ4VvM8zEMS11w0bBX+/+1kBIkRkja1nUnCjANvN68sa&#10;S+2vfKShikYkCIcSFdgYu1LKUFtyGOa+I07eyfcOY5K9kbrHa4K7Vn5k2ad02HBasNjRt6X6XF2c&#10;ggLlW86ncTgXR3SHfGlstzBKTSfjbgUi0hif4Uf7Ryv4yuH/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BYjwgAAANsAAAAPAAAAAAAAAAAAAAAAAJgCAABkcnMvZG93&#10;bnJldi54bWxQSwUGAAAAAAQABAD1AAAAhwMAAAAA&#10;" path="m,1038l,2411,4102,3432,4102,,,1038xe" fillcolor="#c7e9f2 [820]" stroked="f">
                <v:fill opacity="46003f"/>
                <v:path arrowok="t" o:connecttype="custom" o:connectlocs="0,1038;0,2411;4102,3432;4102,0;0,1038" o:connectangles="0,0,0,0,0"/>
              </v:shape>
            </v:group>
            <v:rect id="Rectangle 14" o:spid="_x0000_s1038" style="position:absolute;left:1800;top:1440;width:8639;height: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yecUA&#10;AADbAAAADwAAAGRycy9kb3ducmV2LnhtbESP0WrCQBRE3wv+w3KFvpRmYy2pjVlFrIXom9EPuGZv&#10;k2j2bshuNf37bqHg4zAzZ5hsOZhWXKl3jWUFkygGQVxa3XCl4Hj4fJ6BcB5ZY2uZFPyQg+Vi9JBh&#10;qu2N93QtfCUChF2KCmrvu1RKV9Zk0EW2Iw7el+0N+iD7SuoebwFuWvkSx4k02HBYqLGjdU3lpfg2&#10;Cra7191xncvz5b35eMrfilieko1Sj+NhNQfhafD38H871wpmU/j7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DJ5xQAAANsAAAAPAAAAAAAAAAAAAAAAAJgCAABkcnMv&#10;ZG93bnJldi54bWxQSwUGAAAAAAQABAD1AAAAigMAAAAA&#10;" filled="f" stroked="f">
              <v:textbox style="mso-next-textbox:#Rectangle 14;mso-fit-shape-to-text:t">
                <w:txbxContent>
                  <w:p w:rsidR="00020FC4" w:rsidRPr="00EE4083" w:rsidRDefault="00020FC4" w:rsidP="00DF28F3">
                    <w:pPr>
                      <w:tabs>
                        <w:tab w:val="left" w:pos="2127"/>
                      </w:tabs>
                      <w:rPr>
                        <w:szCs w:val="32"/>
                      </w:rPr>
                    </w:pPr>
                  </w:p>
                </w:txbxContent>
              </v:textbox>
            </v:rect>
            <v:rect id="Rectangle 15" o:spid="_x0000_s1039" style="position:absolute;left:6494;top:11161;width:4998;height:1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qDcUA&#10;AADbAAAADwAAAGRycy9kb3ducmV2LnhtbESP0WrCQBRE3wv+w3ILfSl10yJWU9cgqULqW1M/4Jq9&#10;TVKzd0N2TeLfu0LBx2FmzjCrZDSN6KlztWUFr9MIBHFhdc2lgsPP7mUBwnlkjY1lUnAhB8l68rDC&#10;WNuBv6nPfSkChF2MCirv21hKV1Rk0E1tSxy8X9sZ9EF2pdQdDgFuGvkWRXNpsOawUGFLaUXFKT8b&#10;BV/72f6QZvLvtKw/n7P3PJLH+Vapp8dx8wHC0+jv4f92phUsZnD7En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aoNxQAAANsAAAAPAAAAAAAAAAAAAAAAAJgCAABkcnMv&#10;ZG93bnJldi54bWxQSwUGAAAAAAQABAD1AAAAigMAAAAA&#10;" filled="f" stroked="f">
              <v:textbox style="mso-next-textbox:#Rectangle 15;mso-fit-shape-to-text:t">
                <w:txbxContent>
                  <w:p w:rsidR="00020FC4" w:rsidRPr="00F16F8D" w:rsidRDefault="00020FC4" w:rsidP="004574CF">
                    <w:pPr>
                      <w:rPr>
                        <w:rFonts w:cs="Arial"/>
                        <w:color w:val="21798E" w:themeColor="accent1" w:themeShade="BF"/>
                        <w:sz w:val="88"/>
                        <w:szCs w:val="88"/>
                      </w:rPr>
                    </w:pPr>
                    <w:r>
                      <w:rPr>
                        <w:rFonts w:cs="Arial"/>
                        <w:color w:val="21798E" w:themeColor="accent1" w:themeShade="BF"/>
                        <w:sz w:val="88"/>
                        <w:szCs w:val="88"/>
                      </w:rPr>
                      <w:t>April 2015</w:t>
                    </w:r>
                  </w:p>
                </w:txbxContent>
              </v:textbox>
            </v:rect>
            <v:rect id="Rectangle 16" o:spid="_x0000_s104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9VsIA&#10;AADbAAAADwAAAGRycy9kb3ducmV2LnhtbESP3YrCMBSE7xd8h3AE79ZURZFqFFFEhV3Bnwc4Nse2&#10;2JyUJGp9e7Ow4OUwM98w03ljKvEg50vLCnrdBARxZnXJuYLzaf09BuEDssbKMil4kYf5rPU1xVTb&#10;Jx/ocQy5iBD2KSooQqhTKX1WkEHftTVx9K7WGQxRulxqh88IN5XsJ8lIGiw5LhRY07Kg7Ha8GwWD&#10;n/3e/a5u61GyOu/Yuma5uRyU6rSbxQREoCZ8wv/trVYwHsLfl/gD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r1WwgAAANsAAAAPAAAAAAAAAAAAAAAAAJgCAABkcnMvZG93&#10;bnJldi54bWxQSwUGAAAAAAQABAD1AAAAhwMAAAAA&#10;" filled="f" stroked="f">
              <v:textbox style="mso-next-textbox:#Rectangle 16">
                <w:txbxContent>
                  <w:sdt>
                    <w:sdtPr>
                      <w:rPr>
                        <w:rFonts w:eastAsia="Times New Roman" w:cs="Arial"/>
                        <w:b/>
                        <w:bCs/>
                        <w:color w:val="464646" w:themeColor="text2"/>
                        <w:sz w:val="96"/>
                        <w:szCs w:val="72"/>
                      </w:rPr>
                      <w:alias w:val="Title"/>
                      <w:id w:val="20356878"/>
                      <w:dataBinding w:prefixMappings="xmlns:ns0='http://schemas.openxmlformats.org/package/2006/metadata/core-properties' xmlns:ns1='http://purl.org/dc/elements/1.1/'" w:xpath="/ns0:coreProperties[1]/ns1:title[1]" w:storeItemID="{6C3C8BC8-F283-45AE-878A-BAB7291924A1}"/>
                      <w:text/>
                    </w:sdtPr>
                    <w:sdtContent>
                      <w:p w:rsidR="00020FC4" w:rsidRDefault="00020FC4" w:rsidP="00B56A67">
                        <w:pPr>
                          <w:spacing w:after="0"/>
                          <w:jc w:val="center"/>
                          <w:rPr>
                            <w:b/>
                            <w:bCs/>
                            <w:color w:val="464646" w:themeColor="text2"/>
                            <w:sz w:val="72"/>
                            <w:szCs w:val="72"/>
                          </w:rPr>
                        </w:pPr>
                        <w:r w:rsidRPr="00DF28F3">
                          <w:rPr>
                            <w:rFonts w:eastAsia="Times New Roman" w:cs="Arial"/>
                            <w:b/>
                            <w:bCs/>
                            <w:color w:val="464646" w:themeColor="text2"/>
                            <w:sz w:val="96"/>
                            <w:szCs w:val="72"/>
                          </w:rPr>
                          <w:t>Weston Area Health NHS Trust</w:t>
                        </w:r>
                      </w:p>
                    </w:sdtContent>
                  </w:sdt>
                  <w:sdt>
                    <w:sdtPr>
                      <w:rPr>
                        <w:rFonts w:eastAsia="Times New Roman" w:cs="Arial"/>
                        <w:b/>
                        <w:bCs/>
                        <w:color w:val="2DA2BF" w:themeColor="accent1"/>
                        <w:sz w:val="44"/>
                        <w:szCs w:val="40"/>
                      </w:rPr>
                      <w:alias w:val="Subtitle"/>
                      <w:id w:val="20356879"/>
                      <w:dataBinding w:prefixMappings="xmlns:ns0='http://schemas.openxmlformats.org/package/2006/metadata/core-properties' xmlns:ns1='http://purl.org/dc/elements/1.1/'" w:xpath="/ns0:coreProperties[1]/ns1:subject[1]" w:storeItemID="{6C3C8BC8-F283-45AE-878A-BAB7291924A1}"/>
                      <w:text/>
                    </w:sdtPr>
                    <w:sdtContent>
                      <w:p w:rsidR="00020FC4" w:rsidRDefault="00020FC4" w:rsidP="00B56A67">
                        <w:pPr>
                          <w:jc w:val="center"/>
                          <w:rPr>
                            <w:b/>
                            <w:bCs/>
                            <w:color w:val="2DA2BF" w:themeColor="accent1"/>
                            <w:sz w:val="40"/>
                            <w:szCs w:val="40"/>
                          </w:rPr>
                        </w:pPr>
                        <w:r>
                          <w:rPr>
                            <w:rFonts w:eastAsia="Times New Roman" w:cs="Arial"/>
                            <w:b/>
                            <w:bCs/>
                            <w:color w:val="2DA2BF" w:themeColor="accent1"/>
                            <w:sz w:val="44"/>
                            <w:szCs w:val="40"/>
                          </w:rPr>
                          <w:t xml:space="preserve">Integrated Performance </w:t>
                        </w:r>
                        <w:r w:rsidRPr="00DF28F3">
                          <w:rPr>
                            <w:rFonts w:eastAsia="Times New Roman" w:cs="Arial"/>
                            <w:b/>
                            <w:bCs/>
                            <w:color w:val="2DA2BF" w:themeColor="accent1"/>
                            <w:sz w:val="44"/>
                            <w:szCs w:val="40"/>
                          </w:rPr>
                          <w:t>Report</w:t>
                        </w:r>
                      </w:p>
                    </w:sdtContent>
                  </w:sdt>
                  <w:p w:rsidR="00020FC4" w:rsidRDefault="00020FC4" w:rsidP="00DF28F3">
                    <w:pPr>
                      <w:rPr>
                        <w:b/>
                        <w:bCs/>
                        <w:color w:val="808080" w:themeColor="text1" w:themeTint="7F"/>
                        <w:sz w:val="32"/>
                        <w:szCs w:val="32"/>
                      </w:rPr>
                    </w:pPr>
                  </w:p>
                  <w:p w:rsidR="00020FC4" w:rsidRDefault="00020FC4" w:rsidP="00DF28F3">
                    <w:pPr>
                      <w:rPr>
                        <w:b/>
                        <w:bCs/>
                        <w:color w:val="808080" w:themeColor="text1" w:themeTint="7F"/>
                        <w:sz w:val="32"/>
                        <w:szCs w:val="32"/>
                      </w:rPr>
                    </w:pPr>
                  </w:p>
                </w:txbxContent>
              </v:textbox>
            </v:rect>
            <w10:wrap anchorx="page" anchory="margin"/>
          </v:group>
        </w:pict>
      </w:r>
      <w:r w:rsidR="007C67AE">
        <w:t xml:space="preserve"> </w:t>
      </w:r>
    </w:p>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Default="00DF28F3" w:rsidP="00DF28F3">
      <w:pPr>
        <w:tabs>
          <w:tab w:val="left" w:pos="6072"/>
        </w:tabs>
      </w:pPr>
    </w:p>
    <w:p w:rsidR="00D1431F" w:rsidRDefault="00D1431F" w:rsidP="00E719C3">
      <w:pPr>
        <w:pStyle w:val="Heading1"/>
        <w:rPr>
          <w:sz w:val="56"/>
        </w:rPr>
      </w:pPr>
      <w:bookmarkStart w:id="0" w:name="_Toc381084844"/>
      <w:bookmarkStart w:id="1" w:name="_Toc381084845"/>
      <w:r w:rsidRPr="004D4738">
        <w:rPr>
          <w:sz w:val="56"/>
        </w:rPr>
        <w:t>Section 1 Executive Summary</w:t>
      </w:r>
      <w:bookmarkEnd w:id="0"/>
    </w:p>
    <w:p w:rsidR="006807D0" w:rsidRPr="002F2F30" w:rsidRDefault="00690916" w:rsidP="002F2F30">
      <w:r w:rsidRPr="00690916">
        <w:rPr>
          <w:rFonts w:cstheme="minorHAnsi"/>
          <w:noProof/>
          <w:color w:val="000000" w:themeColor="text1"/>
          <w:sz w:val="24"/>
          <w:szCs w:val="24"/>
        </w:rPr>
        <w:pict>
          <v:roundrect id="AutoShape 23" o:spid="_x0000_s1041" style="position:absolute;margin-left:-22.6pt;margin-top:26.45pt;width:564.85pt;height:613.5pt;z-index:-251607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" fillcolor="white [3201]" strokecolor="#79cbdf [1940]" strokeweight="1pt">
            <v:fill color2="#a6dcea [1300]" focus="100%" type="gradient"/>
            <v:shadow on="t" color="#16505e [1604]" opacity=".5" offset="1pt"/>
            <v:textbox style="mso-next-textbox:#AutoShape 23">
              <w:txbxContent>
                <w:p w:rsidR="00020FC4" w:rsidRPr="002F2F30" w:rsidRDefault="00020FC4" w:rsidP="007413C5">
                  <w:pPr>
                    <w:pStyle w:val="NoSpacing"/>
                    <w:jc w:val="both"/>
                    <w:rPr>
                      <w:rFonts w:cstheme="minorHAnsi"/>
                      <w:sz w:val="20"/>
                      <w:szCs w:val="20"/>
                    </w:rPr>
                  </w:pPr>
                  <w:r w:rsidRPr="002F2F30">
                    <w:rPr>
                      <w:rFonts w:cstheme="minorHAnsi"/>
                      <w:sz w:val="20"/>
                      <w:szCs w:val="20"/>
                    </w:rPr>
                    <w:t xml:space="preserve">Despite some challenges, at the year end we are pleased to report improved or sustained performance on a number of clinical &amp; performance indicators.  </w:t>
                  </w:r>
                </w:p>
                <w:p w:rsidR="00020FC4" w:rsidRPr="002F2F30" w:rsidRDefault="00020FC4" w:rsidP="007413C5">
                  <w:pPr>
                    <w:pStyle w:val="NoSpacing"/>
                    <w:jc w:val="both"/>
                    <w:rPr>
                      <w:rFonts w:cstheme="minorHAnsi"/>
                      <w:sz w:val="20"/>
                      <w:szCs w:val="20"/>
                    </w:rPr>
                  </w:pPr>
                </w:p>
                <w:p w:rsidR="00020FC4" w:rsidRPr="002F2F30" w:rsidRDefault="00020FC4" w:rsidP="007413C5">
                  <w:pPr>
                    <w:pStyle w:val="NoSpacing"/>
                    <w:jc w:val="both"/>
                    <w:rPr>
                      <w:rFonts w:cstheme="minorHAnsi"/>
                      <w:sz w:val="20"/>
                      <w:szCs w:val="20"/>
                    </w:rPr>
                  </w:pPr>
                  <w:r w:rsidRPr="002F2F30">
                    <w:rPr>
                      <w:rFonts w:cstheme="minorHAnsi"/>
                      <w:sz w:val="20"/>
                      <w:szCs w:val="20"/>
                    </w:rPr>
                    <w:t xml:space="preserve">Overall mortality rates (measured by the Summary Hospital-level Mortality Indicator (SHMI) have fallen from 83 in April 2014 to 66 in March 2015; and a Trust-wide initiative by the Trust Medical Director has driven consistent compliance throughout the year for assessment of patients for </w:t>
                  </w:r>
                  <w:r w:rsidRPr="002F2F30">
                    <w:rPr>
                      <w:rStyle w:val="Strong"/>
                      <w:rFonts w:cstheme="minorHAnsi"/>
                      <w:b w:val="0"/>
                      <w:sz w:val="20"/>
                      <w:szCs w:val="20"/>
                    </w:rPr>
                    <w:t>venous thromboembolism</w:t>
                  </w:r>
                  <w:r w:rsidRPr="002F2F30">
                    <w:rPr>
                      <w:rFonts w:cstheme="minorHAnsi"/>
                      <w:sz w:val="20"/>
                      <w:szCs w:val="20"/>
                    </w:rPr>
                    <w:t xml:space="preserve"> (VTE) where achievement against the 95% has been consistent.</w:t>
                  </w:r>
                </w:p>
                <w:p w:rsidR="00020FC4" w:rsidRPr="002F2F30" w:rsidRDefault="00020FC4" w:rsidP="007413C5">
                  <w:pPr>
                    <w:pStyle w:val="NoSpacing"/>
                    <w:jc w:val="both"/>
                    <w:rPr>
                      <w:rFonts w:cstheme="minorHAnsi"/>
                      <w:sz w:val="20"/>
                      <w:szCs w:val="20"/>
                    </w:rPr>
                  </w:pPr>
                </w:p>
                <w:p w:rsidR="00020FC4" w:rsidRPr="002F2F30" w:rsidRDefault="00020FC4" w:rsidP="007413C5">
                  <w:pPr>
                    <w:pStyle w:val="NoSpacing"/>
                    <w:jc w:val="both"/>
                    <w:rPr>
                      <w:rFonts w:cstheme="minorHAnsi"/>
                      <w:sz w:val="20"/>
                      <w:szCs w:val="20"/>
                    </w:rPr>
                  </w:pPr>
                  <w:r w:rsidRPr="002F2F30">
                    <w:rPr>
                      <w:rFonts w:cstheme="minorHAnsi"/>
                      <w:sz w:val="20"/>
                      <w:szCs w:val="20"/>
                    </w:rPr>
                    <w:t>The Referral to Treatment 18 week target was achieved in line with our trajectory, for 2014/15 this included a planned failure of the target to ensure a backlog of patients were treated in priority order, the recovered position was maintained from September as was planned.</w:t>
                  </w:r>
                </w:p>
                <w:p w:rsidR="00020FC4" w:rsidRPr="002F2F30" w:rsidRDefault="00020FC4" w:rsidP="007413C5">
                  <w:pPr>
                    <w:pStyle w:val="NoSpacing"/>
                    <w:jc w:val="both"/>
                    <w:rPr>
                      <w:rFonts w:cstheme="minorHAnsi"/>
                      <w:sz w:val="20"/>
                      <w:szCs w:val="20"/>
                    </w:rPr>
                  </w:pPr>
                </w:p>
                <w:p w:rsidR="00020FC4" w:rsidRPr="002F2F30" w:rsidRDefault="00020FC4" w:rsidP="007413C5">
                  <w:pPr>
                    <w:pStyle w:val="NoSpacing"/>
                    <w:jc w:val="both"/>
                    <w:rPr>
                      <w:rFonts w:cstheme="minorHAnsi"/>
                      <w:sz w:val="20"/>
                      <w:szCs w:val="20"/>
                    </w:rPr>
                  </w:pPr>
                  <w:r w:rsidRPr="002F2F30">
                    <w:rPr>
                      <w:rFonts w:cstheme="minorHAnsi"/>
                      <w:sz w:val="20"/>
                      <w:szCs w:val="20"/>
                    </w:rPr>
                    <w:t xml:space="preserve">Cancer performance has remained consistent with delivery of the two week waiting time standard throughout the year. </w:t>
                  </w:r>
                </w:p>
                <w:p w:rsidR="00020FC4" w:rsidRPr="002F2F30" w:rsidRDefault="00020FC4" w:rsidP="007413C5">
                  <w:pPr>
                    <w:pStyle w:val="NoSpacing"/>
                    <w:jc w:val="both"/>
                    <w:rPr>
                      <w:rFonts w:cstheme="minorHAnsi"/>
                      <w:sz w:val="20"/>
                      <w:szCs w:val="20"/>
                    </w:rPr>
                  </w:pPr>
                </w:p>
                <w:p w:rsidR="00020FC4" w:rsidRPr="002F2F30" w:rsidRDefault="00020FC4" w:rsidP="007413C5">
                  <w:pPr>
                    <w:pStyle w:val="NoSpacing"/>
                    <w:jc w:val="both"/>
                    <w:rPr>
                      <w:rFonts w:cstheme="minorHAnsi"/>
                      <w:sz w:val="20"/>
                      <w:szCs w:val="20"/>
                    </w:rPr>
                  </w:pPr>
                  <w:r w:rsidRPr="002F2F30">
                    <w:rPr>
                      <w:rFonts w:cstheme="minorHAnsi"/>
                      <w:sz w:val="20"/>
                      <w:szCs w:val="20"/>
                    </w:rPr>
                    <w:t xml:space="preserve">Patient flow has remained a challenge since the summer 2014 with the Trust having failed to achieve the Emergency Department four hour performance standard for the ninth month in succession at the end of March 2015.  This has been in the main due to prolonged periods of norovirus affecting inpatient wards from September through until March coupled with high numbers of patients awaiting care in alternative care or social settings.  The Trust continues to work closely with partners across the health community and in social care to ensure all patients requiring either social placement or continuing healthcare are discharged in a timely way.  </w:t>
                  </w:r>
                </w:p>
                <w:p w:rsidR="00020FC4" w:rsidRPr="002F2F30" w:rsidRDefault="00020FC4" w:rsidP="007413C5">
                  <w:pPr>
                    <w:pStyle w:val="NoSpacing"/>
                    <w:jc w:val="both"/>
                    <w:rPr>
                      <w:rFonts w:cstheme="minorHAnsi"/>
                      <w:sz w:val="20"/>
                      <w:szCs w:val="20"/>
                    </w:rPr>
                  </w:pPr>
                </w:p>
                <w:p w:rsidR="00020FC4" w:rsidRPr="002F2F30" w:rsidRDefault="00020FC4" w:rsidP="00B91C2A">
                  <w:pPr>
                    <w:rPr>
                      <w:rFonts w:cstheme="minorHAnsi"/>
                      <w:color w:val="000000" w:themeColor="text1"/>
                      <w:sz w:val="20"/>
                      <w:szCs w:val="20"/>
                    </w:rPr>
                  </w:pPr>
                  <w:r w:rsidRPr="002F2F30">
                    <w:rPr>
                      <w:rFonts w:cstheme="minorHAnsi"/>
                      <w:color w:val="000000" w:themeColor="text1"/>
                      <w:sz w:val="20"/>
                      <w:szCs w:val="20"/>
                    </w:rPr>
                    <w:t>Financially, the Trust has overachieved on its original plan which outlined a projected £4.95m deficit; this has been improved in year with the actual confirmed as an £3.902m deficit, an improvement of £1.048m on the Plan.</w:t>
                  </w:r>
                </w:p>
                <w:p w:rsidR="00020FC4" w:rsidRPr="002F2F30" w:rsidRDefault="00020FC4" w:rsidP="00B91C2A">
                  <w:pPr>
                    <w:rPr>
                      <w:rFonts w:cstheme="minorHAnsi"/>
                      <w:color w:val="000000" w:themeColor="text1"/>
                      <w:sz w:val="20"/>
                      <w:szCs w:val="20"/>
                    </w:rPr>
                  </w:pPr>
                  <w:r w:rsidRPr="002F2F30">
                    <w:rPr>
                      <w:rFonts w:cstheme="minorHAnsi"/>
                      <w:color w:val="000000" w:themeColor="text1"/>
                      <w:sz w:val="20"/>
                      <w:szCs w:val="20"/>
                    </w:rPr>
                    <w:t xml:space="preserve">Focus on efficiency plans throughout the year have resulted in the Trust Savings Plan of £4.5m for the year being delivered, achieving £4.504m.  </w:t>
                  </w:r>
                </w:p>
                <w:p w:rsidR="00020FC4" w:rsidRPr="002F2F30" w:rsidRDefault="00020FC4" w:rsidP="00B91C2A">
                  <w:pPr>
                    <w:rPr>
                      <w:rFonts w:cstheme="minorHAnsi"/>
                      <w:color w:val="000000" w:themeColor="text1"/>
                      <w:sz w:val="20"/>
                      <w:szCs w:val="20"/>
                    </w:rPr>
                  </w:pPr>
                  <w:r w:rsidRPr="002F2F30">
                    <w:rPr>
                      <w:rFonts w:cstheme="minorHAnsi"/>
                      <w:color w:val="000000" w:themeColor="text1"/>
                      <w:sz w:val="20"/>
                      <w:szCs w:val="20"/>
                    </w:rPr>
                    <w:t>The Trust also achieved the Better Payment Practice Code meeting 96.7% for the year against a target of 95%.</w:t>
                  </w:r>
                </w:p>
                <w:p w:rsidR="00020FC4" w:rsidRDefault="00020FC4" w:rsidP="004D30D8">
                  <w:pPr>
                    <w:rPr>
                      <w:rFonts w:ascii="Arial" w:eastAsia="Times New Roman" w:hAnsi="Arial" w:cs="Arial"/>
                      <w:color w:val="202020"/>
                      <w:sz w:val="24"/>
                      <w:szCs w:val="24"/>
                    </w:rPr>
                  </w:pPr>
                </w:p>
                <w:p w:rsidR="00020FC4" w:rsidRDefault="00020FC4" w:rsidP="004D30D8">
                  <w:pPr>
                    <w:rPr>
                      <w:rFonts w:ascii="Arial" w:eastAsia="Times New Roman" w:hAnsi="Arial" w:cs="Arial"/>
                      <w:color w:val="202020"/>
                      <w:sz w:val="24"/>
                      <w:szCs w:val="24"/>
                    </w:rPr>
                  </w:pPr>
                </w:p>
                <w:p w:rsidR="00020FC4" w:rsidRPr="004D30D8" w:rsidRDefault="00020FC4" w:rsidP="004D30D8">
                  <w:pPr>
                    <w:rPr>
                      <w:rFonts w:ascii="Arial" w:eastAsia="Times New Roman" w:hAnsi="Arial" w:cs="Arial"/>
                      <w:color w:val="202020"/>
                      <w:sz w:val="24"/>
                      <w:szCs w:val="24"/>
                    </w:rPr>
                  </w:pPr>
                </w:p>
                <w:p w:rsidR="00020FC4" w:rsidRPr="00406C6A" w:rsidRDefault="00020FC4" w:rsidP="00FC0089">
                  <w:pPr>
                    <w:jc w:val="center"/>
                    <w:rPr>
                      <w:b/>
                    </w:rPr>
                  </w:pPr>
                </w:p>
                <w:p w:rsidR="00020FC4" w:rsidRPr="007712AA" w:rsidRDefault="00020FC4" w:rsidP="007712AA">
                  <w:pPr>
                    <w:pStyle w:val="NoSpacing"/>
                    <w:rPr>
                      <w:sz w:val="22"/>
                      <w:szCs w:val="22"/>
                    </w:rPr>
                  </w:pPr>
                </w:p>
                <w:p w:rsidR="00020FC4" w:rsidRDefault="00020FC4" w:rsidP="007712AA">
                  <w:pPr>
                    <w:ind w:firstLine="720"/>
                  </w:pPr>
                </w:p>
              </w:txbxContent>
            </v:textbox>
          </v:roundrect>
        </w:pict>
      </w:r>
      <w:r w:rsidR="00AD2858">
        <w:t>Executive Lead – Mr Nick Wood</w:t>
      </w:r>
    </w:p>
    <w:p w:rsidR="00DE794B" w:rsidRDefault="00DE794B" w:rsidP="0059504E">
      <w:pPr>
        <w:autoSpaceDE w:val="0"/>
        <w:autoSpaceDN w:val="0"/>
        <w:adjustRightInd w:val="0"/>
        <w:spacing w:after="0" w:line="240" w:lineRule="auto"/>
        <w:rPr>
          <w:rFonts w:cstheme="minorHAnsi"/>
          <w:color w:val="000000" w:themeColor="text1"/>
          <w:sz w:val="24"/>
          <w:szCs w:val="24"/>
        </w:rPr>
      </w:pPr>
    </w:p>
    <w:p w:rsidR="00084E0D" w:rsidRDefault="00084E0D" w:rsidP="0059504E">
      <w:pPr>
        <w:autoSpaceDE w:val="0"/>
        <w:autoSpaceDN w:val="0"/>
        <w:adjustRightInd w:val="0"/>
        <w:spacing w:after="0" w:line="240" w:lineRule="auto"/>
        <w:rPr>
          <w:rFonts w:cstheme="minorHAnsi"/>
          <w:color w:val="000000" w:themeColor="text1"/>
          <w:sz w:val="24"/>
          <w:szCs w:val="24"/>
        </w:rPr>
      </w:pPr>
    </w:p>
    <w:p w:rsidR="00084E0D" w:rsidRDefault="00084E0D" w:rsidP="0059504E">
      <w:pPr>
        <w:autoSpaceDE w:val="0"/>
        <w:autoSpaceDN w:val="0"/>
        <w:adjustRightInd w:val="0"/>
        <w:spacing w:after="0" w:line="240" w:lineRule="auto"/>
        <w:rPr>
          <w:rFonts w:cstheme="minorHAnsi"/>
          <w:color w:val="000000" w:themeColor="text1"/>
          <w:sz w:val="24"/>
          <w:szCs w:val="24"/>
        </w:rPr>
      </w:pPr>
    </w:p>
    <w:p w:rsidR="00084E0D" w:rsidRDefault="00084E0D" w:rsidP="0059504E">
      <w:pPr>
        <w:autoSpaceDE w:val="0"/>
        <w:autoSpaceDN w:val="0"/>
        <w:adjustRightInd w:val="0"/>
        <w:spacing w:after="0" w:line="240" w:lineRule="auto"/>
        <w:rPr>
          <w:rFonts w:cstheme="minorHAnsi"/>
          <w:color w:val="000000" w:themeColor="text1"/>
          <w:sz w:val="24"/>
          <w:szCs w:val="24"/>
        </w:rPr>
      </w:pPr>
    </w:p>
    <w:p w:rsidR="006807D0" w:rsidRDefault="006807D0" w:rsidP="0059504E">
      <w:pPr>
        <w:autoSpaceDE w:val="0"/>
        <w:autoSpaceDN w:val="0"/>
        <w:adjustRightInd w:val="0"/>
        <w:spacing w:after="0" w:line="240" w:lineRule="auto"/>
        <w:rPr>
          <w:rFonts w:cstheme="minorHAnsi"/>
          <w:color w:val="000000" w:themeColor="text1"/>
          <w:sz w:val="24"/>
          <w:szCs w:val="24"/>
        </w:rPr>
      </w:pPr>
    </w:p>
    <w:p w:rsidR="00020FB5" w:rsidRPr="00020FB5" w:rsidRDefault="00020FB5" w:rsidP="00020FB5">
      <w:pPr>
        <w:pStyle w:val="NoSpacing"/>
        <w:jc w:val="both"/>
      </w:pPr>
    </w:p>
    <w:p w:rsidR="00020FB5" w:rsidRPr="00020FB5" w:rsidRDefault="00020FB5" w:rsidP="00020FB5">
      <w:pPr>
        <w:pStyle w:val="NoSpacing"/>
        <w:jc w:val="both"/>
      </w:pPr>
    </w:p>
    <w:p w:rsidR="00020FB5" w:rsidRPr="00020FB5" w:rsidRDefault="00020FB5" w:rsidP="007712AA">
      <w:pPr>
        <w:pStyle w:val="NoSpacing"/>
        <w:tabs>
          <w:tab w:val="left" w:pos="1139"/>
        </w:tabs>
        <w:jc w:val="both"/>
      </w:pPr>
    </w:p>
    <w:p w:rsidR="007712AA" w:rsidRDefault="007712AA" w:rsidP="00020FB5">
      <w:pPr>
        <w:pStyle w:val="NoSpacing"/>
      </w:pPr>
    </w:p>
    <w:p w:rsidR="007712AA" w:rsidRPr="00020FB5" w:rsidRDefault="007712AA" w:rsidP="00020FB5">
      <w:pPr>
        <w:pStyle w:val="NoSpacing"/>
      </w:pPr>
    </w:p>
    <w:p w:rsidR="002B47C5" w:rsidRPr="00020FB5" w:rsidRDefault="002B47C5">
      <w:pPr>
        <w:rPr>
          <w:rFonts w:asciiTheme="majorHAnsi" w:eastAsiaTheme="majorEastAsia" w:hAnsiTheme="majorHAnsi" w:cstheme="majorBidi"/>
          <w:b/>
          <w:bCs/>
          <w:color w:val="21798E" w:themeColor="accent1" w:themeShade="BF"/>
          <w:sz w:val="24"/>
          <w:szCs w:val="24"/>
        </w:rPr>
      </w:pPr>
      <w:r w:rsidRPr="00020FB5">
        <w:rPr>
          <w:sz w:val="24"/>
          <w:szCs w:val="24"/>
        </w:rPr>
        <w:br w:type="page"/>
      </w:r>
    </w:p>
    <w:p w:rsidR="00BC46F0" w:rsidRPr="003E6E40" w:rsidRDefault="00AD3959" w:rsidP="003E6E40">
      <w:pPr>
        <w:pStyle w:val="Heading1"/>
        <w:numPr>
          <w:ilvl w:val="0"/>
          <w:numId w:val="7"/>
        </w:numPr>
      </w:pPr>
      <w:r w:rsidRPr="00F5473A">
        <w:t>Monitor Scorecard</w:t>
      </w:r>
      <w:bookmarkEnd w:id="1"/>
    </w:p>
    <w:p w:rsidR="00BC46F0" w:rsidRPr="00776DFD" w:rsidRDefault="0090095D" w:rsidP="00776DFD">
      <w:pPr>
        <w:jc w:val="center"/>
        <w:rPr>
          <w:noProof/>
          <w:highlight w:val="yellow"/>
        </w:rPr>
      </w:pPr>
      <w:r w:rsidRPr="0090095D">
        <w:rPr>
          <w:noProof/>
        </w:rPr>
        <w:drawing>
          <wp:inline distT="0" distB="0" distL="0" distR="0">
            <wp:extent cx="6645910" cy="5834333"/>
            <wp:effectExtent l="19050" t="0" r="254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6645910" cy="5834333"/>
                    </a:xfrm>
                    <a:prstGeom prst="rect">
                      <a:avLst/>
                    </a:prstGeom>
                    <a:noFill/>
                    <a:ln w="9525">
                      <a:noFill/>
                      <a:miter lim="800000"/>
                      <a:headEnd/>
                      <a:tailEnd/>
                    </a:ln>
                  </pic:spPr>
                </pic:pic>
              </a:graphicData>
            </a:graphic>
          </wp:inline>
        </w:drawing>
      </w:r>
      <w:r w:rsidR="003E6E40" w:rsidRPr="003E6E40">
        <w:rPr>
          <w:noProof/>
        </w:rPr>
        <w:drawing>
          <wp:inline distT="0" distB="0" distL="0" distR="0">
            <wp:extent cx="2705100" cy="1783798"/>
            <wp:effectExtent l="19050" t="0" r="0" b="0"/>
            <wp:docPr id="8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a:stretch>
                      <a:fillRect/>
                    </a:stretch>
                  </pic:blipFill>
                  <pic:spPr bwMode="auto">
                    <a:xfrm>
                      <a:off x="0" y="0"/>
                      <a:ext cx="2705100" cy="1783798"/>
                    </a:xfrm>
                    <a:prstGeom prst="rect">
                      <a:avLst/>
                    </a:prstGeom>
                    <a:noFill/>
                    <a:ln w="9525">
                      <a:noFill/>
                      <a:miter lim="800000"/>
                      <a:headEnd/>
                      <a:tailEnd/>
                    </a:ln>
                  </pic:spPr>
                </pic:pic>
              </a:graphicData>
            </a:graphic>
          </wp:inline>
        </w:drawing>
      </w:r>
      <w:r w:rsidR="00776DFD" w:rsidRPr="00776DFD">
        <w:rPr>
          <w:noProof/>
          <w:highlight w:val="yellow"/>
        </w:rPr>
        <w:t xml:space="preserve"> </w:t>
      </w:r>
      <w:r w:rsidR="003E6E40" w:rsidRPr="003E6E40">
        <w:rPr>
          <w:szCs w:val="20"/>
          <w:highlight w:val="yellow"/>
        </w:rPr>
        <w:t xml:space="preserve"> </w:t>
      </w:r>
      <w:r w:rsidR="00BC46F0" w:rsidRPr="005078C9">
        <w:rPr>
          <w:i/>
          <w:noProof/>
          <w:sz w:val="20"/>
          <w:szCs w:val="20"/>
          <w:highlight w:val="yellow"/>
        </w:rPr>
        <w:br w:type="page"/>
      </w:r>
    </w:p>
    <w:p w:rsidR="00BC46F0" w:rsidRPr="002B47C5" w:rsidRDefault="00BC46F0" w:rsidP="004B67E7">
      <w:pPr>
        <w:pStyle w:val="ListParagraph"/>
        <w:numPr>
          <w:ilvl w:val="1"/>
          <w:numId w:val="2"/>
        </w:numPr>
        <w:rPr>
          <w:rStyle w:val="Heading2Char"/>
          <w:highlight w:val="yellow"/>
        </w:rPr>
        <w:sectPr w:rsidR="00BC46F0" w:rsidRPr="002B47C5" w:rsidSect="00BC46F0">
          <w:headerReference w:type="default" r:id="rId10"/>
          <w:footerReference w:type="default" r:id="rId11"/>
          <w:footerReference w:type="first" r:id="rId12"/>
          <w:pgSz w:w="11906" w:h="16838"/>
          <w:pgMar w:top="720" w:right="720" w:bottom="720" w:left="720" w:header="708" w:footer="708" w:gutter="0"/>
          <w:cols w:space="708"/>
          <w:docGrid w:linePitch="360"/>
        </w:sectPr>
      </w:pPr>
      <w:bookmarkStart w:id="2" w:name="_Toc381084846"/>
    </w:p>
    <w:p w:rsidR="00852390" w:rsidRPr="00852390" w:rsidRDefault="00A77EA2" w:rsidP="00852390">
      <w:pPr>
        <w:pStyle w:val="ListParagraph"/>
        <w:numPr>
          <w:ilvl w:val="1"/>
          <w:numId w:val="2"/>
        </w:numPr>
        <w:rPr>
          <w:rStyle w:val="Heading2Char"/>
        </w:rPr>
      </w:pPr>
      <w:r w:rsidRPr="00497711">
        <w:rPr>
          <w:rStyle w:val="Heading2Char"/>
        </w:rPr>
        <w:t>Summary Scorecard</w:t>
      </w:r>
      <w:bookmarkEnd w:id="2"/>
      <w:r w:rsidR="004F5DCA" w:rsidRPr="004F5DCA">
        <w:rPr>
          <w:rStyle w:val="Heading2Char"/>
          <w:b w:val="0"/>
          <w:bCs w:val="0"/>
        </w:rPr>
        <w:t xml:space="preserve"> </w:t>
      </w:r>
    </w:p>
    <w:p w:rsidR="00852390" w:rsidRDefault="00252FE3" w:rsidP="00852390">
      <w:pPr>
        <w:rPr>
          <w:rStyle w:val="Heading2Char"/>
        </w:rPr>
      </w:pPr>
      <w:r w:rsidRPr="00252FE3">
        <w:rPr>
          <w:noProof/>
          <w:szCs w:val="26"/>
        </w:rPr>
        <w:drawing>
          <wp:inline distT="0" distB="0" distL="0" distR="0">
            <wp:extent cx="9777730" cy="463155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9777730" cy="4631556"/>
                    </a:xfrm>
                    <a:prstGeom prst="rect">
                      <a:avLst/>
                    </a:prstGeom>
                    <a:noFill/>
                    <a:ln w="9525">
                      <a:noFill/>
                      <a:miter lim="800000"/>
                      <a:headEnd/>
                      <a:tailEnd/>
                    </a:ln>
                  </pic:spPr>
                </pic:pic>
              </a:graphicData>
            </a:graphic>
          </wp:inline>
        </w:drawing>
      </w:r>
    </w:p>
    <w:p w:rsidR="00D44110" w:rsidRDefault="00D44110" w:rsidP="00852390">
      <w:pPr>
        <w:rPr>
          <w:rStyle w:val="Heading2Char"/>
        </w:rPr>
      </w:pPr>
    </w:p>
    <w:p w:rsidR="00D44110" w:rsidRDefault="009C308B" w:rsidP="009C308B">
      <w:pPr>
        <w:pStyle w:val="ListParagraph"/>
        <w:numPr>
          <w:ilvl w:val="0"/>
          <w:numId w:val="23"/>
        </w:numPr>
        <w:rPr>
          <w:rStyle w:val="Heading2Char"/>
          <w:sz w:val="20"/>
          <w:szCs w:val="20"/>
        </w:rPr>
      </w:pPr>
      <w:r w:rsidRPr="009C308B">
        <w:rPr>
          <w:rStyle w:val="Heading2Char"/>
          <w:sz w:val="20"/>
          <w:szCs w:val="20"/>
        </w:rPr>
        <w:t>Data Reported in arrears</w:t>
      </w:r>
    </w:p>
    <w:p w:rsidR="005A1610" w:rsidRDefault="005A1610" w:rsidP="005A1610">
      <w:pPr>
        <w:pStyle w:val="ListParagraph"/>
        <w:rPr>
          <w:rStyle w:val="Heading2Char"/>
          <w:sz w:val="20"/>
          <w:szCs w:val="20"/>
        </w:rPr>
      </w:pPr>
    </w:p>
    <w:p w:rsidR="005A1610" w:rsidRDefault="00252FE3" w:rsidP="005A1610">
      <w:pPr>
        <w:pStyle w:val="ListParagraph"/>
        <w:rPr>
          <w:rStyle w:val="Heading2Char"/>
          <w:sz w:val="20"/>
          <w:szCs w:val="20"/>
        </w:rPr>
      </w:pPr>
      <w:r w:rsidRPr="00252FE3">
        <w:rPr>
          <w:noProof/>
          <w:szCs w:val="20"/>
        </w:rPr>
        <w:drawing>
          <wp:inline distT="0" distB="0" distL="0" distR="0">
            <wp:extent cx="9296400" cy="55816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9292175" cy="5579113"/>
                    </a:xfrm>
                    <a:prstGeom prst="rect">
                      <a:avLst/>
                    </a:prstGeom>
                    <a:noFill/>
                    <a:ln w="9525">
                      <a:noFill/>
                      <a:miter lim="800000"/>
                      <a:headEnd/>
                      <a:tailEnd/>
                    </a:ln>
                  </pic:spPr>
                </pic:pic>
              </a:graphicData>
            </a:graphic>
          </wp:inline>
        </w:drawing>
      </w:r>
    </w:p>
    <w:p w:rsidR="00EF5EB4" w:rsidRDefault="00EF5EB4" w:rsidP="005A1610">
      <w:pPr>
        <w:pStyle w:val="ListParagraph"/>
        <w:rPr>
          <w:rStyle w:val="Heading2Char"/>
          <w:sz w:val="20"/>
          <w:szCs w:val="20"/>
        </w:rPr>
      </w:pPr>
    </w:p>
    <w:p w:rsidR="00EF5EB4" w:rsidRDefault="00EF5EB4" w:rsidP="005A1610">
      <w:pPr>
        <w:pStyle w:val="ListParagraph"/>
        <w:rPr>
          <w:rStyle w:val="Heading2Char"/>
          <w:sz w:val="20"/>
          <w:szCs w:val="20"/>
        </w:rPr>
      </w:pPr>
    </w:p>
    <w:p w:rsidR="00EF5EB4" w:rsidRDefault="006B0A5B" w:rsidP="005A1610">
      <w:pPr>
        <w:pStyle w:val="ListParagraph"/>
        <w:rPr>
          <w:rStyle w:val="Heading2Char"/>
          <w:sz w:val="20"/>
          <w:szCs w:val="20"/>
        </w:rPr>
      </w:pPr>
      <w:r w:rsidRPr="006B0A5B">
        <w:rPr>
          <w:noProof/>
          <w:szCs w:val="20"/>
        </w:rPr>
        <w:drawing>
          <wp:inline distT="0" distB="0" distL="0" distR="0">
            <wp:extent cx="9782175" cy="5248275"/>
            <wp:effectExtent l="19050" t="0" r="952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9777730" cy="5245890"/>
                    </a:xfrm>
                    <a:prstGeom prst="rect">
                      <a:avLst/>
                    </a:prstGeom>
                    <a:noFill/>
                    <a:ln w="9525">
                      <a:noFill/>
                      <a:miter lim="800000"/>
                      <a:headEnd/>
                      <a:tailEnd/>
                    </a:ln>
                  </pic:spPr>
                </pic:pic>
              </a:graphicData>
            </a:graphic>
          </wp:inline>
        </w:drawing>
      </w:r>
    </w:p>
    <w:p w:rsidR="00EF5EB4" w:rsidRDefault="00EF5EB4" w:rsidP="005A1610">
      <w:pPr>
        <w:pStyle w:val="ListParagraph"/>
        <w:rPr>
          <w:rStyle w:val="Heading2Char"/>
          <w:sz w:val="20"/>
          <w:szCs w:val="20"/>
        </w:rPr>
      </w:pPr>
    </w:p>
    <w:p w:rsidR="00EF5EB4" w:rsidRPr="00020FC4" w:rsidRDefault="005F6C36" w:rsidP="005A1610">
      <w:pPr>
        <w:pStyle w:val="ListParagraph"/>
        <w:rPr>
          <w:rStyle w:val="Heading2Char"/>
          <w:i/>
          <w:color w:val="000000" w:themeColor="text1"/>
          <w:sz w:val="20"/>
          <w:szCs w:val="20"/>
        </w:rPr>
      </w:pPr>
      <w:r>
        <w:rPr>
          <w:rStyle w:val="Heading2Char"/>
          <w:i/>
          <w:color w:val="000000" w:themeColor="text1"/>
          <w:sz w:val="20"/>
          <w:szCs w:val="20"/>
        </w:rPr>
        <w:t>*</w:t>
      </w:r>
      <w:r w:rsidR="00020FC4" w:rsidRPr="00020FC4">
        <w:rPr>
          <w:rStyle w:val="Heading2Char"/>
          <w:i/>
          <w:color w:val="000000" w:themeColor="text1"/>
          <w:sz w:val="20"/>
          <w:szCs w:val="20"/>
        </w:rPr>
        <w:t xml:space="preserve">Cancer figures updated following </w:t>
      </w:r>
      <w:r>
        <w:rPr>
          <w:rStyle w:val="Heading2Char"/>
          <w:i/>
          <w:color w:val="000000" w:themeColor="text1"/>
          <w:sz w:val="20"/>
          <w:szCs w:val="20"/>
        </w:rPr>
        <w:t>final validation &amp; uploads to Open Exeter</w:t>
      </w:r>
      <w:r w:rsidR="00020FC4" w:rsidRPr="00020FC4">
        <w:rPr>
          <w:rStyle w:val="Heading2Char"/>
          <w:i/>
          <w:color w:val="000000" w:themeColor="text1"/>
          <w:sz w:val="20"/>
          <w:szCs w:val="20"/>
        </w:rPr>
        <w:t>, they will be reported one month in arrears from April 2015.</w:t>
      </w:r>
    </w:p>
    <w:p w:rsidR="00EF5EB4" w:rsidRDefault="00EF5EB4" w:rsidP="005A1610">
      <w:pPr>
        <w:pStyle w:val="ListParagraph"/>
        <w:rPr>
          <w:rStyle w:val="Heading2Char"/>
          <w:sz w:val="20"/>
          <w:szCs w:val="20"/>
        </w:rPr>
      </w:pPr>
      <w:r w:rsidRPr="00EF5EB4">
        <w:rPr>
          <w:noProof/>
          <w:szCs w:val="20"/>
        </w:rPr>
        <w:drawing>
          <wp:inline distT="0" distB="0" distL="0" distR="0">
            <wp:extent cx="9267825" cy="54673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9275873" cy="5472098"/>
                    </a:xfrm>
                    <a:prstGeom prst="rect">
                      <a:avLst/>
                    </a:prstGeom>
                    <a:noFill/>
                    <a:ln w="9525">
                      <a:noFill/>
                      <a:miter lim="800000"/>
                      <a:headEnd/>
                      <a:tailEnd/>
                    </a:ln>
                  </pic:spPr>
                </pic:pic>
              </a:graphicData>
            </a:graphic>
          </wp:inline>
        </w:drawing>
      </w:r>
    </w:p>
    <w:p w:rsidR="004D4597" w:rsidRDefault="004D4597" w:rsidP="005A1610">
      <w:pPr>
        <w:pStyle w:val="ListParagraph"/>
        <w:rPr>
          <w:rStyle w:val="Heading2Char"/>
          <w:sz w:val="20"/>
          <w:szCs w:val="20"/>
        </w:rPr>
      </w:pPr>
    </w:p>
    <w:p w:rsidR="004D4597" w:rsidRDefault="004D4597" w:rsidP="005A1610">
      <w:pPr>
        <w:pStyle w:val="ListParagraph"/>
        <w:rPr>
          <w:rStyle w:val="Heading2Char"/>
          <w:sz w:val="20"/>
          <w:szCs w:val="20"/>
        </w:rPr>
      </w:pPr>
    </w:p>
    <w:p w:rsidR="00EF5EB4" w:rsidRDefault="00EF5EB4" w:rsidP="005A1610">
      <w:pPr>
        <w:pStyle w:val="ListParagraph"/>
        <w:rPr>
          <w:rStyle w:val="Heading2Char"/>
          <w:sz w:val="20"/>
          <w:szCs w:val="20"/>
        </w:rPr>
      </w:pPr>
    </w:p>
    <w:p w:rsidR="00EF5EB4" w:rsidRDefault="00EF5EB4" w:rsidP="005A1610">
      <w:pPr>
        <w:pStyle w:val="ListParagraph"/>
        <w:rPr>
          <w:rStyle w:val="Heading2Char"/>
          <w:sz w:val="20"/>
          <w:szCs w:val="20"/>
        </w:rPr>
      </w:pPr>
      <w:r w:rsidRPr="00EF5EB4">
        <w:rPr>
          <w:noProof/>
          <w:szCs w:val="20"/>
        </w:rPr>
        <w:drawing>
          <wp:inline distT="0" distB="0" distL="0" distR="0">
            <wp:extent cx="9115425" cy="57435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9120163" cy="5746560"/>
                    </a:xfrm>
                    <a:prstGeom prst="rect">
                      <a:avLst/>
                    </a:prstGeom>
                    <a:noFill/>
                    <a:ln w="9525">
                      <a:noFill/>
                      <a:miter lim="800000"/>
                      <a:headEnd/>
                      <a:tailEnd/>
                    </a:ln>
                  </pic:spPr>
                </pic:pic>
              </a:graphicData>
            </a:graphic>
          </wp:inline>
        </w:drawing>
      </w:r>
    </w:p>
    <w:p w:rsidR="004D4597" w:rsidRDefault="004D4597" w:rsidP="004D4597">
      <w:pPr>
        <w:pStyle w:val="ListParagraph"/>
        <w:jc w:val="both"/>
        <w:rPr>
          <w:rStyle w:val="Heading2Char"/>
          <w:sz w:val="20"/>
          <w:szCs w:val="20"/>
        </w:rPr>
      </w:pPr>
    </w:p>
    <w:p w:rsidR="00CD5059" w:rsidRPr="00EF5EB4" w:rsidRDefault="00CD5059">
      <w:pPr>
        <w:rPr>
          <w:rFonts w:asciiTheme="majorHAnsi" w:eastAsiaTheme="majorEastAsia" w:hAnsiTheme="majorHAnsi" w:cstheme="majorBidi"/>
          <w:b/>
          <w:bCs/>
          <w:color w:val="2DA2BF" w:themeColor="accent1"/>
          <w:sz w:val="26"/>
          <w:szCs w:val="26"/>
        </w:rPr>
        <w:sectPr w:rsidR="00CD5059" w:rsidRPr="00EF5EB4" w:rsidSect="00BC46F0">
          <w:pgSz w:w="16838" w:h="11906" w:orient="landscape"/>
          <w:pgMar w:top="720" w:right="720" w:bottom="720" w:left="720" w:header="708" w:footer="708" w:gutter="0"/>
          <w:cols w:space="708"/>
          <w:docGrid w:linePitch="360"/>
        </w:sectPr>
      </w:pPr>
    </w:p>
    <w:p w:rsidR="00BB54FD" w:rsidRDefault="00BB54FD" w:rsidP="00BB54FD">
      <w:pPr>
        <w:pStyle w:val="Heading1"/>
        <w:rPr>
          <w:sz w:val="56"/>
        </w:rPr>
      </w:pPr>
      <w:bookmarkStart w:id="3" w:name="_Toc362959116"/>
      <w:bookmarkStart w:id="4" w:name="_Toc381084847"/>
      <w:bookmarkStart w:id="5" w:name="_Toc362959119"/>
      <w:bookmarkStart w:id="6" w:name="_Toc362959130"/>
      <w:r>
        <w:rPr>
          <w:sz w:val="56"/>
        </w:rPr>
        <w:t>Section 2</w:t>
      </w:r>
      <w:r w:rsidRPr="00AA6E36">
        <w:rPr>
          <w:sz w:val="56"/>
        </w:rPr>
        <w:t xml:space="preserve"> Quality &amp; Patient Safety</w:t>
      </w:r>
      <w:bookmarkEnd w:id="3"/>
      <w:bookmarkEnd w:id="4"/>
    </w:p>
    <w:p w:rsidR="001C65F2" w:rsidRPr="001C65F2" w:rsidRDefault="00690916" w:rsidP="001C65F2">
      <w:bookmarkStart w:id="7" w:name="_Toc362959117"/>
      <w:bookmarkStart w:id="8" w:name="_Toc381084848"/>
      <w:r w:rsidRPr="00690916">
        <w:rPr>
          <w:noProof/>
          <w:sz w:val="28"/>
        </w:rPr>
        <w:pict>
          <v:roundrect id="_x0000_s1042" style="position:absolute;margin-left:-17.85pt;margin-top:25.2pt;width:551.65pt;height:295.5pt;z-index:251738112" arcsize="10923f" fillcolor="white [3201]" strokecolor="#79cbdf [1940]" strokeweight="1pt">
            <v:fill color2="#a6dcea [1300]" focusposition="1" focussize="" focus="100%" type="gradient"/>
            <v:shadow on="t" type="perspective" color="#16505e [1604]" opacity=".5" offset="1pt" offset2="-3pt"/>
            <v:textbox style="mso-next-textbox:#_x0000_s1042">
              <w:txbxContent>
                <w:p w:rsidR="00020FC4" w:rsidRDefault="00020FC4" w:rsidP="00794B1D">
                  <w:pPr>
                    <w:pStyle w:val="ListParagraph"/>
                    <w:numPr>
                      <w:ilvl w:val="0"/>
                      <w:numId w:val="41"/>
                    </w:numPr>
                    <w:contextualSpacing w:val="0"/>
                  </w:pPr>
                  <w:r>
                    <w:t xml:space="preserve">The Trust did not achieve the threshold of 17 hospital attributable cases of Clostridium </w:t>
                  </w:r>
                  <w:r>
                    <w:rPr>
                      <w:i/>
                      <w:iCs/>
                    </w:rPr>
                    <w:t>difficile</w:t>
                  </w:r>
                  <w:r>
                    <w:t xml:space="preserve"> for the financial year 2014/15, reporting a total of 20. All twenty cases have been reviewed to determine whether a lapse of care has occurred which could have contributed to the patient developing Clostridium </w:t>
                  </w:r>
                  <w:r>
                    <w:rPr>
                      <w:i/>
                      <w:iCs/>
                    </w:rPr>
                    <w:t>diffficile</w:t>
                  </w:r>
                  <w:r>
                    <w:t xml:space="preserve"> infection</w:t>
                  </w:r>
                </w:p>
                <w:p w:rsidR="00020FC4" w:rsidRDefault="00020FC4" w:rsidP="00794B1D">
                  <w:pPr>
                    <w:pStyle w:val="ListParagraph"/>
                    <w:numPr>
                      <w:ilvl w:val="0"/>
                      <w:numId w:val="41"/>
                    </w:numPr>
                    <w:contextualSpacing w:val="0"/>
                    <w:jc w:val="both"/>
                  </w:pPr>
                  <w:r>
                    <w:t>With regards to the Friends and Family test the National CQUIN standard for the response rate was achieved for the year having met each milestone agreed.  Many areas should be praised for achieving 100% of people that would recommend their service in March. However some areas did not achieve the locally set target of 95% and work will be undertaken with these wards to understand the reasons</w:t>
                  </w:r>
                </w:p>
                <w:p w:rsidR="00020FC4" w:rsidRDefault="00020FC4" w:rsidP="00794B1D">
                  <w:pPr>
                    <w:pStyle w:val="ListParagraph"/>
                    <w:numPr>
                      <w:ilvl w:val="0"/>
                      <w:numId w:val="41"/>
                    </w:numPr>
                    <w:contextualSpacing w:val="0"/>
                  </w:pPr>
                  <w:r>
                    <w:t xml:space="preserve">Falls incidents remain high for February and March.  The Associate Director of Nursing (Corporate) has established a working group to drive the work forward in making improvements in falls management within the trust. </w:t>
                  </w:r>
                </w:p>
                <w:p w:rsidR="00020FC4" w:rsidRDefault="00020FC4" w:rsidP="00794B1D">
                  <w:pPr>
                    <w:pStyle w:val="ListParagraph"/>
                    <w:jc w:val="both"/>
                  </w:pPr>
                </w:p>
              </w:txbxContent>
            </v:textbox>
          </v:roundrect>
        </w:pict>
      </w:r>
      <w:bookmarkEnd w:id="7"/>
      <w:bookmarkEnd w:id="8"/>
      <w:r w:rsidR="001C65F2">
        <w:t xml:space="preserve">Executive Lead – Mrs </w:t>
      </w:r>
      <w:r w:rsidR="00AD2858">
        <w:t>Chris</w:t>
      </w:r>
      <w:r w:rsidR="001C65F2">
        <w:t xml:space="preserve"> Perry</w:t>
      </w:r>
    </w:p>
    <w:p w:rsidR="00BB54FD" w:rsidRPr="005A77E2" w:rsidRDefault="00BB54FD" w:rsidP="002D316E">
      <w:pPr>
        <w:pStyle w:val="Heading2"/>
        <w:rPr>
          <w:sz w:val="24"/>
          <w:szCs w:val="24"/>
        </w:rPr>
      </w:pPr>
      <w:bookmarkStart w:id="9" w:name="_Toc362959118"/>
      <w:bookmarkStart w:id="10" w:name="_Toc381084849"/>
      <w:r w:rsidRPr="005A77E2">
        <w:rPr>
          <w:sz w:val="24"/>
          <w:szCs w:val="24"/>
        </w:rPr>
        <w:t xml:space="preserve"> continues on falls prevention with an increase noted in August and September.  Staff education regarding falls prevention remains an ongoing commitment and all nursing staff on wards where significant harm is a result of a fall will receive a letter of recommendations to follow.  SWARM has been reinvigorated on Kewstoke ward, and the outcome is reflected in the reduction of patient falls in that area.  As a result, Hutton and Uphill wards have been invited to complete SWARM documents</w:t>
      </w:r>
      <w:r w:rsidRPr="005A77E2">
        <w:rPr>
          <w:sz w:val="24"/>
          <w:szCs w:val="24"/>
        </w:rPr>
        <w:tab/>
      </w:r>
    </w:p>
    <w:p w:rsidR="00BB54FD" w:rsidRPr="005A77E2" w:rsidRDefault="00BB54FD" w:rsidP="00BB54FD">
      <w:pPr>
        <w:jc w:val="both"/>
        <w:rPr>
          <w:sz w:val="24"/>
          <w:szCs w:val="24"/>
        </w:rPr>
      </w:pPr>
      <w:r w:rsidRPr="005A77E2">
        <w:rPr>
          <w:sz w:val="24"/>
          <w:szCs w:val="24"/>
        </w:rPr>
        <w:t>In September the Trust improved performance and achieved the national target of 95% with 97.2% of appropriate patients receiving a VTE risk assessment.</w:t>
      </w:r>
    </w:p>
    <w:p w:rsidR="00BB54FD" w:rsidRPr="0015407B" w:rsidRDefault="00BB54FD" w:rsidP="0015407B">
      <w:pPr>
        <w:jc w:val="both"/>
        <w:rPr>
          <w:sz w:val="24"/>
          <w:szCs w:val="24"/>
        </w:rPr>
      </w:pPr>
      <w:r w:rsidRPr="005A77E2">
        <w:rPr>
          <w:sz w:val="24"/>
          <w:szCs w:val="24"/>
        </w:rPr>
        <w:t>The management of complaints across the Trust has recently undergone a period of change brought into effect by the Director of Nursing to improve patient experience.  The Trust is currently trialling a process where concerns are sent to the relevant area with a 48 hour resolution time.</w:t>
      </w:r>
    </w:p>
    <w:p w:rsidR="00BB54FD" w:rsidRDefault="00BB54FD" w:rsidP="00BB54FD">
      <w:pPr>
        <w:pStyle w:val="Heading2"/>
      </w:pPr>
    </w:p>
    <w:p w:rsidR="00BB54FD" w:rsidRDefault="00BB54FD" w:rsidP="00BB54FD">
      <w:pPr>
        <w:pStyle w:val="Heading2"/>
      </w:pPr>
      <w:r w:rsidRPr="0079070A">
        <w:t>2.1. Patient Story</w:t>
      </w:r>
    </w:p>
    <w:p w:rsidR="002061F0" w:rsidRDefault="002061F0" w:rsidP="002061F0">
      <w:r>
        <w:t>Patient Story relating to Post-operative care on Steepholm.</w:t>
      </w:r>
    </w:p>
    <w:p w:rsidR="002061F0" w:rsidRDefault="002061F0" w:rsidP="002061F0">
      <w:pPr>
        <w:jc w:val="both"/>
      </w:pPr>
      <w:r>
        <w:t xml:space="preserve">This story related to the care my wife received following a short notice operation which was further complicated due to the fact that she had a severe infection. The operation took three times longer than normal to complete. I feel that the post-operative care that my wife received was woefully below the standard we expected. She was left writhing in agony for in excess of two hours following her return to the ward. Furthermore, pain management in the following days was not correctly followed as prescribed causing anxiety and discomfort as well as prolonging her recovery. </w:t>
      </w:r>
    </w:p>
    <w:p w:rsidR="002061F0" w:rsidRDefault="002061F0" w:rsidP="002061F0">
      <w:pPr>
        <w:jc w:val="both"/>
        <w:rPr>
          <w:color w:val="000000"/>
        </w:rPr>
      </w:pPr>
      <w:r>
        <w:rPr>
          <w:color w:val="000000"/>
        </w:rPr>
        <w:t>On review of</w:t>
      </w:r>
      <w:r w:rsidR="00061B8B">
        <w:rPr>
          <w:color w:val="000000"/>
        </w:rPr>
        <w:t xml:space="preserve"> the case</w:t>
      </w:r>
      <w:r>
        <w:rPr>
          <w:color w:val="000000"/>
        </w:rPr>
        <w:t xml:space="preserve"> there was a </w:t>
      </w:r>
      <w:r w:rsidRPr="00E7076E">
        <w:rPr>
          <w:color w:val="000000"/>
        </w:rPr>
        <w:t xml:space="preserve">delay in </w:t>
      </w:r>
      <w:r>
        <w:rPr>
          <w:color w:val="000000"/>
        </w:rPr>
        <w:t>the patient</w:t>
      </w:r>
      <w:r w:rsidRPr="00E7076E">
        <w:rPr>
          <w:color w:val="000000"/>
        </w:rPr>
        <w:t xml:space="preserve"> </w:t>
      </w:r>
      <w:r>
        <w:rPr>
          <w:color w:val="000000"/>
        </w:rPr>
        <w:t xml:space="preserve">receiving </w:t>
      </w:r>
      <w:r w:rsidRPr="00E7076E">
        <w:rPr>
          <w:color w:val="000000"/>
        </w:rPr>
        <w:t>pain relief</w:t>
      </w:r>
      <w:r>
        <w:rPr>
          <w:color w:val="000000"/>
        </w:rPr>
        <w:t xml:space="preserve"> when she returned to the ward after her operation. This was as a result of the drug chart not being properly completed and therefore it did not give the appropriate legal authority to the nurse to administer the prescribed drugs</w:t>
      </w:r>
      <w:r w:rsidRPr="00E7076E">
        <w:rPr>
          <w:color w:val="000000"/>
        </w:rPr>
        <w:t>.</w:t>
      </w:r>
      <w:r>
        <w:rPr>
          <w:color w:val="000000"/>
        </w:rPr>
        <w:t xml:space="preserve"> This is particularly serious in the case of a controlled drug such as morphine which is subject to stringent regulation, to protect patients</w:t>
      </w:r>
      <w:r w:rsidRPr="00E7076E">
        <w:rPr>
          <w:color w:val="000000"/>
        </w:rPr>
        <w:t xml:space="preserve">. </w:t>
      </w:r>
      <w:r>
        <w:rPr>
          <w:color w:val="000000"/>
        </w:rPr>
        <w:t>Attempts to contact the prescribing doctor were unsuccessful. The doctor did not communicate back to the ward staff that he was unable to attend which would have enabled the issue to be escalated so that another doctor could prescribe the dose of medication required.</w:t>
      </w:r>
      <w:r w:rsidRPr="0003618C">
        <w:rPr>
          <w:color w:val="000000"/>
        </w:rPr>
        <w:t xml:space="preserve"> </w:t>
      </w:r>
      <w:r>
        <w:rPr>
          <w:color w:val="000000"/>
        </w:rPr>
        <w:t>The do</w:t>
      </w:r>
      <w:r w:rsidR="00EB4482">
        <w:rPr>
          <w:color w:val="000000"/>
        </w:rPr>
        <w:t>ctor was eventually located on</w:t>
      </w:r>
      <w:r>
        <w:rPr>
          <w:color w:val="000000"/>
        </w:rPr>
        <w:t xml:space="preserve"> another ward</w:t>
      </w:r>
      <w:r w:rsidRPr="004C72E9">
        <w:rPr>
          <w:color w:val="000000"/>
        </w:rPr>
        <w:t xml:space="preserve"> </w:t>
      </w:r>
      <w:r w:rsidR="00EB4482">
        <w:rPr>
          <w:color w:val="000000"/>
        </w:rPr>
        <w:t xml:space="preserve">and attended </w:t>
      </w:r>
      <w:r>
        <w:rPr>
          <w:color w:val="000000"/>
        </w:rPr>
        <w:t>due to the level of distress and pain the patient was experiencing.</w:t>
      </w:r>
      <w:r w:rsidRPr="0054274B">
        <w:rPr>
          <w:color w:val="000000"/>
        </w:rPr>
        <w:t xml:space="preserve"> </w:t>
      </w:r>
    </w:p>
    <w:p w:rsidR="002061F0" w:rsidRDefault="002061F0" w:rsidP="002061F0">
      <w:pPr>
        <w:jc w:val="both"/>
        <w:rPr>
          <w:color w:val="000000"/>
        </w:rPr>
      </w:pPr>
      <w:r>
        <w:rPr>
          <w:color w:val="000000"/>
        </w:rPr>
        <w:t xml:space="preserve">The patient </w:t>
      </w:r>
      <w:r w:rsidRPr="00E7076E">
        <w:rPr>
          <w:color w:val="000000"/>
        </w:rPr>
        <w:t>was not given her pain re</w:t>
      </w:r>
      <w:r>
        <w:rPr>
          <w:color w:val="000000"/>
        </w:rPr>
        <w:t>lief routinely every 2 hours,</w:t>
      </w:r>
      <w:r w:rsidRPr="00E7076E">
        <w:rPr>
          <w:color w:val="000000"/>
        </w:rPr>
        <w:t xml:space="preserve"> resulting in breakthrough pain</w:t>
      </w:r>
      <w:r>
        <w:rPr>
          <w:color w:val="000000"/>
        </w:rPr>
        <w:t xml:space="preserve">.  </w:t>
      </w:r>
    </w:p>
    <w:p w:rsidR="002061F0" w:rsidRDefault="002061F0" w:rsidP="002061F0">
      <w:pPr>
        <w:jc w:val="both"/>
        <w:rPr>
          <w:color w:val="000000"/>
        </w:rPr>
      </w:pPr>
      <w:r w:rsidRPr="0054274B">
        <w:rPr>
          <w:b/>
        </w:rPr>
        <w:t>Actions</w:t>
      </w:r>
      <w:r w:rsidRPr="0054274B">
        <w:rPr>
          <w:color w:val="000000"/>
        </w:rPr>
        <w:t xml:space="preserve"> </w:t>
      </w:r>
    </w:p>
    <w:p w:rsidR="002061F0" w:rsidRDefault="002061F0" w:rsidP="002061F0">
      <w:pPr>
        <w:jc w:val="both"/>
        <w:rPr>
          <w:color w:val="000000"/>
        </w:rPr>
      </w:pPr>
      <w:r>
        <w:rPr>
          <w:color w:val="000000"/>
        </w:rPr>
        <w:t xml:space="preserve">In the event of the doctor being unable to attend immediately, the doctor should communicate this back to the ward staff and the issue escalated if necessary so that another doctor can prescribe the dose required. This has been fed back to all relevant staff for learning and to avoid any such reoccurrence. </w:t>
      </w:r>
    </w:p>
    <w:p w:rsidR="002061F0" w:rsidRDefault="002061F0" w:rsidP="002061F0">
      <w:pPr>
        <w:jc w:val="both"/>
        <w:rPr>
          <w:color w:val="000000"/>
        </w:rPr>
      </w:pPr>
      <w:r>
        <w:rPr>
          <w:color w:val="000000"/>
        </w:rPr>
        <w:t>The Trust is reviewing how drug rounds are carried out to ensure, even at busy times, pain relief medication is prioritised where appropriate and provided in a timely manner to avoid breakthrough pain. The ward Sister has also spoken to the team in the r</w:t>
      </w:r>
      <w:r w:rsidRPr="00E7076E">
        <w:rPr>
          <w:color w:val="000000"/>
        </w:rPr>
        <w:t xml:space="preserve">ecovery </w:t>
      </w:r>
      <w:r>
        <w:rPr>
          <w:color w:val="000000"/>
        </w:rPr>
        <w:t xml:space="preserve">area </w:t>
      </w:r>
      <w:r w:rsidRPr="00E7076E">
        <w:rPr>
          <w:color w:val="000000"/>
        </w:rPr>
        <w:t xml:space="preserve">to remind them to check that drug charts are correctly filled out prior to returning patients to the ward. </w:t>
      </w:r>
    </w:p>
    <w:p w:rsidR="002061F0" w:rsidRPr="002061F0" w:rsidRDefault="002061F0" w:rsidP="002061F0">
      <w:pPr>
        <w:jc w:val="both"/>
        <w:rPr>
          <w:color w:val="000000"/>
        </w:rPr>
      </w:pPr>
      <w:r w:rsidRPr="00E7076E">
        <w:rPr>
          <w:color w:val="000000"/>
        </w:rPr>
        <w:t xml:space="preserve">Nursing staff have weekly training sessions and </w:t>
      </w:r>
      <w:r>
        <w:rPr>
          <w:color w:val="000000"/>
        </w:rPr>
        <w:t xml:space="preserve">the </w:t>
      </w:r>
      <w:r w:rsidRPr="00E7076E">
        <w:rPr>
          <w:color w:val="000000"/>
        </w:rPr>
        <w:t xml:space="preserve">Sister </w:t>
      </w:r>
      <w:r>
        <w:rPr>
          <w:color w:val="000000"/>
        </w:rPr>
        <w:t xml:space="preserve">programmed </w:t>
      </w:r>
      <w:r w:rsidRPr="00E7076E">
        <w:rPr>
          <w:color w:val="000000"/>
        </w:rPr>
        <w:t xml:space="preserve">a session on pain control to refresh staff on their </w:t>
      </w:r>
      <w:r>
        <w:rPr>
          <w:color w:val="000000"/>
        </w:rPr>
        <w:t>knowledge based practice whilst considering pain from the patient’s perspective, to further develop enhanced</w:t>
      </w:r>
      <w:r w:rsidRPr="00E7076E">
        <w:rPr>
          <w:color w:val="000000"/>
        </w:rPr>
        <w:t xml:space="preserve"> standard</w:t>
      </w:r>
      <w:r>
        <w:rPr>
          <w:color w:val="000000"/>
        </w:rPr>
        <w:t>s</w:t>
      </w:r>
      <w:r w:rsidRPr="00E7076E">
        <w:rPr>
          <w:color w:val="000000"/>
        </w:rPr>
        <w:t xml:space="preserve"> of</w:t>
      </w:r>
      <w:r>
        <w:rPr>
          <w:color w:val="000000"/>
        </w:rPr>
        <w:t xml:space="preserve"> post-operative</w:t>
      </w:r>
      <w:r w:rsidRPr="00E7076E">
        <w:rPr>
          <w:color w:val="000000"/>
        </w:rPr>
        <w:t xml:space="preserve"> nursing care</w:t>
      </w:r>
      <w:r>
        <w:rPr>
          <w:color w:val="000000"/>
        </w:rPr>
        <w:t>.</w:t>
      </w:r>
    </w:p>
    <w:bookmarkEnd w:id="9"/>
    <w:bookmarkEnd w:id="10"/>
    <w:p w:rsidR="002061F0" w:rsidRDefault="002061F0" w:rsidP="00BB54FD">
      <w:pPr>
        <w:pStyle w:val="Heading2"/>
        <w:jc w:val="both"/>
      </w:pPr>
    </w:p>
    <w:p w:rsidR="00BB54FD" w:rsidRDefault="00BB54FD" w:rsidP="00BB54FD">
      <w:pPr>
        <w:pStyle w:val="Heading2"/>
        <w:jc w:val="both"/>
      </w:pPr>
      <w:r w:rsidRPr="0079070A">
        <w:t>2.2 Registration with Care Quality Commission (CQC)</w:t>
      </w:r>
    </w:p>
    <w:p w:rsidR="002061F0" w:rsidRPr="008F2BA3" w:rsidRDefault="002061F0" w:rsidP="002061F0">
      <w:pPr>
        <w:jc w:val="both"/>
      </w:pPr>
      <w:r w:rsidRPr="008F2BA3">
        <w:t>The Trust is compliant with all five of the CQC’s essential core standards of:</w:t>
      </w:r>
    </w:p>
    <w:p w:rsidR="002061F0" w:rsidRPr="008F2BA3" w:rsidRDefault="002061F0" w:rsidP="002061F0">
      <w:pPr>
        <w:pStyle w:val="ListParagraph"/>
        <w:numPr>
          <w:ilvl w:val="0"/>
          <w:numId w:val="10"/>
        </w:numPr>
        <w:jc w:val="both"/>
      </w:pPr>
      <w:r w:rsidRPr="008F2BA3">
        <w:t>Treating people with respect and involving them in their care</w:t>
      </w:r>
    </w:p>
    <w:p w:rsidR="002061F0" w:rsidRPr="008F2BA3" w:rsidRDefault="002061F0" w:rsidP="002061F0">
      <w:pPr>
        <w:pStyle w:val="ListParagraph"/>
        <w:numPr>
          <w:ilvl w:val="0"/>
          <w:numId w:val="10"/>
        </w:numPr>
        <w:jc w:val="both"/>
      </w:pPr>
      <w:r w:rsidRPr="008F2BA3">
        <w:t>Providing care, treatment and support the meets people’s needs</w:t>
      </w:r>
    </w:p>
    <w:p w:rsidR="002061F0" w:rsidRPr="008F2BA3" w:rsidRDefault="002061F0" w:rsidP="002061F0">
      <w:pPr>
        <w:pStyle w:val="ListParagraph"/>
        <w:numPr>
          <w:ilvl w:val="0"/>
          <w:numId w:val="10"/>
        </w:numPr>
        <w:jc w:val="both"/>
      </w:pPr>
      <w:r w:rsidRPr="008F2BA3">
        <w:t>Caring for people safely and protecting them from harm</w:t>
      </w:r>
    </w:p>
    <w:p w:rsidR="002061F0" w:rsidRPr="008F2BA3" w:rsidRDefault="002061F0" w:rsidP="002061F0">
      <w:pPr>
        <w:pStyle w:val="ListParagraph"/>
        <w:numPr>
          <w:ilvl w:val="0"/>
          <w:numId w:val="10"/>
        </w:numPr>
        <w:jc w:val="both"/>
      </w:pPr>
      <w:r w:rsidRPr="008F2BA3">
        <w:t>Staffing</w:t>
      </w:r>
    </w:p>
    <w:p w:rsidR="002061F0" w:rsidRDefault="002061F0" w:rsidP="002061F0">
      <w:pPr>
        <w:pStyle w:val="ListParagraph"/>
        <w:numPr>
          <w:ilvl w:val="0"/>
          <w:numId w:val="10"/>
        </w:numPr>
        <w:jc w:val="both"/>
      </w:pPr>
      <w:r w:rsidRPr="008F2BA3">
        <w:t>Quality &amp; suitability of management</w:t>
      </w:r>
    </w:p>
    <w:p w:rsidR="002061F0" w:rsidRPr="008F2BA3" w:rsidRDefault="002061F0" w:rsidP="002061F0">
      <w:pPr>
        <w:jc w:val="both"/>
      </w:pPr>
      <w:r w:rsidRPr="008F2BA3">
        <w:t xml:space="preserve">The essential standards of quality and safety set by the CQC government body are central to our work as a Trust.  </w:t>
      </w:r>
    </w:p>
    <w:p w:rsidR="002061F0" w:rsidRDefault="002061F0" w:rsidP="002061F0">
      <w:pPr>
        <w:jc w:val="both"/>
      </w:pPr>
      <w:r w:rsidRPr="008F2BA3">
        <w:t xml:space="preserve">Quarterly monitoring of Trust compliance with CQC standards occurs via reporting to our Quality &amp; Governance Committee. </w:t>
      </w:r>
    </w:p>
    <w:p w:rsidR="002061F0" w:rsidRDefault="0037169B">
      <w:r w:rsidRPr="0037169B">
        <w:t>The CQC will undertake an inspection of the Trust commencing May 19</w:t>
      </w:r>
      <w:r w:rsidRPr="0037169B">
        <w:rPr>
          <w:vertAlign w:val="superscript"/>
        </w:rPr>
        <w:t>th</w:t>
      </w:r>
      <w:r w:rsidRPr="0037169B">
        <w:t xml:space="preserve"> 2015</w:t>
      </w:r>
      <w:r>
        <w:t>.</w:t>
      </w:r>
      <w:r w:rsidR="002061F0">
        <w:br w:type="page"/>
      </w:r>
    </w:p>
    <w:p w:rsidR="002061F0" w:rsidRDefault="002061F0" w:rsidP="002061F0">
      <w:pPr>
        <w:jc w:val="both"/>
        <w:sectPr w:rsidR="002061F0" w:rsidSect="009D6BC5">
          <w:headerReference w:type="default" r:id="rId18"/>
          <w:footerReference w:type="default" r:id="rId19"/>
          <w:footerReference w:type="first" r:id="rId20"/>
          <w:pgSz w:w="11906" w:h="16838"/>
          <w:pgMar w:top="720" w:right="720" w:bottom="720" w:left="720" w:header="708" w:footer="708" w:gutter="0"/>
          <w:cols w:space="708"/>
          <w:docGrid w:linePitch="360"/>
        </w:sectPr>
      </w:pPr>
    </w:p>
    <w:p w:rsidR="0026357C" w:rsidRDefault="0026357C" w:rsidP="0026357C">
      <w:pPr>
        <w:rPr>
          <w:b/>
          <w:color w:val="21798E" w:themeColor="accent1" w:themeShade="BF"/>
          <w:sz w:val="24"/>
          <w:szCs w:val="24"/>
        </w:rPr>
      </w:pPr>
      <w:r w:rsidRPr="003E2E61">
        <w:rPr>
          <w:b/>
          <w:color w:val="21798E" w:themeColor="accent1" w:themeShade="BF"/>
          <w:sz w:val="24"/>
          <w:szCs w:val="24"/>
        </w:rPr>
        <w:t>2.3 Nursing Metrics</w:t>
      </w:r>
    </w:p>
    <w:p w:rsidR="00ED428E" w:rsidRPr="0026357C" w:rsidRDefault="00ED428E" w:rsidP="00433D60">
      <w:pPr>
        <w:jc w:val="both"/>
        <w:rPr>
          <w:rFonts w:asciiTheme="majorHAnsi" w:eastAsiaTheme="majorEastAsia" w:hAnsiTheme="majorHAnsi" w:cstheme="majorBidi"/>
          <w:b/>
          <w:bCs/>
          <w:color w:val="2DA2BF" w:themeColor="accent1"/>
          <w:sz w:val="2"/>
          <w:szCs w:val="26"/>
        </w:rPr>
      </w:pPr>
    </w:p>
    <w:p w:rsidR="00BA50C2" w:rsidRDefault="00BA50C2" w:rsidP="00BA50C2">
      <w:pPr>
        <w:jc w:val="both"/>
      </w:pPr>
      <w:r>
        <w:t>The use of agency nurses continues to be high in February and March 2015 due to vacancies, opening of Cheddar Ward (as part of Winter planning) and the use of additional escalation beds   on the Stroke Unit and Ashcombe Birthing  Centre for female adult patients.</w:t>
      </w:r>
    </w:p>
    <w:p w:rsidR="00BA50C2" w:rsidRDefault="00BA50C2" w:rsidP="00BA50C2">
      <w:pPr>
        <w:jc w:val="both"/>
      </w:pPr>
      <w:r>
        <w:t xml:space="preserve">The Registered Nurse and overall nursing numbers for Hutton and Berrow wards in February were less than the planned establishment to reflect lower nursing numbers required for a reduced number of patients on these wards due to Norovirus outbreaks.  </w:t>
      </w:r>
    </w:p>
    <w:p w:rsidR="00BA50C2" w:rsidRDefault="00BA50C2" w:rsidP="00BA50C2">
      <w:pPr>
        <w:jc w:val="both"/>
      </w:pPr>
      <w:r>
        <w:t>Uphill ward is struggling to meet mandatory training due to high levels of sickness.</w:t>
      </w:r>
    </w:p>
    <w:p w:rsidR="00BA50C2" w:rsidRDefault="00BA50C2" w:rsidP="00BA50C2">
      <w:pPr>
        <w:jc w:val="both"/>
      </w:pPr>
      <w:r>
        <w:t>There were a total of thirteen Nurse staffing incidents reported through Datix in February, five  of these were from MAU which related to staff being moved from their ward at night to cover other wards. The staff were moved as a result of shifts not being filled by agency and MAU having the higher number of registered nurse. They all relate to last minute staffing shortages</w:t>
      </w:r>
    </w:p>
    <w:p w:rsidR="00BA50C2" w:rsidRDefault="00BA50C2" w:rsidP="00BA50C2">
      <w:pPr>
        <w:jc w:val="both"/>
      </w:pPr>
      <w:r>
        <w:t>During this period the ward sisters and matrons met three times a daily to ensure staffing was appropriately managed and shared according to dependency.  At weekends  a Matron or senior Sister worked to support safe staffing extra to established staffing.</w:t>
      </w:r>
    </w:p>
    <w:p w:rsidR="00D43B90" w:rsidRDefault="00D43B90" w:rsidP="00BA50C2">
      <w:pPr>
        <w:jc w:val="both"/>
      </w:pPr>
    </w:p>
    <w:p w:rsidR="007F194C" w:rsidRDefault="007F194C" w:rsidP="007F194C">
      <w:pPr>
        <w:rPr>
          <w:b/>
        </w:rPr>
      </w:pPr>
    </w:p>
    <w:p w:rsidR="002061F0" w:rsidRDefault="002061F0" w:rsidP="007F194C">
      <w:pPr>
        <w:rPr>
          <w:b/>
        </w:rPr>
      </w:pPr>
    </w:p>
    <w:p w:rsidR="002061F0" w:rsidRDefault="002061F0" w:rsidP="007F194C">
      <w:pPr>
        <w:rPr>
          <w:b/>
        </w:rPr>
      </w:pPr>
    </w:p>
    <w:p w:rsidR="002061F0" w:rsidRDefault="002061F0" w:rsidP="007F194C">
      <w:pPr>
        <w:rPr>
          <w:b/>
        </w:rPr>
      </w:pPr>
    </w:p>
    <w:p w:rsidR="002061F0" w:rsidRDefault="002061F0" w:rsidP="007F194C">
      <w:pPr>
        <w:rPr>
          <w:b/>
        </w:rPr>
      </w:pPr>
    </w:p>
    <w:p w:rsidR="002061F0" w:rsidRDefault="002061F0" w:rsidP="007F194C">
      <w:pPr>
        <w:rPr>
          <w:b/>
        </w:rPr>
      </w:pPr>
    </w:p>
    <w:p w:rsidR="002061F0" w:rsidRDefault="002061F0">
      <w:pPr>
        <w:rPr>
          <w:b/>
        </w:rPr>
      </w:pPr>
    </w:p>
    <w:p w:rsidR="00D43B90" w:rsidRDefault="00D43B90" w:rsidP="007F194C">
      <w:pPr>
        <w:rPr>
          <w:b/>
        </w:rPr>
        <w:sectPr w:rsidR="00D43B90" w:rsidSect="00D43B90">
          <w:headerReference w:type="default" r:id="rId21"/>
          <w:footerReference w:type="default" r:id="rId22"/>
          <w:footerReference w:type="first" r:id="rId23"/>
          <w:pgSz w:w="11906" w:h="16838"/>
          <w:pgMar w:top="720" w:right="720" w:bottom="720" w:left="720" w:header="708" w:footer="708" w:gutter="0"/>
          <w:cols w:space="708"/>
          <w:docGrid w:linePitch="360"/>
        </w:sectPr>
      </w:pPr>
    </w:p>
    <w:p w:rsidR="002061F0" w:rsidRDefault="002061F0" w:rsidP="007F194C">
      <w:pPr>
        <w:rPr>
          <w:b/>
        </w:rPr>
      </w:pPr>
    </w:p>
    <w:p w:rsidR="007F194C" w:rsidRDefault="007F194C" w:rsidP="007F194C">
      <w:pPr>
        <w:rPr>
          <w:b/>
        </w:rPr>
      </w:pPr>
      <w:r w:rsidRPr="007A3101">
        <w:rPr>
          <w:b/>
        </w:rPr>
        <w:t>Figure 1:</w:t>
      </w:r>
      <w:r w:rsidRPr="00827F0C">
        <w:rPr>
          <w:b/>
        </w:rPr>
        <w:t xml:space="preserve"> </w:t>
      </w:r>
      <w:r w:rsidR="00F1262B" w:rsidRPr="00F1262B">
        <w:rPr>
          <w:noProof/>
        </w:rPr>
        <w:drawing>
          <wp:inline distT="0" distB="0" distL="0" distR="0">
            <wp:extent cx="9782175" cy="4324350"/>
            <wp:effectExtent l="19050" t="0" r="9525"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9777730" cy="4322385"/>
                    </a:xfrm>
                    <a:prstGeom prst="rect">
                      <a:avLst/>
                    </a:prstGeom>
                    <a:noFill/>
                    <a:ln w="9525">
                      <a:noFill/>
                      <a:miter lim="800000"/>
                      <a:headEnd/>
                      <a:tailEnd/>
                    </a:ln>
                  </pic:spPr>
                </pic:pic>
              </a:graphicData>
            </a:graphic>
          </wp:inline>
        </w:drawing>
      </w:r>
    </w:p>
    <w:p w:rsidR="007F194C" w:rsidRPr="003D7003" w:rsidRDefault="007F194C" w:rsidP="007F194C">
      <w:pPr>
        <w:tabs>
          <w:tab w:val="left" w:pos="4650"/>
        </w:tabs>
      </w:pPr>
      <w:r>
        <w:t>NB. Agency (WTE) and Statutory Mandatory Training Compliance as above encompass nurse staffing Trust-wide</w:t>
      </w:r>
    </w:p>
    <w:p w:rsidR="007F194C" w:rsidRDefault="007F194C" w:rsidP="007F194C">
      <w:pPr>
        <w:rPr>
          <w:b/>
        </w:rPr>
      </w:pPr>
      <w:r w:rsidRPr="007A3101">
        <w:rPr>
          <w:b/>
        </w:rPr>
        <w:t>Figure 2:</w:t>
      </w:r>
      <w:r w:rsidRPr="00180F3B">
        <w:rPr>
          <w:b/>
        </w:rPr>
        <w:t xml:space="preserve"> </w:t>
      </w:r>
      <w:r>
        <w:rPr>
          <w:b/>
        </w:rPr>
        <w:t xml:space="preserve">     </w:t>
      </w:r>
      <w:r w:rsidR="002061F0">
        <w:t>February 2015</w:t>
      </w:r>
      <w:r>
        <w:rPr>
          <w:b/>
        </w:rPr>
        <w:tab/>
      </w:r>
      <w:r w:rsidR="001C5D74" w:rsidRPr="001C5D74">
        <w:rPr>
          <w:noProof/>
        </w:rPr>
        <w:drawing>
          <wp:inline distT="0" distB="0" distL="0" distR="0">
            <wp:extent cx="9010650" cy="2400300"/>
            <wp:effectExtent l="19050" t="0" r="0" b="0"/>
            <wp:docPr id="9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cstate="print"/>
                    <a:srcRect/>
                    <a:stretch>
                      <a:fillRect/>
                    </a:stretch>
                  </pic:blipFill>
                  <pic:spPr bwMode="auto">
                    <a:xfrm>
                      <a:off x="0" y="0"/>
                      <a:ext cx="9010650" cy="2400300"/>
                    </a:xfrm>
                    <a:prstGeom prst="rect">
                      <a:avLst/>
                    </a:prstGeom>
                    <a:noFill/>
                    <a:ln w="9525">
                      <a:noFill/>
                      <a:miter lim="800000"/>
                      <a:headEnd/>
                      <a:tailEnd/>
                    </a:ln>
                  </pic:spPr>
                </pic:pic>
              </a:graphicData>
            </a:graphic>
          </wp:inline>
        </w:drawing>
      </w:r>
    </w:p>
    <w:p w:rsidR="007F194C" w:rsidRDefault="007F194C" w:rsidP="007F194C">
      <w:pPr>
        <w:jc w:val="both"/>
      </w:pPr>
      <w:r w:rsidRPr="007A3101">
        <w:rPr>
          <w:b/>
        </w:rPr>
        <w:t>Figure 3:</w:t>
      </w:r>
      <w:r>
        <w:rPr>
          <w:b/>
        </w:rPr>
        <w:t xml:space="preserve">    </w:t>
      </w:r>
      <w:r w:rsidR="002061F0">
        <w:t>March 2015</w:t>
      </w:r>
    </w:p>
    <w:p w:rsidR="007F194C" w:rsidRPr="0026568C" w:rsidRDefault="001C5D74" w:rsidP="007F194C">
      <w:pPr>
        <w:jc w:val="center"/>
        <w:rPr>
          <w:b/>
        </w:rPr>
        <w:sectPr w:rsidR="007F194C" w:rsidRPr="0026568C" w:rsidSect="00D43B90">
          <w:pgSz w:w="16838" w:h="11906" w:orient="landscape"/>
          <w:pgMar w:top="720" w:right="720" w:bottom="720" w:left="720" w:header="708" w:footer="708" w:gutter="0"/>
          <w:cols w:space="708"/>
          <w:docGrid w:linePitch="360"/>
        </w:sectPr>
      </w:pPr>
      <w:r w:rsidRPr="001C5D74">
        <w:rPr>
          <w:noProof/>
        </w:rPr>
        <w:drawing>
          <wp:inline distT="0" distB="0" distL="0" distR="0">
            <wp:extent cx="8991600" cy="2657475"/>
            <wp:effectExtent l="19050" t="0" r="0" b="0"/>
            <wp:docPr id="9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cstate="print"/>
                    <a:srcRect/>
                    <a:stretch>
                      <a:fillRect/>
                    </a:stretch>
                  </pic:blipFill>
                  <pic:spPr bwMode="auto">
                    <a:xfrm>
                      <a:off x="0" y="0"/>
                      <a:ext cx="8991600" cy="2657475"/>
                    </a:xfrm>
                    <a:prstGeom prst="rect">
                      <a:avLst/>
                    </a:prstGeom>
                    <a:noFill/>
                    <a:ln w="9525">
                      <a:noFill/>
                      <a:miter lim="800000"/>
                      <a:headEnd/>
                      <a:tailEnd/>
                    </a:ln>
                  </pic:spPr>
                </pic:pic>
              </a:graphicData>
            </a:graphic>
          </wp:inline>
        </w:drawing>
      </w:r>
    </w:p>
    <w:p w:rsidR="007F194C" w:rsidRPr="007366FD" w:rsidRDefault="007F194C" w:rsidP="007F194C">
      <w:pPr>
        <w:pStyle w:val="Heading2"/>
        <w:rPr>
          <w:sz w:val="24"/>
          <w:szCs w:val="24"/>
        </w:rPr>
      </w:pPr>
    </w:p>
    <w:p w:rsidR="00AF54F2" w:rsidRDefault="00AF54F2" w:rsidP="00AF54F2">
      <w:pPr>
        <w:pStyle w:val="Heading2"/>
      </w:pPr>
      <w:bookmarkStart w:id="11" w:name="_Toc381084859"/>
      <w:r w:rsidRPr="0079070A">
        <w:t xml:space="preserve">2.4 Incident Reporting </w:t>
      </w:r>
    </w:p>
    <w:p w:rsidR="00E625F9" w:rsidRPr="00A320F5" w:rsidRDefault="00E625F9" w:rsidP="00E625F9">
      <w:pPr>
        <w:spacing w:after="0" w:line="240" w:lineRule="auto"/>
        <w:jc w:val="both"/>
        <w:rPr>
          <w:rFonts w:cstheme="minorHAnsi"/>
          <w:szCs w:val="19"/>
        </w:rPr>
      </w:pPr>
      <w:r w:rsidRPr="00A320F5">
        <w:rPr>
          <w:rFonts w:cstheme="minorHAnsi"/>
          <w:szCs w:val="19"/>
        </w:rPr>
        <w:t xml:space="preserve">Incident reporting systems and policies are integral to patient safety and enable the Trust to analyse the type, frequency and severity of incidents that occur. </w:t>
      </w:r>
      <w:r w:rsidRPr="00A320F5">
        <w:rPr>
          <w:rFonts w:cstheme="minorHAnsi"/>
          <w:szCs w:val="20"/>
        </w:rPr>
        <w:t xml:space="preserve">The Trust’s open and honest reporting demonstrates a commitment to our patients and their safety.   </w:t>
      </w:r>
      <w:r w:rsidRPr="00A320F5">
        <w:rPr>
          <w:rFonts w:cstheme="minorHAnsi"/>
          <w:szCs w:val="19"/>
        </w:rPr>
        <w:t xml:space="preserve">The information arising from these reports is used to make active changes to improve our provision of quality care and to safeguard the wellbeing of our staff and patients. </w:t>
      </w:r>
    </w:p>
    <w:p w:rsidR="00E625F9" w:rsidRPr="00A320F5" w:rsidRDefault="00E625F9" w:rsidP="00E625F9">
      <w:pPr>
        <w:spacing w:after="0" w:line="240" w:lineRule="auto"/>
        <w:jc w:val="both"/>
        <w:rPr>
          <w:rFonts w:cstheme="minorHAnsi"/>
          <w:szCs w:val="20"/>
        </w:rPr>
      </w:pPr>
    </w:p>
    <w:p w:rsidR="00E625F9" w:rsidRPr="00A320F5" w:rsidRDefault="00E625F9" w:rsidP="00E625F9">
      <w:pPr>
        <w:spacing w:after="0" w:line="240" w:lineRule="auto"/>
        <w:jc w:val="both"/>
        <w:rPr>
          <w:rFonts w:cs="Arial"/>
        </w:rPr>
      </w:pPr>
      <w:r w:rsidRPr="00A320F5">
        <w:rPr>
          <w:rFonts w:cs="Arial"/>
          <w:i/>
        </w:rPr>
        <w:t xml:space="preserve">Figure 1 </w:t>
      </w:r>
      <w:r w:rsidRPr="00A320F5">
        <w:rPr>
          <w:rFonts w:cs="Arial"/>
        </w:rPr>
        <w:t xml:space="preserve">depicts the number of patient incidents reported each month, compared to previous years. </w:t>
      </w:r>
    </w:p>
    <w:p w:rsidR="00E625F9" w:rsidRPr="00A320F5" w:rsidRDefault="00E625F9" w:rsidP="00E625F9">
      <w:pPr>
        <w:spacing w:after="0" w:line="240" w:lineRule="auto"/>
        <w:jc w:val="both"/>
        <w:rPr>
          <w:rFonts w:cs="Arial"/>
        </w:rPr>
      </w:pPr>
    </w:p>
    <w:p w:rsidR="00E625F9" w:rsidRDefault="00E625F9" w:rsidP="00E625F9">
      <w:pPr>
        <w:jc w:val="both"/>
        <w:rPr>
          <w:rFonts w:cs="Arial"/>
          <w:b/>
        </w:rPr>
      </w:pPr>
      <w:r w:rsidRPr="00A320F5">
        <w:rPr>
          <w:rFonts w:cs="Arial"/>
          <w:b/>
        </w:rPr>
        <w:t>Figure 1:</w:t>
      </w:r>
    </w:p>
    <w:p w:rsidR="00E625F9" w:rsidRPr="00A320F5" w:rsidRDefault="00E625F9" w:rsidP="00E625F9">
      <w:pPr>
        <w:jc w:val="center"/>
        <w:rPr>
          <w:rFonts w:cs="Arial"/>
          <w:b/>
        </w:rPr>
      </w:pPr>
      <w:r w:rsidRPr="00E16D92">
        <w:rPr>
          <w:noProof/>
        </w:rPr>
        <w:drawing>
          <wp:inline distT="0" distB="0" distL="0" distR="0">
            <wp:extent cx="5991225" cy="36195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a:stretch>
                      <a:fillRect/>
                    </a:stretch>
                  </pic:blipFill>
                  <pic:spPr bwMode="auto">
                    <a:xfrm>
                      <a:off x="0" y="0"/>
                      <a:ext cx="5991225" cy="3619500"/>
                    </a:xfrm>
                    <a:prstGeom prst="rect">
                      <a:avLst/>
                    </a:prstGeom>
                    <a:noFill/>
                    <a:ln w="9525">
                      <a:noFill/>
                      <a:miter lim="800000"/>
                      <a:headEnd/>
                      <a:tailEnd/>
                    </a:ln>
                  </pic:spPr>
                </pic:pic>
              </a:graphicData>
            </a:graphic>
          </wp:inline>
        </w:drawing>
      </w:r>
    </w:p>
    <w:p w:rsidR="00E625F9" w:rsidRPr="00A320F5" w:rsidRDefault="00E625F9" w:rsidP="00E625F9">
      <w:pPr>
        <w:jc w:val="center"/>
        <w:rPr>
          <w:sz w:val="20"/>
        </w:rPr>
      </w:pPr>
    </w:p>
    <w:p w:rsidR="00E625F9" w:rsidRPr="00A320F5" w:rsidRDefault="00E625F9" w:rsidP="00E625F9">
      <w:pPr>
        <w:spacing w:after="0" w:line="240" w:lineRule="auto"/>
        <w:jc w:val="both"/>
        <w:rPr>
          <w:rFonts w:cs="Arial"/>
        </w:rPr>
      </w:pPr>
      <w:bookmarkStart w:id="12" w:name="_Toc376512012"/>
      <w:r w:rsidRPr="00A320F5">
        <w:rPr>
          <w:rFonts w:cs="Arial"/>
        </w:rPr>
        <w:t>Since September2014 the reporting of incidents within the Trust has remained fairly stable, with the number of reported incidents fluctuating between 350 to 400 per month.  There were a total of 750 patient incidents reported in February/March, 369 in February and 381 in March and the top 3 themes of incidents were pressure ulcers, falls and medication.  On closer inspection there is an increase in incidents reported under a) Access/Admission/Transfer incidents, 18 compared to 2 for December/January and b) Documentation incidents, 23 compared to 12 for December/January and c) Slip from a height/chair or bed incidents, 23 compared to 13 for December/January.</w:t>
      </w:r>
    </w:p>
    <w:p w:rsidR="00E625F9" w:rsidRPr="00A320F5" w:rsidRDefault="00E625F9" w:rsidP="00E625F9">
      <w:pPr>
        <w:spacing w:after="0" w:line="240" w:lineRule="auto"/>
        <w:jc w:val="both"/>
        <w:rPr>
          <w:rFonts w:cs="Arial"/>
        </w:rPr>
      </w:pPr>
    </w:p>
    <w:p w:rsidR="00E625F9" w:rsidRPr="00A320F5" w:rsidRDefault="00E625F9" w:rsidP="00E625F9">
      <w:pPr>
        <w:spacing w:after="0" w:line="240" w:lineRule="auto"/>
        <w:jc w:val="both"/>
        <w:rPr>
          <w:rFonts w:cs="Arial"/>
        </w:rPr>
      </w:pPr>
      <w:r w:rsidRPr="00A320F5">
        <w:rPr>
          <w:rFonts w:cs="Arial"/>
        </w:rPr>
        <w:t>On closer inspection:</w:t>
      </w:r>
    </w:p>
    <w:p w:rsidR="00E625F9" w:rsidRPr="00A320F5" w:rsidRDefault="00E625F9" w:rsidP="00E625F9">
      <w:pPr>
        <w:pStyle w:val="ListParagraph"/>
        <w:numPr>
          <w:ilvl w:val="0"/>
          <w:numId w:val="26"/>
        </w:numPr>
        <w:spacing w:after="0" w:line="240" w:lineRule="auto"/>
        <w:jc w:val="both"/>
        <w:rPr>
          <w:rFonts w:cs="Arial"/>
        </w:rPr>
      </w:pPr>
      <w:r w:rsidRPr="00A320F5">
        <w:rPr>
          <w:rFonts w:cs="Arial"/>
        </w:rPr>
        <w:t>Access/Admission - Further review of incidents revealed no identified theme</w:t>
      </w:r>
    </w:p>
    <w:p w:rsidR="00E625F9" w:rsidRPr="00A320F5" w:rsidRDefault="00E625F9" w:rsidP="00E625F9">
      <w:pPr>
        <w:pStyle w:val="ListParagraph"/>
        <w:numPr>
          <w:ilvl w:val="0"/>
          <w:numId w:val="26"/>
        </w:numPr>
        <w:spacing w:after="0" w:line="240" w:lineRule="auto"/>
        <w:jc w:val="both"/>
        <w:rPr>
          <w:rFonts w:cs="Arial"/>
        </w:rPr>
      </w:pPr>
      <w:r w:rsidRPr="00A320F5">
        <w:rPr>
          <w:rFonts w:cs="Arial"/>
        </w:rPr>
        <w:t>Documentation - Further review of incidents revealed no identified theme</w:t>
      </w:r>
    </w:p>
    <w:p w:rsidR="00E625F9" w:rsidRPr="00A320F5" w:rsidRDefault="00E625F9" w:rsidP="00E625F9">
      <w:pPr>
        <w:pStyle w:val="ListParagraph"/>
        <w:numPr>
          <w:ilvl w:val="0"/>
          <w:numId w:val="26"/>
        </w:numPr>
        <w:spacing w:after="0" w:line="240" w:lineRule="auto"/>
        <w:jc w:val="both"/>
        <w:rPr>
          <w:rFonts w:cs="Arial"/>
        </w:rPr>
      </w:pPr>
      <w:r w:rsidRPr="00A320F5">
        <w:rPr>
          <w:rFonts w:cs="Arial"/>
        </w:rPr>
        <w:t>With regards to incidents reported around slips from a height/chair or bed.  There is no underlying trend however it has been noted that 8 of these incidents were reported on one ward (Harptree) and 3 included the same patient on different occasions.  This has been highlighted to the relevant ward staff</w:t>
      </w:r>
    </w:p>
    <w:p w:rsidR="00E625F9" w:rsidRPr="00A320F5" w:rsidRDefault="00E625F9" w:rsidP="00E625F9">
      <w:pPr>
        <w:pStyle w:val="ListParagraph"/>
        <w:spacing w:after="0" w:line="240" w:lineRule="auto"/>
        <w:jc w:val="both"/>
        <w:rPr>
          <w:rFonts w:cs="Arial"/>
        </w:rPr>
      </w:pPr>
    </w:p>
    <w:p w:rsidR="00E625F9" w:rsidRPr="00A320F5" w:rsidRDefault="00E625F9" w:rsidP="00E625F9">
      <w:pPr>
        <w:spacing w:after="0" w:line="240" w:lineRule="auto"/>
        <w:jc w:val="both"/>
        <w:rPr>
          <w:rFonts w:cs="Arial"/>
        </w:rPr>
      </w:pPr>
      <w:r w:rsidRPr="00A320F5">
        <w:rPr>
          <w:rFonts w:cs="Arial"/>
        </w:rPr>
        <w:t>A total of 200</w:t>
      </w:r>
      <w:r>
        <w:rPr>
          <w:rFonts w:cs="Arial"/>
        </w:rPr>
        <w:t xml:space="preserve"> pressure ulcers</w:t>
      </w:r>
      <w:r w:rsidRPr="00A320F5">
        <w:rPr>
          <w:rFonts w:cs="Arial"/>
        </w:rPr>
        <w:t xml:space="preserve"> were reported in February and March (total number of community and hospital acquired), accounting for 27% of all patient incidents.  The Trust reported 39 hospital acquired pressure sores, which is a decrease of 8 from December/January. The Trust reported 4 hospital reported grade 3 and 4 pressure ulcers.  All relevant external organisations w</w:t>
      </w:r>
      <w:r w:rsidR="00723FD5">
        <w:rPr>
          <w:rFonts w:cs="Arial"/>
        </w:rPr>
        <w:t>ere notified in February/March</w:t>
      </w:r>
      <w:r w:rsidRPr="00A320F5">
        <w:rPr>
          <w:rFonts w:cs="Arial"/>
        </w:rPr>
        <w:t xml:space="preserve"> and a full investigation was commenced.  </w:t>
      </w:r>
    </w:p>
    <w:p w:rsidR="00E625F9" w:rsidRPr="00A320F5" w:rsidRDefault="00E625F9" w:rsidP="00E625F9">
      <w:pPr>
        <w:spacing w:after="0" w:line="240" w:lineRule="auto"/>
        <w:jc w:val="both"/>
        <w:rPr>
          <w:rFonts w:cs="Arial"/>
        </w:rPr>
      </w:pPr>
    </w:p>
    <w:p w:rsidR="00E625F9" w:rsidRPr="00A320F5" w:rsidRDefault="00E625F9" w:rsidP="00E625F9">
      <w:pPr>
        <w:spacing w:after="0" w:line="240" w:lineRule="auto"/>
        <w:jc w:val="both"/>
      </w:pPr>
      <w:r w:rsidRPr="00A320F5">
        <w:t>118 slips, trips, falls &amp; collisions were reported in February and March, which is slightly up on the numbers reported in December and January (115).  Kewstoke (21), Harptree (17), Uphill (12) and Cheddar (11) reported the highest number of falls incidents.  3 fall’s were escalated as requiring a Serious Incident Requiring Investigation, 2 due to the patient sustaining a fractured neck of femur one of these being a visitor) and 1</w:t>
      </w:r>
      <w:r w:rsidR="004B5273">
        <w:t xml:space="preserve"> due to the patient sustaining a</w:t>
      </w:r>
      <w:r w:rsidRPr="00A320F5">
        <w:t xml:space="preserve"> subdural haematoma following the fall.</w:t>
      </w:r>
    </w:p>
    <w:p w:rsidR="00E625F9" w:rsidRPr="00A320F5" w:rsidRDefault="00E625F9" w:rsidP="00E625F9">
      <w:pPr>
        <w:spacing w:after="0" w:line="240" w:lineRule="auto"/>
        <w:jc w:val="both"/>
      </w:pPr>
    </w:p>
    <w:p w:rsidR="00E625F9" w:rsidRPr="00A320F5" w:rsidRDefault="00E625F9" w:rsidP="00E625F9">
      <w:pPr>
        <w:spacing w:after="0" w:line="240" w:lineRule="auto"/>
        <w:jc w:val="both"/>
        <w:rPr>
          <w:rFonts w:cs="Arial"/>
        </w:rPr>
      </w:pPr>
      <w:r w:rsidRPr="00A320F5">
        <w:t>103 medication incidents were reported in February/March, slightly up from 87 in December/January.  These errors included administration (meaning medication administered orally or intravenously) from a clinical area (such as ward areas), medication error during the prescription process and preparation of medicines/dispensing in pharmacy.</w:t>
      </w:r>
      <w:r w:rsidRPr="00A320F5">
        <w:rPr>
          <w:rFonts w:cs="Arial"/>
        </w:rPr>
        <w:t xml:space="preserve">  </w:t>
      </w:r>
    </w:p>
    <w:p w:rsidR="00E625F9" w:rsidRPr="00F416C1" w:rsidRDefault="00E625F9" w:rsidP="00E625F9">
      <w:pPr>
        <w:pStyle w:val="Heading3"/>
        <w:jc w:val="both"/>
        <w:rPr>
          <w:sz w:val="24"/>
        </w:rPr>
      </w:pPr>
      <w:r>
        <w:rPr>
          <w:sz w:val="24"/>
        </w:rPr>
        <w:t>2.3.1 Daily Situation Report</w:t>
      </w:r>
      <w:bookmarkEnd w:id="12"/>
      <w:r>
        <w:rPr>
          <w:sz w:val="24"/>
        </w:rPr>
        <w:t xml:space="preserve"> </w:t>
      </w:r>
    </w:p>
    <w:p w:rsidR="00E625F9" w:rsidRPr="00A320F5" w:rsidRDefault="00E625F9" w:rsidP="00E625F9">
      <w:pPr>
        <w:spacing w:after="0" w:line="20" w:lineRule="atLeast"/>
        <w:jc w:val="both"/>
        <w:rPr>
          <w:rFonts w:cs="Arial"/>
        </w:rPr>
      </w:pPr>
      <w:bookmarkStart w:id="13" w:name="_Toc362959121"/>
      <w:bookmarkStart w:id="14" w:name="_Toc368381433"/>
      <w:r w:rsidRPr="00A320F5">
        <w:t>The daily situation report (SitRep) continues to be circulated by the Quality Improvement Team on a daily basis</w:t>
      </w:r>
      <w:r w:rsidRPr="00A320F5">
        <w:rPr>
          <w:rFonts w:cs="Arial"/>
        </w:rPr>
        <w:t xml:space="preserve">.  Data is presented to help operational leads focus on any areas of concern. </w:t>
      </w:r>
    </w:p>
    <w:p w:rsidR="00E625F9" w:rsidRPr="00A320F5" w:rsidRDefault="00E625F9" w:rsidP="00E625F9">
      <w:pPr>
        <w:spacing w:after="0" w:line="20" w:lineRule="atLeast"/>
        <w:jc w:val="both"/>
        <w:rPr>
          <w:rFonts w:cs="Arial"/>
        </w:rPr>
      </w:pPr>
    </w:p>
    <w:p w:rsidR="00E625F9" w:rsidRPr="009739DD" w:rsidRDefault="00E625F9" w:rsidP="00E625F9">
      <w:pPr>
        <w:rPr>
          <w:rFonts w:asciiTheme="majorHAnsi" w:hAnsiTheme="majorHAnsi"/>
          <w:b/>
          <w:color w:val="2DA2BF" w:themeColor="accent1"/>
        </w:rPr>
      </w:pPr>
      <w:r w:rsidRPr="009739DD">
        <w:rPr>
          <w:rFonts w:asciiTheme="majorHAnsi" w:hAnsiTheme="majorHAnsi"/>
          <w:b/>
          <w:color w:val="2DA2BF" w:themeColor="accent1"/>
          <w:sz w:val="24"/>
        </w:rPr>
        <w:t>2.3.2 Staff Incidents</w:t>
      </w:r>
      <w:bookmarkEnd w:id="13"/>
      <w:bookmarkEnd w:id="14"/>
    </w:p>
    <w:p w:rsidR="00E625F9" w:rsidRPr="00A320F5" w:rsidRDefault="00E625F9" w:rsidP="00E625F9">
      <w:pPr>
        <w:jc w:val="both"/>
        <w:rPr>
          <w:rFonts w:cs="Arial"/>
        </w:rPr>
      </w:pPr>
      <w:r w:rsidRPr="00A320F5">
        <w:rPr>
          <w:rFonts w:cs="Arial"/>
        </w:rPr>
        <w:t xml:space="preserve">The Trust Health and Safety Committee reviews incident trends and receives reports on incidents reported under the Reporting of Injuries, Diseases and Dangerous Occurrences Regulations (RIDDOR) 1995. </w:t>
      </w:r>
      <w:r w:rsidRPr="00A320F5">
        <w:rPr>
          <w:rFonts w:cs="Arial"/>
          <w:i/>
        </w:rPr>
        <w:t xml:space="preserve">Figure 2 </w:t>
      </w:r>
      <w:r w:rsidRPr="00A320F5">
        <w:rPr>
          <w:rFonts w:cs="Arial"/>
        </w:rPr>
        <w:t xml:space="preserve">depicts the number of staff incidents reported each month, compared to previous years. </w:t>
      </w:r>
    </w:p>
    <w:p w:rsidR="00E625F9" w:rsidRDefault="00E625F9" w:rsidP="00E625F9">
      <w:pPr>
        <w:jc w:val="both"/>
        <w:rPr>
          <w:rFonts w:cs="Arial"/>
          <w:b/>
        </w:rPr>
      </w:pPr>
    </w:p>
    <w:p w:rsidR="00E625F9" w:rsidRDefault="00E625F9" w:rsidP="00E625F9">
      <w:pPr>
        <w:jc w:val="both"/>
        <w:rPr>
          <w:rFonts w:cs="Arial"/>
          <w:b/>
        </w:rPr>
      </w:pPr>
    </w:p>
    <w:p w:rsidR="00E625F9" w:rsidRDefault="00E625F9" w:rsidP="00E625F9">
      <w:pPr>
        <w:jc w:val="both"/>
        <w:rPr>
          <w:rFonts w:cs="Arial"/>
          <w:b/>
        </w:rPr>
      </w:pPr>
    </w:p>
    <w:p w:rsidR="00E625F9" w:rsidRDefault="00E625F9" w:rsidP="00E625F9">
      <w:pPr>
        <w:jc w:val="both"/>
        <w:rPr>
          <w:rFonts w:cs="Arial"/>
          <w:b/>
        </w:rPr>
      </w:pPr>
      <w:r w:rsidRPr="00A320F5">
        <w:rPr>
          <w:rFonts w:cs="Arial"/>
          <w:b/>
        </w:rPr>
        <w:t>Figure 2:</w:t>
      </w:r>
    </w:p>
    <w:p w:rsidR="00E625F9" w:rsidRPr="00A320F5" w:rsidRDefault="00E625F9" w:rsidP="00E625F9">
      <w:pPr>
        <w:jc w:val="center"/>
        <w:rPr>
          <w:rFonts w:cs="Arial"/>
          <w:b/>
        </w:rPr>
      </w:pPr>
      <w:r w:rsidRPr="0026543B">
        <w:rPr>
          <w:noProof/>
        </w:rPr>
        <w:drawing>
          <wp:inline distT="0" distB="0" distL="0" distR="0">
            <wp:extent cx="5924550" cy="356235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srcRect/>
                    <a:stretch>
                      <a:fillRect/>
                    </a:stretch>
                  </pic:blipFill>
                  <pic:spPr bwMode="auto">
                    <a:xfrm>
                      <a:off x="0" y="0"/>
                      <a:ext cx="5924550" cy="3562350"/>
                    </a:xfrm>
                    <a:prstGeom prst="rect">
                      <a:avLst/>
                    </a:prstGeom>
                    <a:noFill/>
                    <a:ln w="9525">
                      <a:noFill/>
                      <a:miter lim="800000"/>
                      <a:headEnd/>
                      <a:tailEnd/>
                    </a:ln>
                  </pic:spPr>
                </pic:pic>
              </a:graphicData>
            </a:graphic>
          </wp:inline>
        </w:drawing>
      </w:r>
    </w:p>
    <w:p w:rsidR="00E625F9" w:rsidRPr="00A320F5" w:rsidRDefault="00E625F9" w:rsidP="00E625F9">
      <w:pPr>
        <w:spacing w:after="0" w:line="240" w:lineRule="auto"/>
        <w:jc w:val="both"/>
      </w:pPr>
      <w:r w:rsidRPr="00A320F5">
        <w:t>There were 41 staff incidents reported in February and 46 incidents reported in March, a total of 87.  Incidents reported involving abuse of staff has decreased again with 18 incidents reported in February/March.</w:t>
      </w:r>
    </w:p>
    <w:p w:rsidR="00E625F9" w:rsidRPr="00A320F5" w:rsidRDefault="00E625F9" w:rsidP="00E625F9"/>
    <w:p w:rsidR="00E625F9" w:rsidRPr="00EA75E1" w:rsidRDefault="00E625F9" w:rsidP="00E625F9">
      <w:pPr>
        <w:pStyle w:val="Heading3"/>
        <w:rPr>
          <w:sz w:val="20"/>
        </w:rPr>
      </w:pPr>
      <w:bookmarkStart w:id="15" w:name="_Toc376512013"/>
      <w:r>
        <w:rPr>
          <w:sz w:val="24"/>
        </w:rPr>
        <w:t>2.3.3 Serious Incidents (SIRI</w:t>
      </w:r>
      <w:r w:rsidRPr="00B92233">
        <w:rPr>
          <w:sz w:val="24"/>
        </w:rPr>
        <w:t>s)</w:t>
      </w:r>
      <w:bookmarkEnd w:id="15"/>
    </w:p>
    <w:p w:rsidR="00E625F9" w:rsidRPr="00983337" w:rsidRDefault="00E625F9" w:rsidP="00E625F9">
      <w:pPr>
        <w:rPr>
          <w:rFonts w:asciiTheme="majorHAnsi" w:eastAsiaTheme="majorEastAsia" w:hAnsiTheme="majorHAnsi" w:cstheme="majorBidi"/>
          <w:b/>
          <w:bCs/>
          <w:color w:val="2DA2BF" w:themeColor="accent1"/>
          <w:sz w:val="24"/>
        </w:rPr>
      </w:pPr>
      <w:r w:rsidRPr="00255468">
        <w:rPr>
          <w:rFonts w:cstheme="minorHAnsi"/>
        </w:rPr>
        <w:t>A Ser</w:t>
      </w:r>
      <w:r>
        <w:rPr>
          <w:rFonts w:cstheme="minorHAnsi"/>
        </w:rPr>
        <w:t xml:space="preserve">ious Incident is defined in the </w:t>
      </w:r>
      <w:hyperlink r:id="rId29" w:history="1">
        <w:r w:rsidRPr="001E03ED">
          <w:rPr>
            <w:rStyle w:val="Hyperlink"/>
            <w:rFonts w:cstheme="minorHAnsi"/>
            <w:color w:val="0070C0"/>
          </w:rPr>
          <w:t>http://www.england.nhs.uk/ourwork/patientsafety/</w:t>
        </w:r>
      </w:hyperlink>
      <w:r>
        <w:rPr>
          <w:rFonts w:cstheme="minorHAnsi"/>
        </w:rPr>
        <w:t xml:space="preserve"> (2013</w:t>
      </w:r>
      <w:r w:rsidRPr="00255468">
        <w:rPr>
          <w:rFonts w:cstheme="minorHAnsi"/>
        </w:rPr>
        <w:t>) as an incident that occurred in relation to NHS-funded services and care resulting in: </w:t>
      </w:r>
    </w:p>
    <w:p w:rsidR="00E625F9" w:rsidRPr="00255468" w:rsidRDefault="00E625F9" w:rsidP="00E625F9">
      <w:pPr>
        <w:numPr>
          <w:ilvl w:val="0"/>
          <w:numId w:val="11"/>
        </w:numPr>
        <w:tabs>
          <w:tab w:val="clear" w:pos="360"/>
          <w:tab w:val="num" w:pos="720"/>
        </w:tabs>
        <w:spacing w:before="100" w:beforeAutospacing="1" w:after="100" w:afterAutospacing="1"/>
        <w:ind w:left="720"/>
        <w:jc w:val="both"/>
        <w:rPr>
          <w:rFonts w:cstheme="minorHAnsi"/>
        </w:rPr>
      </w:pPr>
      <w:r>
        <w:rPr>
          <w:rFonts w:cstheme="minorHAnsi"/>
        </w:rPr>
        <w:t xml:space="preserve">Unexpected or </w:t>
      </w:r>
      <w:r w:rsidRPr="00255468">
        <w:rPr>
          <w:rFonts w:cstheme="minorHAnsi"/>
        </w:rPr>
        <w:t xml:space="preserve">avoidable death </w:t>
      </w:r>
      <w:r>
        <w:rPr>
          <w:rFonts w:cstheme="minorHAnsi"/>
        </w:rPr>
        <w:t>of one or more patients, staff, visitors, or members of the public.</w:t>
      </w:r>
    </w:p>
    <w:p w:rsidR="00E625F9" w:rsidRPr="00255468" w:rsidRDefault="00E625F9" w:rsidP="00E625F9">
      <w:pPr>
        <w:numPr>
          <w:ilvl w:val="0"/>
          <w:numId w:val="11"/>
        </w:numPr>
        <w:tabs>
          <w:tab w:val="clear" w:pos="360"/>
          <w:tab w:val="num" w:pos="720"/>
        </w:tabs>
        <w:spacing w:before="100" w:beforeAutospacing="1" w:after="100" w:afterAutospacing="1"/>
        <w:ind w:left="720"/>
        <w:jc w:val="both"/>
        <w:rPr>
          <w:rFonts w:cstheme="minorHAnsi"/>
        </w:rPr>
      </w:pPr>
      <w:r>
        <w:rPr>
          <w:rFonts w:cstheme="minorHAnsi"/>
        </w:rPr>
        <w:t>S</w:t>
      </w:r>
      <w:r w:rsidRPr="00255468">
        <w:rPr>
          <w:rFonts w:cstheme="minorHAnsi"/>
        </w:rPr>
        <w:t xml:space="preserve">erious harm </w:t>
      </w:r>
      <w:r>
        <w:rPr>
          <w:rFonts w:cstheme="minorHAnsi"/>
        </w:rPr>
        <w:t>to one or more patients, staff, visitors, or members of the public or when the outcome requires life saving intervention, major surgical/medical intervention, permanent harm or will shorten life expectancy or result in prolonged pain or psychological harm (this includes incidents graded under the NPSA definition of severe harm)</w:t>
      </w:r>
    </w:p>
    <w:p w:rsidR="00E625F9" w:rsidRPr="00255468" w:rsidRDefault="00E625F9" w:rsidP="00E625F9">
      <w:pPr>
        <w:numPr>
          <w:ilvl w:val="0"/>
          <w:numId w:val="11"/>
        </w:numPr>
        <w:tabs>
          <w:tab w:val="clear" w:pos="360"/>
          <w:tab w:val="num" w:pos="720"/>
        </w:tabs>
        <w:spacing w:before="100" w:beforeAutospacing="1" w:after="100" w:afterAutospacing="1"/>
        <w:ind w:left="720"/>
        <w:jc w:val="both"/>
        <w:rPr>
          <w:rFonts w:cstheme="minorHAnsi"/>
        </w:rPr>
      </w:pPr>
      <w:r>
        <w:rPr>
          <w:rFonts w:cstheme="minorHAnsi"/>
        </w:rPr>
        <w:t>A</w:t>
      </w:r>
      <w:r w:rsidRPr="00255468">
        <w:rPr>
          <w:rFonts w:cstheme="minorHAnsi"/>
        </w:rPr>
        <w:t xml:space="preserve"> </w:t>
      </w:r>
      <w:r>
        <w:rPr>
          <w:rFonts w:cstheme="minorHAnsi"/>
        </w:rPr>
        <w:t>scenario that prevents or threatens to prevent a provider organisations ability to continue to deliver healthcare services, for example, acute or potential loss of personal/organisational information, damage to property, reputation or the environment, IT failure or incidents in population programmes like screening and immunisation where harm potentially may extend to a large population.</w:t>
      </w:r>
    </w:p>
    <w:p w:rsidR="00E625F9" w:rsidRPr="00255468" w:rsidRDefault="00E625F9" w:rsidP="00E625F9">
      <w:pPr>
        <w:numPr>
          <w:ilvl w:val="0"/>
          <w:numId w:val="11"/>
        </w:numPr>
        <w:tabs>
          <w:tab w:val="clear" w:pos="360"/>
          <w:tab w:val="num" w:pos="720"/>
        </w:tabs>
        <w:spacing w:before="100" w:beforeAutospacing="1" w:after="100" w:afterAutospacing="1"/>
        <w:ind w:left="720"/>
        <w:jc w:val="both"/>
        <w:rPr>
          <w:rFonts w:cstheme="minorHAnsi"/>
        </w:rPr>
      </w:pPr>
      <w:r>
        <w:rPr>
          <w:rFonts w:cstheme="minorHAnsi"/>
        </w:rPr>
        <w:t>A</w:t>
      </w:r>
      <w:r w:rsidRPr="00255468">
        <w:rPr>
          <w:rFonts w:cstheme="minorHAnsi"/>
        </w:rPr>
        <w:t xml:space="preserve">llegations of abuse </w:t>
      </w:r>
    </w:p>
    <w:p w:rsidR="00E625F9" w:rsidRPr="00255468" w:rsidRDefault="00E625F9" w:rsidP="00E625F9">
      <w:pPr>
        <w:numPr>
          <w:ilvl w:val="0"/>
          <w:numId w:val="11"/>
        </w:numPr>
        <w:tabs>
          <w:tab w:val="clear" w:pos="360"/>
          <w:tab w:val="num" w:pos="720"/>
        </w:tabs>
        <w:spacing w:before="100" w:beforeAutospacing="1" w:after="100" w:afterAutospacing="1"/>
        <w:ind w:left="720"/>
        <w:jc w:val="both"/>
        <w:rPr>
          <w:rFonts w:cstheme="minorHAnsi"/>
        </w:rPr>
      </w:pPr>
      <w:r w:rsidRPr="00255468">
        <w:rPr>
          <w:rFonts w:cstheme="minorHAnsi"/>
        </w:rPr>
        <w:t xml:space="preserve">Adverse media coverage </w:t>
      </w:r>
      <w:r>
        <w:rPr>
          <w:rFonts w:cstheme="minorHAnsi"/>
        </w:rPr>
        <w:t>or public concern about the organisation or the wider NHS.</w:t>
      </w:r>
    </w:p>
    <w:p w:rsidR="00E625F9" w:rsidRDefault="00E625F9" w:rsidP="00E625F9">
      <w:pPr>
        <w:numPr>
          <w:ilvl w:val="0"/>
          <w:numId w:val="11"/>
        </w:numPr>
        <w:tabs>
          <w:tab w:val="clear" w:pos="360"/>
          <w:tab w:val="num" w:pos="720"/>
        </w:tabs>
        <w:spacing w:before="100" w:beforeAutospacing="1" w:after="100" w:afterAutospacing="1"/>
        <w:ind w:left="720"/>
        <w:jc w:val="both"/>
        <w:rPr>
          <w:rFonts w:cstheme="minorHAnsi"/>
        </w:rPr>
      </w:pPr>
      <w:r>
        <w:rPr>
          <w:rFonts w:cstheme="minorHAnsi"/>
        </w:rPr>
        <w:t>O</w:t>
      </w:r>
      <w:r w:rsidRPr="00255468">
        <w:rPr>
          <w:rFonts w:cstheme="minorHAnsi"/>
        </w:rPr>
        <w:t xml:space="preserve">ne of the core set of Never Events </w:t>
      </w:r>
    </w:p>
    <w:p w:rsidR="00E625F9" w:rsidRPr="006F6468" w:rsidRDefault="00E625F9" w:rsidP="00E625F9">
      <w:pPr>
        <w:spacing w:before="100" w:beforeAutospacing="1" w:after="100" w:afterAutospacing="1"/>
        <w:jc w:val="both"/>
        <w:rPr>
          <w:rFonts w:cstheme="minorHAnsi"/>
        </w:rPr>
      </w:pPr>
      <w:r w:rsidRPr="006F6468">
        <w:rPr>
          <w:rFonts w:ascii="Calibri" w:hAnsi="Calibri"/>
          <w:i/>
        </w:rPr>
        <w:t xml:space="preserve">Figure 3 </w:t>
      </w:r>
      <w:r w:rsidRPr="006F6468">
        <w:rPr>
          <w:rFonts w:ascii="Calibri" w:hAnsi="Calibri"/>
        </w:rPr>
        <w:t xml:space="preserve">depicts the number of serious incidents reported to the Trust </w:t>
      </w:r>
    </w:p>
    <w:p w:rsidR="00E625F9" w:rsidRPr="00DA773A" w:rsidRDefault="00E625F9" w:rsidP="00E625F9">
      <w:pPr>
        <w:rPr>
          <w:b/>
        </w:rPr>
      </w:pPr>
      <w:r w:rsidRPr="00DA773A">
        <w:rPr>
          <w:b/>
        </w:rPr>
        <w:t>Figure 3:</w:t>
      </w:r>
    </w:p>
    <w:p w:rsidR="00E625F9" w:rsidRDefault="00E625F9" w:rsidP="00E625F9">
      <w:pPr>
        <w:jc w:val="center"/>
        <w:rPr>
          <w:rFonts w:cstheme="minorHAnsi"/>
          <w:sz w:val="20"/>
        </w:rPr>
      </w:pPr>
      <w:r w:rsidRPr="000012B2">
        <w:rPr>
          <w:noProof/>
        </w:rPr>
        <w:drawing>
          <wp:inline distT="0" distB="0" distL="0" distR="0">
            <wp:extent cx="6000750" cy="3752850"/>
            <wp:effectExtent l="1905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6000750" cy="3752850"/>
                    </a:xfrm>
                    <a:prstGeom prst="rect">
                      <a:avLst/>
                    </a:prstGeom>
                    <a:noFill/>
                    <a:ln w="9525">
                      <a:noFill/>
                      <a:miter lim="800000"/>
                      <a:headEnd/>
                      <a:tailEnd/>
                    </a:ln>
                  </pic:spPr>
                </pic:pic>
              </a:graphicData>
            </a:graphic>
          </wp:inline>
        </w:drawing>
      </w:r>
    </w:p>
    <w:p w:rsidR="00E625F9" w:rsidRDefault="00E625F9" w:rsidP="00E625F9">
      <w:pPr>
        <w:jc w:val="both"/>
        <w:rPr>
          <w:rFonts w:cstheme="minorHAnsi"/>
        </w:rPr>
      </w:pPr>
    </w:p>
    <w:p w:rsidR="00E625F9" w:rsidRDefault="00E625F9" w:rsidP="00E625F9">
      <w:pPr>
        <w:jc w:val="both"/>
        <w:rPr>
          <w:rFonts w:cstheme="minorHAnsi"/>
        </w:rPr>
      </w:pPr>
      <w:r>
        <w:rPr>
          <w:rFonts w:cstheme="minorHAnsi"/>
        </w:rPr>
        <w:t xml:space="preserve">Resultant investigation reports are </w:t>
      </w:r>
      <w:r w:rsidRPr="00255468">
        <w:rPr>
          <w:rFonts w:cstheme="minorHAnsi"/>
        </w:rPr>
        <w:t>reviewed by the local Clinical Commissioning Group and, for the most serious cases, also reviewed by the NHS Trust Deve</w:t>
      </w:r>
      <w:r>
        <w:rPr>
          <w:rFonts w:cstheme="minorHAnsi"/>
        </w:rPr>
        <w:t>lopment Authority. Between the 1</w:t>
      </w:r>
      <w:r w:rsidRPr="008D4427">
        <w:rPr>
          <w:rFonts w:cstheme="minorHAnsi"/>
          <w:vertAlign w:val="superscript"/>
        </w:rPr>
        <w:t>st</w:t>
      </w:r>
      <w:r>
        <w:rPr>
          <w:rFonts w:cstheme="minorHAnsi"/>
        </w:rPr>
        <w:t xml:space="preserve"> February and 31</w:t>
      </w:r>
      <w:r w:rsidRPr="00BD3CF5">
        <w:rPr>
          <w:rFonts w:cstheme="minorHAnsi"/>
          <w:vertAlign w:val="superscript"/>
        </w:rPr>
        <w:t>st</w:t>
      </w:r>
      <w:r w:rsidR="00705C48">
        <w:rPr>
          <w:rFonts w:cstheme="minorHAnsi"/>
        </w:rPr>
        <w:t xml:space="preserve"> March 11 serious incidents were recorded.</w:t>
      </w:r>
    </w:p>
    <w:p w:rsidR="00E625F9" w:rsidRPr="00663D07" w:rsidRDefault="00E625F9" w:rsidP="00E625F9">
      <w:pPr>
        <w:rPr>
          <w:rFonts w:cstheme="minorHAnsi"/>
          <w:sz w:val="20"/>
        </w:rPr>
      </w:pPr>
      <w:r>
        <w:rPr>
          <w:rFonts w:cstheme="minorHAnsi"/>
        </w:rPr>
        <w:t>The 11 investigations are classified as follows:</w:t>
      </w:r>
    </w:p>
    <w:tbl>
      <w:tblPr>
        <w:tblStyle w:val="TableGrid"/>
        <w:tblW w:w="0" w:type="auto"/>
        <w:tblInd w:w="1635" w:type="dxa"/>
        <w:tblLook w:val="04A0"/>
      </w:tblPr>
      <w:tblGrid>
        <w:gridCol w:w="4219"/>
        <w:gridCol w:w="1043"/>
        <w:gridCol w:w="1043"/>
      </w:tblGrid>
      <w:tr w:rsidR="00E625F9" w:rsidTr="009D6BC5">
        <w:tc>
          <w:tcPr>
            <w:tcW w:w="4219" w:type="dxa"/>
          </w:tcPr>
          <w:p w:rsidR="00E625F9" w:rsidRPr="00AA1C43" w:rsidRDefault="00E625F9" w:rsidP="009D6BC5">
            <w:pPr>
              <w:rPr>
                <w:rFonts w:cstheme="minorHAnsi"/>
                <w:b/>
              </w:rPr>
            </w:pPr>
            <w:r w:rsidRPr="00AA1C43">
              <w:rPr>
                <w:rFonts w:cstheme="minorHAnsi"/>
                <w:b/>
              </w:rPr>
              <w:t>Category</w:t>
            </w:r>
          </w:p>
        </w:tc>
        <w:tc>
          <w:tcPr>
            <w:tcW w:w="1043" w:type="dxa"/>
          </w:tcPr>
          <w:p w:rsidR="00E625F9" w:rsidRPr="00AA1C43" w:rsidRDefault="00E625F9" w:rsidP="009D6BC5">
            <w:pPr>
              <w:rPr>
                <w:rFonts w:cstheme="minorHAnsi"/>
                <w:b/>
              </w:rPr>
            </w:pPr>
            <w:r w:rsidRPr="00AA1C43">
              <w:rPr>
                <w:rFonts w:cstheme="minorHAnsi"/>
                <w:b/>
              </w:rPr>
              <w:t>Grade 1</w:t>
            </w:r>
          </w:p>
        </w:tc>
        <w:tc>
          <w:tcPr>
            <w:tcW w:w="1043" w:type="dxa"/>
          </w:tcPr>
          <w:p w:rsidR="00E625F9" w:rsidRPr="00AA1C43" w:rsidRDefault="00E625F9" w:rsidP="009D6BC5">
            <w:pPr>
              <w:rPr>
                <w:rFonts w:cstheme="minorHAnsi"/>
                <w:b/>
              </w:rPr>
            </w:pPr>
            <w:r w:rsidRPr="00AA1C43">
              <w:rPr>
                <w:rFonts w:cstheme="minorHAnsi"/>
                <w:b/>
              </w:rPr>
              <w:t>Grade 2</w:t>
            </w:r>
          </w:p>
        </w:tc>
      </w:tr>
      <w:tr w:rsidR="00E625F9" w:rsidRPr="00D20839" w:rsidTr="009D6BC5">
        <w:tc>
          <w:tcPr>
            <w:tcW w:w="4219" w:type="dxa"/>
          </w:tcPr>
          <w:p w:rsidR="00E625F9" w:rsidRPr="00D20839" w:rsidRDefault="00E625F9" w:rsidP="009D6BC5">
            <w:pPr>
              <w:rPr>
                <w:rFonts w:cstheme="minorHAnsi"/>
              </w:rPr>
            </w:pPr>
            <w:r w:rsidRPr="00D20839">
              <w:rPr>
                <w:rFonts w:cstheme="minorHAnsi"/>
              </w:rPr>
              <w:t>Operational (e.g. unit closure)</w:t>
            </w:r>
          </w:p>
        </w:tc>
        <w:tc>
          <w:tcPr>
            <w:tcW w:w="1043" w:type="dxa"/>
            <w:vAlign w:val="center"/>
          </w:tcPr>
          <w:p w:rsidR="00E625F9" w:rsidRPr="00D20839" w:rsidRDefault="00E625F9" w:rsidP="009D6BC5">
            <w:pPr>
              <w:jc w:val="center"/>
              <w:rPr>
                <w:rFonts w:cstheme="minorHAnsi"/>
              </w:rPr>
            </w:pPr>
            <w:r>
              <w:rPr>
                <w:rFonts w:cstheme="minorHAnsi"/>
              </w:rPr>
              <w:t>0</w:t>
            </w:r>
          </w:p>
        </w:tc>
        <w:tc>
          <w:tcPr>
            <w:tcW w:w="1043" w:type="dxa"/>
            <w:vAlign w:val="center"/>
          </w:tcPr>
          <w:p w:rsidR="00E625F9" w:rsidRPr="00D20839" w:rsidRDefault="00E625F9" w:rsidP="009D6BC5">
            <w:pPr>
              <w:jc w:val="center"/>
              <w:rPr>
                <w:rFonts w:cstheme="minorHAnsi"/>
              </w:rPr>
            </w:pPr>
            <w:r w:rsidRPr="00D20839">
              <w:rPr>
                <w:rFonts w:cstheme="minorHAnsi"/>
              </w:rPr>
              <w:t>0</w:t>
            </w:r>
          </w:p>
        </w:tc>
      </w:tr>
      <w:tr w:rsidR="00E625F9" w:rsidRPr="00D20839" w:rsidTr="009D6BC5">
        <w:tc>
          <w:tcPr>
            <w:tcW w:w="4219" w:type="dxa"/>
          </w:tcPr>
          <w:p w:rsidR="00E625F9" w:rsidRPr="00D20839" w:rsidRDefault="00E625F9" w:rsidP="009D6BC5">
            <w:pPr>
              <w:rPr>
                <w:rFonts w:cstheme="minorHAnsi"/>
              </w:rPr>
            </w:pPr>
            <w:r w:rsidRPr="00D20839">
              <w:rPr>
                <w:rFonts w:cstheme="minorHAnsi"/>
              </w:rPr>
              <w:t>Adverse media attention</w:t>
            </w:r>
          </w:p>
        </w:tc>
        <w:tc>
          <w:tcPr>
            <w:tcW w:w="1043" w:type="dxa"/>
            <w:vAlign w:val="center"/>
          </w:tcPr>
          <w:p w:rsidR="00E625F9" w:rsidRPr="00D20839" w:rsidRDefault="00E625F9" w:rsidP="009D6BC5">
            <w:pPr>
              <w:jc w:val="center"/>
              <w:rPr>
                <w:rFonts w:cstheme="minorHAnsi"/>
              </w:rPr>
            </w:pPr>
            <w:r>
              <w:rPr>
                <w:rFonts w:cstheme="minorHAnsi"/>
              </w:rPr>
              <w:t>0</w:t>
            </w:r>
          </w:p>
        </w:tc>
        <w:tc>
          <w:tcPr>
            <w:tcW w:w="1043" w:type="dxa"/>
            <w:vAlign w:val="center"/>
          </w:tcPr>
          <w:p w:rsidR="00E625F9" w:rsidRPr="00D20839" w:rsidRDefault="00E625F9" w:rsidP="009D6BC5">
            <w:pPr>
              <w:jc w:val="center"/>
              <w:rPr>
                <w:rFonts w:cstheme="minorHAnsi"/>
              </w:rPr>
            </w:pPr>
            <w:r w:rsidRPr="00D20839">
              <w:rPr>
                <w:rFonts w:cstheme="minorHAnsi"/>
              </w:rPr>
              <w:t>0</w:t>
            </w:r>
          </w:p>
        </w:tc>
      </w:tr>
      <w:tr w:rsidR="00E625F9" w:rsidRPr="00D20839" w:rsidTr="009D6BC5">
        <w:tc>
          <w:tcPr>
            <w:tcW w:w="4219" w:type="dxa"/>
          </w:tcPr>
          <w:p w:rsidR="00E625F9" w:rsidRPr="00D20839" w:rsidRDefault="00E625F9" w:rsidP="009D6BC5">
            <w:pPr>
              <w:rPr>
                <w:rFonts w:cstheme="minorHAnsi"/>
              </w:rPr>
            </w:pPr>
            <w:r w:rsidRPr="00D20839">
              <w:rPr>
                <w:rFonts w:cstheme="minorHAnsi"/>
              </w:rPr>
              <w:t>Information Governance (e.g. loss of data)</w:t>
            </w:r>
          </w:p>
        </w:tc>
        <w:tc>
          <w:tcPr>
            <w:tcW w:w="1043" w:type="dxa"/>
            <w:vAlign w:val="center"/>
          </w:tcPr>
          <w:p w:rsidR="00E625F9" w:rsidRPr="00D20839" w:rsidRDefault="00E625F9" w:rsidP="009D6BC5">
            <w:pPr>
              <w:jc w:val="center"/>
              <w:rPr>
                <w:rFonts w:cstheme="minorHAnsi"/>
              </w:rPr>
            </w:pPr>
            <w:r>
              <w:rPr>
                <w:rFonts w:cstheme="minorHAnsi"/>
              </w:rPr>
              <w:t>0</w:t>
            </w:r>
          </w:p>
        </w:tc>
        <w:tc>
          <w:tcPr>
            <w:tcW w:w="1043" w:type="dxa"/>
            <w:vAlign w:val="center"/>
          </w:tcPr>
          <w:p w:rsidR="00E625F9" w:rsidRPr="00D20839" w:rsidRDefault="00E625F9" w:rsidP="009D6BC5">
            <w:pPr>
              <w:jc w:val="center"/>
              <w:rPr>
                <w:rFonts w:cstheme="minorHAnsi"/>
              </w:rPr>
            </w:pPr>
            <w:r w:rsidRPr="00D20839">
              <w:rPr>
                <w:rFonts w:cstheme="minorHAnsi"/>
              </w:rPr>
              <w:t>0</w:t>
            </w:r>
          </w:p>
        </w:tc>
      </w:tr>
      <w:tr w:rsidR="00E625F9" w:rsidRPr="00D20839" w:rsidTr="009D6BC5">
        <w:tc>
          <w:tcPr>
            <w:tcW w:w="4219" w:type="dxa"/>
          </w:tcPr>
          <w:p w:rsidR="00E625F9" w:rsidRPr="00D20839" w:rsidRDefault="00E625F9" w:rsidP="009D6BC5">
            <w:pPr>
              <w:rPr>
                <w:rFonts w:cstheme="minorHAnsi"/>
              </w:rPr>
            </w:pPr>
            <w:r w:rsidRPr="00D20839">
              <w:rPr>
                <w:rFonts w:cstheme="minorHAnsi"/>
              </w:rPr>
              <w:t>Clinical Care of patient (e.g. pressure ulcer, delayed diagnosis, avoidable severe harm)</w:t>
            </w:r>
          </w:p>
        </w:tc>
        <w:tc>
          <w:tcPr>
            <w:tcW w:w="1043" w:type="dxa"/>
            <w:vAlign w:val="center"/>
          </w:tcPr>
          <w:p w:rsidR="00E625F9" w:rsidRPr="00D20839" w:rsidRDefault="00E625F9" w:rsidP="009D6BC5">
            <w:pPr>
              <w:jc w:val="center"/>
              <w:rPr>
                <w:rFonts w:cstheme="minorHAnsi"/>
              </w:rPr>
            </w:pPr>
            <w:r>
              <w:rPr>
                <w:rFonts w:cstheme="minorHAnsi"/>
              </w:rPr>
              <w:t>11</w:t>
            </w:r>
          </w:p>
        </w:tc>
        <w:tc>
          <w:tcPr>
            <w:tcW w:w="1043" w:type="dxa"/>
            <w:vAlign w:val="center"/>
          </w:tcPr>
          <w:p w:rsidR="00E625F9" w:rsidRPr="00D20839" w:rsidRDefault="00E625F9" w:rsidP="009D6BC5">
            <w:pPr>
              <w:jc w:val="center"/>
              <w:rPr>
                <w:rFonts w:cstheme="minorHAnsi"/>
              </w:rPr>
            </w:pPr>
            <w:r>
              <w:rPr>
                <w:rFonts w:cstheme="minorHAnsi"/>
              </w:rPr>
              <w:t>0</w:t>
            </w:r>
          </w:p>
        </w:tc>
      </w:tr>
      <w:tr w:rsidR="00E625F9" w:rsidRPr="00D20839" w:rsidTr="009D6BC5">
        <w:tc>
          <w:tcPr>
            <w:tcW w:w="4219" w:type="dxa"/>
          </w:tcPr>
          <w:p w:rsidR="00E625F9" w:rsidRPr="00D20839" w:rsidRDefault="00E625F9" w:rsidP="009D6BC5">
            <w:pPr>
              <w:rPr>
                <w:rFonts w:cstheme="minorHAnsi"/>
              </w:rPr>
            </w:pPr>
            <w:r w:rsidRPr="00D20839">
              <w:rPr>
                <w:rFonts w:cstheme="minorHAnsi"/>
              </w:rPr>
              <w:t>Safeguarding (e.g. allegation of abuse)</w:t>
            </w:r>
          </w:p>
        </w:tc>
        <w:tc>
          <w:tcPr>
            <w:tcW w:w="1043" w:type="dxa"/>
            <w:vAlign w:val="center"/>
          </w:tcPr>
          <w:p w:rsidR="00E625F9" w:rsidRPr="00D20839" w:rsidRDefault="00E625F9" w:rsidP="009D6BC5">
            <w:pPr>
              <w:jc w:val="center"/>
              <w:rPr>
                <w:rFonts w:cstheme="minorHAnsi"/>
              </w:rPr>
            </w:pPr>
            <w:r>
              <w:rPr>
                <w:rFonts w:cstheme="minorHAnsi"/>
              </w:rPr>
              <w:t>0</w:t>
            </w:r>
          </w:p>
        </w:tc>
        <w:tc>
          <w:tcPr>
            <w:tcW w:w="1043" w:type="dxa"/>
            <w:vAlign w:val="center"/>
          </w:tcPr>
          <w:p w:rsidR="00E625F9" w:rsidRPr="00D20839" w:rsidRDefault="00E625F9" w:rsidP="009D6BC5">
            <w:pPr>
              <w:jc w:val="center"/>
              <w:rPr>
                <w:rFonts w:cstheme="minorHAnsi"/>
              </w:rPr>
            </w:pPr>
            <w:r>
              <w:rPr>
                <w:rFonts w:cstheme="minorHAnsi"/>
              </w:rPr>
              <w:t>0</w:t>
            </w:r>
          </w:p>
        </w:tc>
      </w:tr>
      <w:tr w:rsidR="00E625F9" w:rsidRPr="00D20839" w:rsidTr="009D6BC5">
        <w:tc>
          <w:tcPr>
            <w:tcW w:w="4219" w:type="dxa"/>
          </w:tcPr>
          <w:p w:rsidR="00E625F9" w:rsidRPr="00D20839" w:rsidRDefault="00E625F9" w:rsidP="009D6BC5">
            <w:pPr>
              <w:rPr>
                <w:rFonts w:cstheme="minorHAnsi"/>
              </w:rPr>
            </w:pPr>
            <w:r w:rsidRPr="00D20839">
              <w:rPr>
                <w:rFonts w:cstheme="minorHAnsi"/>
              </w:rPr>
              <w:t>Avoidable severe harm to staff</w:t>
            </w:r>
          </w:p>
        </w:tc>
        <w:tc>
          <w:tcPr>
            <w:tcW w:w="1043" w:type="dxa"/>
            <w:vAlign w:val="center"/>
          </w:tcPr>
          <w:p w:rsidR="00E625F9" w:rsidRPr="00D20839" w:rsidRDefault="00E625F9" w:rsidP="009D6BC5">
            <w:pPr>
              <w:jc w:val="center"/>
              <w:rPr>
                <w:rFonts w:cstheme="minorHAnsi"/>
              </w:rPr>
            </w:pPr>
            <w:r>
              <w:rPr>
                <w:rFonts w:cstheme="minorHAnsi"/>
              </w:rPr>
              <w:t>0</w:t>
            </w:r>
          </w:p>
        </w:tc>
        <w:tc>
          <w:tcPr>
            <w:tcW w:w="1043" w:type="dxa"/>
            <w:vAlign w:val="center"/>
          </w:tcPr>
          <w:p w:rsidR="00E625F9" w:rsidRPr="00D20839" w:rsidRDefault="00E625F9" w:rsidP="009D6BC5">
            <w:pPr>
              <w:jc w:val="center"/>
              <w:rPr>
                <w:rFonts w:cstheme="minorHAnsi"/>
              </w:rPr>
            </w:pPr>
            <w:r w:rsidRPr="00D20839">
              <w:rPr>
                <w:rFonts w:cstheme="minorHAnsi"/>
              </w:rPr>
              <w:t>0</w:t>
            </w:r>
          </w:p>
        </w:tc>
      </w:tr>
    </w:tbl>
    <w:p w:rsidR="00E625F9" w:rsidRPr="00E625F9" w:rsidRDefault="00E625F9" w:rsidP="00E625F9"/>
    <w:p w:rsidR="009D6BC5" w:rsidRDefault="009D6BC5" w:rsidP="00F17E02">
      <w:pPr>
        <w:spacing w:before="120"/>
        <w:jc w:val="both"/>
        <w:rPr>
          <w:b/>
          <w:color w:val="1FADCD" w:themeColor="background2" w:themeShade="80"/>
          <w:sz w:val="26"/>
          <w:szCs w:val="26"/>
        </w:rPr>
      </w:pPr>
    </w:p>
    <w:p w:rsidR="00AF54F2" w:rsidRPr="00FC7875" w:rsidRDefault="00AF54F2" w:rsidP="00F17E02">
      <w:pPr>
        <w:spacing w:before="120"/>
        <w:jc w:val="both"/>
        <w:rPr>
          <w:sz w:val="24"/>
        </w:rPr>
      </w:pPr>
      <w:r>
        <w:rPr>
          <w:b/>
          <w:color w:val="1FADCD" w:themeColor="background2" w:themeShade="80"/>
          <w:sz w:val="26"/>
          <w:szCs w:val="26"/>
        </w:rPr>
        <w:t>2.5</w:t>
      </w:r>
      <w:r w:rsidRPr="0079070A">
        <w:rPr>
          <w:b/>
          <w:color w:val="1FADCD" w:themeColor="background2" w:themeShade="80"/>
          <w:sz w:val="26"/>
          <w:szCs w:val="26"/>
        </w:rPr>
        <w:t xml:space="preserve"> Patient Feedback</w:t>
      </w:r>
    </w:p>
    <w:bookmarkEnd w:id="11"/>
    <w:p w:rsidR="00BF7BD0" w:rsidRDefault="00BF7BD0" w:rsidP="00BF7BD0">
      <w:pPr>
        <w:pStyle w:val="Heading3"/>
        <w:rPr>
          <w:sz w:val="24"/>
        </w:rPr>
      </w:pPr>
      <w:r>
        <w:rPr>
          <w:sz w:val="24"/>
        </w:rPr>
        <w:t>2.5</w:t>
      </w:r>
      <w:r w:rsidRPr="00726CE2">
        <w:rPr>
          <w:sz w:val="24"/>
        </w:rPr>
        <w:t xml:space="preserve">.1 Complaints </w:t>
      </w:r>
    </w:p>
    <w:p w:rsidR="009D6BC5" w:rsidRPr="002E2B86" w:rsidRDefault="009D6BC5" w:rsidP="009D6BC5">
      <w:pPr>
        <w:spacing w:after="0" w:line="240" w:lineRule="auto"/>
        <w:jc w:val="both"/>
        <w:rPr>
          <w:rFonts w:cs="Arial"/>
          <w:color w:val="FF0000"/>
        </w:rPr>
      </w:pPr>
      <w:r w:rsidRPr="007219CB">
        <w:rPr>
          <w:rFonts w:cs="Arial"/>
        </w:rPr>
        <w:t>Complaints management is critical to ensuring the Trust not only responds to the complainant in a timely manner, but to ensure the learning from complaints is translated into action. Complaints data enables the Trust to determine if there are any trends in subject matter, location or person</w:t>
      </w:r>
      <w:r>
        <w:rPr>
          <w:rFonts w:cs="Arial"/>
        </w:rPr>
        <w:t>nel. Figure</w:t>
      </w:r>
      <w:r w:rsidRPr="007219CB">
        <w:rPr>
          <w:rFonts w:cs="Arial"/>
          <w:i/>
        </w:rPr>
        <w:t xml:space="preserve"> </w:t>
      </w:r>
      <w:r w:rsidR="005702A8">
        <w:rPr>
          <w:rFonts w:cs="Arial"/>
          <w:i/>
        </w:rPr>
        <w:t>5</w:t>
      </w:r>
      <w:r w:rsidRPr="007219CB">
        <w:rPr>
          <w:rFonts w:cs="Arial"/>
        </w:rPr>
        <w:t xml:space="preserve"> portrays that the total number of complaints received in </w:t>
      </w:r>
      <w:r>
        <w:rPr>
          <w:rFonts w:cs="Arial"/>
        </w:rPr>
        <w:t xml:space="preserve">February 2015 and March 2015 </w:t>
      </w:r>
      <w:r w:rsidRPr="007219CB">
        <w:rPr>
          <w:rFonts w:cs="Arial"/>
        </w:rPr>
        <w:t xml:space="preserve">as </w:t>
      </w:r>
      <w:r>
        <w:rPr>
          <w:rFonts w:cs="Arial"/>
        </w:rPr>
        <w:t>34</w:t>
      </w:r>
      <w:r w:rsidRPr="007219CB">
        <w:rPr>
          <w:rFonts w:cs="Arial"/>
        </w:rPr>
        <w:t xml:space="preserve">. </w:t>
      </w:r>
    </w:p>
    <w:p w:rsidR="009D6BC5" w:rsidRPr="007219CB" w:rsidRDefault="009D6BC5" w:rsidP="009D6BC5">
      <w:pPr>
        <w:spacing w:after="0" w:line="240" w:lineRule="auto"/>
        <w:jc w:val="both"/>
        <w:rPr>
          <w:rFonts w:cs="Arial"/>
        </w:rPr>
      </w:pPr>
    </w:p>
    <w:p w:rsidR="009D6BC5" w:rsidRDefault="009D6BC5" w:rsidP="009D6BC5">
      <w:pPr>
        <w:spacing w:after="0" w:line="240" w:lineRule="auto"/>
        <w:jc w:val="both"/>
        <w:rPr>
          <w:rFonts w:cs="Tahoma"/>
          <w:noProof/>
        </w:rPr>
      </w:pPr>
      <w:r>
        <w:rPr>
          <w:rFonts w:cs="Tahoma"/>
          <w:noProof/>
        </w:rPr>
        <w:t xml:space="preserve">There was </w:t>
      </w:r>
      <w:r w:rsidRPr="007219CB">
        <w:rPr>
          <w:rFonts w:cs="Tahoma"/>
          <w:noProof/>
        </w:rPr>
        <w:t>o</w:t>
      </w:r>
      <w:r>
        <w:rPr>
          <w:rFonts w:cs="Tahoma"/>
          <w:noProof/>
        </w:rPr>
        <w:t>ne</w:t>
      </w:r>
      <w:r w:rsidRPr="007219CB">
        <w:rPr>
          <w:rFonts w:cs="Tahoma"/>
          <w:noProof/>
        </w:rPr>
        <w:t xml:space="preserve"> complaint linked to safety incidents. </w:t>
      </w:r>
    </w:p>
    <w:p w:rsidR="009D6BC5" w:rsidRDefault="009D6BC5" w:rsidP="009D6BC5">
      <w:pPr>
        <w:spacing w:after="0" w:line="240" w:lineRule="auto"/>
        <w:jc w:val="both"/>
        <w:rPr>
          <w:rFonts w:cs="Tahoma"/>
          <w:noProof/>
        </w:rPr>
      </w:pPr>
    </w:p>
    <w:p w:rsidR="009D6BC5" w:rsidRPr="009D6BC5" w:rsidRDefault="005702A8" w:rsidP="009D6BC5">
      <w:pPr>
        <w:spacing w:after="0" w:line="240" w:lineRule="auto"/>
        <w:jc w:val="both"/>
        <w:rPr>
          <w:rFonts w:cs="Tahoma"/>
          <w:b/>
          <w:noProof/>
        </w:rPr>
      </w:pPr>
      <w:r>
        <w:rPr>
          <w:rFonts w:cs="Tahoma"/>
          <w:b/>
          <w:noProof/>
        </w:rPr>
        <w:t>Figure 4</w:t>
      </w:r>
      <w:r w:rsidR="009D6BC5" w:rsidRPr="009D6BC5">
        <w:rPr>
          <w:rFonts w:cs="Tahoma"/>
          <w:b/>
          <w:noProof/>
        </w:rPr>
        <w:t>:</w:t>
      </w:r>
    </w:p>
    <w:p w:rsidR="009D6BC5" w:rsidRDefault="009D6BC5" w:rsidP="009D6BC5">
      <w:pPr>
        <w:spacing w:after="0" w:line="240" w:lineRule="auto"/>
        <w:jc w:val="both"/>
        <w:rPr>
          <w:rFonts w:cs="Tahoma"/>
          <w:noProof/>
        </w:rPr>
      </w:pPr>
    </w:p>
    <w:p w:rsidR="009D6BC5" w:rsidRPr="007219CB" w:rsidRDefault="009D6BC5" w:rsidP="009D6BC5">
      <w:pPr>
        <w:spacing w:after="0" w:line="240" w:lineRule="auto"/>
        <w:jc w:val="center"/>
        <w:rPr>
          <w:rFonts w:cs="Tahoma"/>
          <w:noProof/>
        </w:rPr>
      </w:pPr>
      <w:r w:rsidRPr="00ED75D7">
        <w:rPr>
          <w:noProof/>
        </w:rPr>
        <w:drawing>
          <wp:inline distT="0" distB="0" distL="0" distR="0">
            <wp:extent cx="4914286" cy="2800000"/>
            <wp:effectExtent l="190500" t="152400" r="172064" b="114650"/>
            <wp:docPr id="5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914286" cy="2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D6BC5" w:rsidRDefault="009D6BC5" w:rsidP="009D6BC5">
      <w:pPr>
        <w:spacing w:after="0" w:line="240" w:lineRule="auto"/>
        <w:jc w:val="both"/>
        <w:rPr>
          <w:rFonts w:cs="Tahoma"/>
          <w:color w:val="FF0000"/>
        </w:rPr>
      </w:pPr>
    </w:p>
    <w:p w:rsidR="009D6BC5" w:rsidRPr="009D6BC5" w:rsidRDefault="009D6BC5" w:rsidP="009D6BC5">
      <w:pPr>
        <w:spacing w:after="0" w:line="240" w:lineRule="auto"/>
        <w:jc w:val="both"/>
        <w:rPr>
          <w:rFonts w:cs="Tahoma"/>
          <w:b/>
          <w:color w:val="000000" w:themeColor="text1"/>
        </w:rPr>
      </w:pPr>
      <w:r w:rsidRPr="009D6BC5">
        <w:rPr>
          <w:rFonts w:cs="Tahoma"/>
          <w:b/>
          <w:color w:val="000000" w:themeColor="text1"/>
        </w:rPr>
        <w:t xml:space="preserve">Figure </w:t>
      </w:r>
      <w:r w:rsidR="005702A8">
        <w:rPr>
          <w:rFonts w:cs="Tahoma"/>
          <w:b/>
          <w:color w:val="000000" w:themeColor="text1"/>
        </w:rPr>
        <w:t>5</w:t>
      </w:r>
      <w:r w:rsidRPr="009D6BC5">
        <w:rPr>
          <w:rFonts w:cs="Tahoma"/>
          <w:b/>
          <w:color w:val="000000" w:themeColor="text1"/>
        </w:rPr>
        <w:t>:</w:t>
      </w:r>
    </w:p>
    <w:p w:rsidR="009D6BC5" w:rsidRDefault="009D6BC5" w:rsidP="009D6BC5">
      <w:pPr>
        <w:spacing w:after="0" w:line="240" w:lineRule="auto"/>
        <w:jc w:val="both"/>
        <w:rPr>
          <w:rFonts w:cs="Arial"/>
        </w:rPr>
      </w:pPr>
    </w:p>
    <w:p w:rsidR="009D6BC5" w:rsidRDefault="009D6BC5" w:rsidP="009D6BC5">
      <w:pPr>
        <w:spacing w:after="0" w:line="240" w:lineRule="auto"/>
        <w:jc w:val="both"/>
        <w:rPr>
          <w:rFonts w:cs="Arial"/>
        </w:rPr>
      </w:pPr>
      <w:r w:rsidRPr="005A1969">
        <w:rPr>
          <w:noProof/>
        </w:rPr>
        <w:drawing>
          <wp:inline distT="0" distB="0" distL="0" distR="0">
            <wp:extent cx="6620183" cy="1581150"/>
            <wp:effectExtent l="19050" t="0" r="9217"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6645910" cy="1587295"/>
                    </a:xfrm>
                    <a:prstGeom prst="rect">
                      <a:avLst/>
                    </a:prstGeom>
                    <a:noFill/>
                    <a:ln w="9525">
                      <a:noFill/>
                      <a:miter lim="800000"/>
                      <a:headEnd/>
                      <a:tailEnd/>
                    </a:ln>
                  </pic:spPr>
                </pic:pic>
              </a:graphicData>
            </a:graphic>
          </wp:inline>
        </w:drawing>
      </w:r>
    </w:p>
    <w:p w:rsidR="009D6BC5" w:rsidRDefault="009D6BC5" w:rsidP="009D6BC5">
      <w:pPr>
        <w:jc w:val="both"/>
        <w:rPr>
          <w:rFonts w:cs="Tahoma"/>
          <w:sz w:val="20"/>
          <w:szCs w:val="20"/>
        </w:rPr>
      </w:pPr>
      <w:r>
        <w:rPr>
          <w:rFonts w:cs="Tahoma"/>
          <w:sz w:val="20"/>
          <w:szCs w:val="20"/>
        </w:rPr>
        <w:t>*At the time of writing this report, there have been 151 compliments logged for February and March. The full figure will be available in next report.</w:t>
      </w:r>
    </w:p>
    <w:p w:rsidR="009D6BC5" w:rsidRDefault="009D6BC5" w:rsidP="009D6BC5">
      <w:pPr>
        <w:jc w:val="both"/>
        <w:rPr>
          <w:rFonts w:cs="Tahoma"/>
          <w:sz w:val="20"/>
          <w:szCs w:val="20"/>
        </w:rPr>
      </w:pPr>
    </w:p>
    <w:p w:rsidR="009D6BC5" w:rsidRPr="009D6BC5" w:rsidRDefault="005702A8" w:rsidP="009D6BC5">
      <w:pPr>
        <w:jc w:val="both"/>
        <w:rPr>
          <w:rFonts w:cs="Tahoma"/>
          <w:b/>
          <w:color w:val="000000" w:themeColor="text1"/>
        </w:rPr>
      </w:pPr>
      <w:r>
        <w:rPr>
          <w:rFonts w:cs="Tahoma"/>
          <w:b/>
          <w:color w:val="000000" w:themeColor="text1"/>
        </w:rPr>
        <w:t>Figure 6</w:t>
      </w:r>
      <w:r w:rsidR="009D6BC5" w:rsidRPr="009D6BC5">
        <w:rPr>
          <w:rFonts w:cs="Tahoma"/>
          <w:b/>
          <w:color w:val="000000" w:themeColor="text1"/>
        </w:rPr>
        <w:t>:</w:t>
      </w:r>
    </w:p>
    <w:p w:rsidR="009D6BC5" w:rsidRDefault="009D6BC5" w:rsidP="009D6BC5">
      <w:pPr>
        <w:spacing w:after="0" w:line="240" w:lineRule="auto"/>
        <w:jc w:val="both"/>
        <w:rPr>
          <w:rFonts w:cs="Arial"/>
        </w:rPr>
      </w:pPr>
    </w:p>
    <w:p w:rsidR="009D6BC5" w:rsidRPr="00911295" w:rsidRDefault="009D6BC5" w:rsidP="009D6BC5">
      <w:pPr>
        <w:spacing w:after="0" w:line="240" w:lineRule="auto"/>
        <w:jc w:val="both"/>
        <w:rPr>
          <w:rFonts w:cs="Arial"/>
        </w:rPr>
      </w:pPr>
      <w:r w:rsidRPr="00911295">
        <w:rPr>
          <w:noProof/>
        </w:rPr>
        <w:drawing>
          <wp:inline distT="0" distB="0" distL="0" distR="0">
            <wp:extent cx="6645910" cy="2647950"/>
            <wp:effectExtent l="19050" t="0" r="254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6645910" cy="2647950"/>
                    </a:xfrm>
                    <a:prstGeom prst="rect">
                      <a:avLst/>
                    </a:prstGeom>
                    <a:noFill/>
                    <a:ln w="9525">
                      <a:noFill/>
                      <a:miter lim="800000"/>
                      <a:headEnd/>
                      <a:tailEnd/>
                    </a:ln>
                  </pic:spPr>
                </pic:pic>
              </a:graphicData>
            </a:graphic>
          </wp:inline>
        </w:drawing>
      </w:r>
    </w:p>
    <w:p w:rsidR="009D6BC5" w:rsidRPr="007A17C9" w:rsidRDefault="005702A8" w:rsidP="009D6BC5">
      <w:pPr>
        <w:pStyle w:val="Default"/>
        <w:jc w:val="both"/>
        <w:rPr>
          <w:rFonts w:asciiTheme="minorHAnsi" w:hAnsiTheme="minorHAnsi" w:cstheme="minorHAnsi"/>
          <w:b/>
          <w:sz w:val="22"/>
          <w:szCs w:val="22"/>
        </w:rPr>
      </w:pPr>
      <w:r>
        <w:rPr>
          <w:rFonts w:asciiTheme="minorHAnsi" w:hAnsiTheme="minorHAnsi" w:cstheme="minorHAnsi"/>
          <w:b/>
          <w:sz w:val="22"/>
          <w:szCs w:val="22"/>
        </w:rPr>
        <w:t>Figure 7</w:t>
      </w:r>
      <w:r w:rsidR="007A17C9" w:rsidRPr="007A17C9">
        <w:rPr>
          <w:rFonts w:asciiTheme="minorHAnsi" w:hAnsiTheme="minorHAnsi" w:cstheme="minorHAnsi"/>
          <w:b/>
          <w:sz w:val="22"/>
          <w:szCs w:val="22"/>
        </w:rPr>
        <w:t>:</w:t>
      </w:r>
    </w:p>
    <w:p w:rsidR="009D6BC5" w:rsidRDefault="009D6BC5" w:rsidP="009D6BC5">
      <w:pPr>
        <w:pStyle w:val="Default"/>
        <w:jc w:val="center"/>
        <w:rPr>
          <w:rFonts w:asciiTheme="minorHAnsi" w:hAnsiTheme="minorHAnsi" w:cstheme="minorHAnsi"/>
          <w:sz w:val="22"/>
          <w:szCs w:val="22"/>
        </w:rPr>
      </w:pPr>
      <w:r w:rsidRPr="000D38B3">
        <w:rPr>
          <w:noProof/>
        </w:rPr>
        <w:drawing>
          <wp:inline distT="0" distB="0" distL="0" distR="0">
            <wp:extent cx="5334000" cy="1809750"/>
            <wp:effectExtent l="19050" t="0" r="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5334000" cy="1809750"/>
                    </a:xfrm>
                    <a:prstGeom prst="rect">
                      <a:avLst/>
                    </a:prstGeom>
                    <a:noFill/>
                    <a:ln w="9525">
                      <a:noFill/>
                      <a:miter lim="800000"/>
                      <a:headEnd/>
                      <a:tailEnd/>
                    </a:ln>
                  </pic:spPr>
                </pic:pic>
              </a:graphicData>
            </a:graphic>
          </wp:inline>
        </w:drawing>
      </w:r>
    </w:p>
    <w:p w:rsidR="009D6BC5" w:rsidRDefault="009D6BC5" w:rsidP="009D6BC5">
      <w:pPr>
        <w:pStyle w:val="Default"/>
        <w:jc w:val="both"/>
        <w:rPr>
          <w:rFonts w:asciiTheme="minorHAnsi" w:hAnsiTheme="minorHAnsi" w:cstheme="minorHAnsi"/>
          <w:sz w:val="22"/>
          <w:szCs w:val="22"/>
        </w:rPr>
      </w:pPr>
      <w:r w:rsidRPr="00E726BD">
        <w:rPr>
          <w:rFonts w:asciiTheme="minorHAnsi" w:hAnsiTheme="minorHAnsi" w:cstheme="minorHAnsi"/>
          <w:sz w:val="22"/>
          <w:szCs w:val="22"/>
        </w:rPr>
        <w:t>The Trust aims to provide a full response to all complainants within 30 wo</w:t>
      </w:r>
      <w:r>
        <w:rPr>
          <w:rFonts w:asciiTheme="minorHAnsi" w:hAnsiTheme="minorHAnsi" w:cstheme="minorHAnsi"/>
          <w:sz w:val="22"/>
          <w:szCs w:val="22"/>
        </w:rPr>
        <w:t>rking days. The response time for</w:t>
      </w:r>
      <w:r w:rsidRPr="00E726BD">
        <w:rPr>
          <w:rFonts w:asciiTheme="minorHAnsi" w:hAnsiTheme="minorHAnsi" w:cstheme="minorHAnsi"/>
          <w:sz w:val="22"/>
          <w:szCs w:val="22"/>
        </w:rPr>
        <w:t xml:space="preserve"> complaints as </w:t>
      </w:r>
      <w:r>
        <w:rPr>
          <w:rFonts w:asciiTheme="minorHAnsi" w:hAnsiTheme="minorHAnsi" w:cstheme="minorHAnsi"/>
          <w:sz w:val="22"/>
          <w:szCs w:val="22"/>
        </w:rPr>
        <w:t>shown</w:t>
      </w:r>
      <w:r w:rsidRPr="00E726BD">
        <w:rPr>
          <w:rFonts w:asciiTheme="minorHAnsi" w:hAnsiTheme="minorHAnsi" w:cstheme="minorHAnsi"/>
          <w:sz w:val="22"/>
          <w:szCs w:val="22"/>
        </w:rPr>
        <w:t xml:space="preserve"> in </w:t>
      </w:r>
      <w:r w:rsidR="005702A8">
        <w:rPr>
          <w:rFonts w:asciiTheme="minorHAnsi" w:hAnsiTheme="minorHAnsi" w:cstheme="minorHAnsi"/>
          <w:i/>
          <w:sz w:val="22"/>
          <w:szCs w:val="22"/>
        </w:rPr>
        <w:t>Figure 6</w:t>
      </w:r>
      <w:r w:rsidRPr="00E726BD">
        <w:rPr>
          <w:rFonts w:asciiTheme="minorHAnsi" w:hAnsiTheme="minorHAnsi" w:cstheme="minorHAnsi"/>
          <w:i/>
          <w:sz w:val="22"/>
          <w:szCs w:val="22"/>
        </w:rPr>
        <w:t xml:space="preserve"> </w:t>
      </w:r>
      <w:r w:rsidRPr="00E726BD">
        <w:rPr>
          <w:rFonts w:asciiTheme="minorHAnsi" w:hAnsiTheme="minorHAnsi" w:cstheme="minorHAnsi"/>
          <w:sz w:val="22"/>
          <w:szCs w:val="22"/>
        </w:rPr>
        <w:t xml:space="preserve">demonstrates the commitment of the Trust to resolve complaints in a timely manner.  </w:t>
      </w:r>
    </w:p>
    <w:p w:rsidR="009D6BC5" w:rsidRDefault="009D6BC5" w:rsidP="009D6BC5">
      <w:pPr>
        <w:pStyle w:val="Default"/>
        <w:jc w:val="both"/>
        <w:rPr>
          <w:rFonts w:cstheme="minorHAnsi"/>
        </w:rPr>
      </w:pPr>
    </w:p>
    <w:p w:rsidR="009D6BC5" w:rsidRPr="0097753B" w:rsidRDefault="009D6BC5" w:rsidP="009D6BC5">
      <w:pPr>
        <w:spacing w:after="0" w:line="240" w:lineRule="auto"/>
        <w:jc w:val="both"/>
        <w:rPr>
          <w:rFonts w:cstheme="minorHAnsi"/>
        </w:rPr>
      </w:pPr>
      <w:r w:rsidRPr="0097753B">
        <w:rPr>
          <w:rFonts w:cs="Tahoma"/>
        </w:rPr>
        <w:t>The Head of Nursing regularly meet</w:t>
      </w:r>
      <w:r>
        <w:rPr>
          <w:rFonts w:cs="Tahoma"/>
        </w:rPr>
        <w:t>s</w:t>
      </w:r>
      <w:r w:rsidRPr="0097753B">
        <w:rPr>
          <w:rFonts w:cs="Tahoma"/>
        </w:rPr>
        <w:t xml:space="preserve"> with the Team to discuss target dates. This enables the complaints team to keep complainants up to date and provided reasons should there be a delay to their response.</w:t>
      </w:r>
      <w:r w:rsidRPr="0097753B">
        <w:rPr>
          <w:rFonts w:cstheme="minorHAnsi"/>
        </w:rPr>
        <w:t xml:space="preserve"> There have been 11 cases that have taken longer than the Trust target of 30 days. In each case the complainant was kept informed of the delay. </w:t>
      </w:r>
    </w:p>
    <w:p w:rsidR="009D6BC5" w:rsidRPr="00172275" w:rsidRDefault="009D6BC5" w:rsidP="009D6BC5">
      <w:pPr>
        <w:spacing w:after="0" w:line="240" w:lineRule="auto"/>
        <w:jc w:val="both"/>
        <w:rPr>
          <w:rFonts w:cstheme="minorHAnsi"/>
          <w:color w:val="FF0000"/>
        </w:rPr>
      </w:pPr>
    </w:p>
    <w:p w:rsidR="009D6BC5" w:rsidRPr="00A32779" w:rsidRDefault="009D6BC5" w:rsidP="009D6BC5">
      <w:pPr>
        <w:spacing w:after="0" w:line="240" w:lineRule="auto"/>
        <w:jc w:val="both"/>
        <w:rPr>
          <w:rFonts w:cstheme="minorHAnsi"/>
          <w:noProof/>
        </w:rPr>
      </w:pPr>
      <w:r w:rsidRPr="00A32779">
        <w:rPr>
          <w:rFonts w:cstheme="minorHAnsi"/>
          <w:noProof/>
        </w:rPr>
        <w:t>There were 3 complaints linked to safety incidents in February and March. During this period the Trust has received 5 requests of further information relating to complaints already raised.</w:t>
      </w:r>
    </w:p>
    <w:p w:rsidR="009D6BC5" w:rsidRPr="00172275" w:rsidRDefault="009D6BC5" w:rsidP="009D6BC5">
      <w:pPr>
        <w:spacing w:after="0" w:line="240" w:lineRule="auto"/>
        <w:jc w:val="both"/>
        <w:rPr>
          <w:rFonts w:cs="Arial"/>
          <w:color w:val="FF0000"/>
        </w:rPr>
      </w:pPr>
    </w:p>
    <w:p w:rsidR="009D6BC5" w:rsidRPr="00A32779" w:rsidRDefault="009D6BC5" w:rsidP="009D6BC5">
      <w:pPr>
        <w:spacing w:after="0" w:line="240" w:lineRule="auto"/>
        <w:jc w:val="both"/>
        <w:rPr>
          <w:rFonts w:cs="Arial"/>
        </w:rPr>
      </w:pPr>
      <w:r w:rsidRPr="00A32779">
        <w:rPr>
          <w:rFonts w:cs="Arial"/>
        </w:rPr>
        <w:t>All complainants are offered the opportunity to meet with relevant staff should they wish. 4 complaint resolution meetings were held during February and March resulting in satisfactory resolution for the complainant. Should complainants remain unsatisfied with the final response from the Trust, and all options for internal resolution have been exhausted, complainants are advised of the option to refer their complaint to the Complaints Ombudsman. One new complaint was referred to the Complaints Ombudsman in March.</w:t>
      </w:r>
    </w:p>
    <w:p w:rsidR="009D6BC5" w:rsidRDefault="009D6BC5" w:rsidP="009D6BC5">
      <w:pPr>
        <w:spacing w:after="0" w:line="240" w:lineRule="auto"/>
        <w:jc w:val="both"/>
        <w:rPr>
          <w:rFonts w:cs="Arial"/>
        </w:rPr>
      </w:pPr>
    </w:p>
    <w:p w:rsidR="009D6BC5" w:rsidRDefault="009D6BC5" w:rsidP="009D6BC5">
      <w:pPr>
        <w:spacing w:after="0" w:line="240" w:lineRule="auto"/>
        <w:jc w:val="both"/>
        <w:rPr>
          <w:rFonts w:cs="Arial"/>
          <w:b/>
        </w:rPr>
      </w:pPr>
    </w:p>
    <w:p w:rsidR="009D6BC5" w:rsidRPr="009865B1" w:rsidRDefault="009D6BC5" w:rsidP="009D6BC5">
      <w:pPr>
        <w:spacing w:after="0" w:line="240" w:lineRule="auto"/>
        <w:jc w:val="both"/>
        <w:rPr>
          <w:rFonts w:cs="Arial"/>
          <w:b/>
          <w:color w:val="FF0000"/>
        </w:rPr>
      </w:pPr>
      <w:r w:rsidRPr="009865B1">
        <w:rPr>
          <w:rFonts w:cs="Arial"/>
          <w:b/>
        </w:rPr>
        <w:t>2.4.2 Complaint themes</w:t>
      </w:r>
      <w:r w:rsidRPr="009865B1">
        <w:rPr>
          <w:rFonts w:cs="Arial"/>
          <w:b/>
          <w:color w:val="FF0000"/>
        </w:rPr>
        <w:t xml:space="preserve"> </w:t>
      </w:r>
    </w:p>
    <w:p w:rsidR="005702A8" w:rsidRDefault="005702A8" w:rsidP="009D6BC5">
      <w:pPr>
        <w:spacing w:line="240" w:lineRule="auto"/>
        <w:jc w:val="both"/>
        <w:rPr>
          <w:rFonts w:cs="Arial"/>
        </w:rPr>
      </w:pPr>
    </w:p>
    <w:p w:rsidR="005702A8" w:rsidRDefault="005702A8" w:rsidP="009D6BC5">
      <w:pPr>
        <w:spacing w:line="240" w:lineRule="auto"/>
        <w:jc w:val="both"/>
        <w:rPr>
          <w:rFonts w:cs="Arial"/>
        </w:rPr>
      </w:pPr>
    </w:p>
    <w:p w:rsidR="009D6BC5" w:rsidRDefault="009D6BC5" w:rsidP="009D6BC5">
      <w:pPr>
        <w:spacing w:line="240" w:lineRule="auto"/>
        <w:jc w:val="both"/>
        <w:rPr>
          <w:rFonts w:cs="Arial"/>
        </w:rPr>
      </w:pPr>
    </w:p>
    <w:p w:rsidR="009D6BC5" w:rsidRDefault="009D6BC5" w:rsidP="009D6BC5">
      <w:pPr>
        <w:spacing w:line="240" w:lineRule="auto"/>
        <w:jc w:val="both"/>
        <w:rPr>
          <w:rFonts w:cs="Arial"/>
        </w:rPr>
      </w:pPr>
    </w:p>
    <w:p w:rsidR="009D6BC5" w:rsidRDefault="009D6BC5" w:rsidP="009D6BC5">
      <w:pPr>
        <w:spacing w:line="240" w:lineRule="auto"/>
        <w:jc w:val="both"/>
        <w:rPr>
          <w:rFonts w:cs="Arial"/>
        </w:rPr>
      </w:pPr>
    </w:p>
    <w:p w:rsidR="009D6BC5" w:rsidRDefault="009D6BC5" w:rsidP="009D6BC5">
      <w:pPr>
        <w:spacing w:line="240" w:lineRule="auto"/>
        <w:jc w:val="both"/>
        <w:rPr>
          <w:rFonts w:cs="Arial"/>
        </w:rPr>
      </w:pPr>
    </w:p>
    <w:p w:rsidR="009D6BC5" w:rsidRDefault="009D6BC5" w:rsidP="009D6BC5">
      <w:pPr>
        <w:spacing w:line="240" w:lineRule="auto"/>
        <w:jc w:val="both"/>
        <w:rPr>
          <w:rFonts w:cs="Arial"/>
        </w:rPr>
      </w:pPr>
    </w:p>
    <w:p w:rsidR="009D6BC5" w:rsidRDefault="009D6BC5" w:rsidP="009D6BC5">
      <w:pPr>
        <w:spacing w:line="240" w:lineRule="auto"/>
        <w:jc w:val="both"/>
        <w:rPr>
          <w:rFonts w:cs="Arial"/>
        </w:rPr>
      </w:pPr>
    </w:p>
    <w:p w:rsidR="009D6BC5" w:rsidRDefault="009D6BC5" w:rsidP="009D6BC5">
      <w:pPr>
        <w:spacing w:line="240" w:lineRule="auto"/>
        <w:jc w:val="both"/>
        <w:rPr>
          <w:rFonts w:cs="Arial"/>
        </w:rPr>
      </w:pPr>
    </w:p>
    <w:p w:rsidR="009D6BC5" w:rsidRDefault="009D6BC5" w:rsidP="009D6BC5">
      <w:pPr>
        <w:spacing w:line="240" w:lineRule="auto"/>
        <w:jc w:val="both"/>
        <w:rPr>
          <w:rFonts w:cs="Arial"/>
        </w:rPr>
      </w:pPr>
    </w:p>
    <w:p w:rsidR="009D6BC5" w:rsidRDefault="009D6BC5" w:rsidP="009D6BC5">
      <w:pPr>
        <w:spacing w:line="240" w:lineRule="auto"/>
        <w:jc w:val="both"/>
        <w:rPr>
          <w:rFonts w:cs="Arial"/>
        </w:rPr>
      </w:pPr>
    </w:p>
    <w:p w:rsidR="009D6BC5" w:rsidRPr="005702A8" w:rsidRDefault="009D6BC5" w:rsidP="009D6BC5">
      <w:pPr>
        <w:spacing w:line="240" w:lineRule="auto"/>
        <w:jc w:val="both"/>
        <w:rPr>
          <w:rFonts w:cs="Arial"/>
          <w:b/>
        </w:rPr>
      </w:pPr>
      <w:r w:rsidRPr="005702A8">
        <w:rPr>
          <w:rFonts w:cs="Arial"/>
          <w:b/>
          <w:noProof/>
        </w:rPr>
        <w:drawing>
          <wp:anchor distT="0" distB="0" distL="114300" distR="114300" simplePos="0" relativeHeight="251746304" behindDoc="0" locked="0" layoutInCell="1" allowOverlap="1">
            <wp:simplePos x="0" y="0"/>
            <wp:positionH relativeFrom="margin">
              <wp:posOffset>275590</wp:posOffset>
            </wp:positionH>
            <wp:positionV relativeFrom="margin">
              <wp:posOffset>1011555</wp:posOffset>
            </wp:positionV>
            <wp:extent cx="5667375" cy="3000375"/>
            <wp:effectExtent l="38100" t="19050" r="28575" b="9525"/>
            <wp:wrapSquare wrapText="bothSides"/>
            <wp:docPr id="5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5702A8" w:rsidRPr="005702A8">
        <w:rPr>
          <w:rFonts w:cs="Arial"/>
          <w:b/>
        </w:rPr>
        <w:t>Figure 8</w:t>
      </w:r>
    </w:p>
    <w:p w:rsidR="009D6BC5" w:rsidRPr="009865B1" w:rsidRDefault="009D6BC5" w:rsidP="009D6BC5">
      <w:pPr>
        <w:spacing w:line="240" w:lineRule="auto"/>
        <w:jc w:val="both"/>
        <w:rPr>
          <w:rFonts w:cs="Arial"/>
        </w:rPr>
      </w:pPr>
      <w:r>
        <w:rPr>
          <w:rFonts w:cs="Arial"/>
        </w:rPr>
        <w:t xml:space="preserve">a) </w:t>
      </w:r>
      <w:r w:rsidRPr="00E726BD">
        <w:rPr>
          <w:rFonts w:cstheme="minorHAnsi"/>
        </w:rPr>
        <w:t>Medical treatment</w:t>
      </w:r>
      <w:r>
        <w:rPr>
          <w:rFonts w:cstheme="minorHAnsi"/>
        </w:rPr>
        <w:t xml:space="preserve"> -</w:t>
      </w:r>
      <w:r w:rsidRPr="00E726BD">
        <w:rPr>
          <w:rFonts w:cstheme="minorHAnsi"/>
        </w:rPr>
        <w:t xml:space="preserve"> was a significant theme for complaints </w:t>
      </w:r>
      <w:r>
        <w:rPr>
          <w:rFonts w:cstheme="minorHAnsi"/>
        </w:rPr>
        <w:t>in February and March. H</w:t>
      </w:r>
      <w:r w:rsidRPr="00E726BD">
        <w:rPr>
          <w:rFonts w:cstheme="minorHAnsi"/>
        </w:rPr>
        <w:t xml:space="preserve">owever the number </w:t>
      </w:r>
      <w:r>
        <w:rPr>
          <w:rFonts w:cstheme="minorHAnsi"/>
        </w:rPr>
        <w:t xml:space="preserve">for each month was significantly lower than </w:t>
      </w:r>
      <w:r w:rsidRPr="00E726BD">
        <w:rPr>
          <w:rFonts w:cstheme="minorHAnsi"/>
        </w:rPr>
        <w:t xml:space="preserve">for </w:t>
      </w:r>
      <w:r>
        <w:rPr>
          <w:rFonts w:cstheme="minorHAnsi"/>
        </w:rPr>
        <w:t>January. 15</w:t>
      </w:r>
      <w:r w:rsidRPr="00E726BD">
        <w:rPr>
          <w:rFonts w:cstheme="minorHAnsi"/>
        </w:rPr>
        <w:t xml:space="preserve"> out of </w:t>
      </w:r>
      <w:r>
        <w:rPr>
          <w:rFonts w:cstheme="minorHAnsi"/>
        </w:rPr>
        <w:t>a</w:t>
      </w:r>
      <w:r w:rsidRPr="00E726BD">
        <w:rPr>
          <w:rFonts w:cstheme="minorHAnsi"/>
        </w:rPr>
        <w:t xml:space="preserve"> </w:t>
      </w:r>
      <w:r>
        <w:rPr>
          <w:rFonts w:cstheme="minorHAnsi"/>
        </w:rPr>
        <w:t>total of 34</w:t>
      </w:r>
      <w:r w:rsidRPr="00E726BD">
        <w:rPr>
          <w:rFonts w:cstheme="minorHAnsi"/>
        </w:rPr>
        <w:t xml:space="preserve"> complaints mentioned medical trea</w:t>
      </w:r>
      <w:r>
        <w:rPr>
          <w:rFonts w:cstheme="minorHAnsi"/>
        </w:rPr>
        <w:t>tment. C</w:t>
      </w:r>
      <w:r>
        <w:rPr>
          <w:rFonts w:eastAsia="Times New Roman" w:cstheme="minorHAnsi"/>
        </w:rPr>
        <w:t>oncerns raised include:</w:t>
      </w:r>
    </w:p>
    <w:p w:rsidR="009D6BC5" w:rsidRDefault="009D6BC5" w:rsidP="009D6BC5">
      <w:pPr>
        <w:pStyle w:val="ListParagraph"/>
        <w:numPr>
          <w:ilvl w:val="0"/>
          <w:numId w:val="18"/>
        </w:numPr>
        <w:spacing w:after="0" w:line="240" w:lineRule="auto"/>
        <w:ind w:left="720"/>
      </w:pPr>
      <w:r>
        <w:t xml:space="preserve">Complaints relating to the DNAR instruction in 2 instances. </w:t>
      </w:r>
    </w:p>
    <w:p w:rsidR="009D6BC5" w:rsidRDefault="009D6BC5" w:rsidP="009D6BC5">
      <w:pPr>
        <w:pStyle w:val="ListParagraph"/>
        <w:numPr>
          <w:ilvl w:val="0"/>
          <w:numId w:val="18"/>
        </w:numPr>
        <w:spacing w:after="0" w:line="240" w:lineRule="auto"/>
        <w:ind w:left="720"/>
        <w:jc w:val="both"/>
        <w:rPr>
          <w:rFonts w:eastAsia="Times New Roman" w:cstheme="minorHAnsi"/>
        </w:rPr>
      </w:pPr>
      <w:r>
        <w:rPr>
          <w:rFonts w:eastAsia="Times New Roman" w:cstheme="minorHAnsi"/>
        </w:rPr>
        <w:t>Delays in assessment.</w:t>
      </w:r>
    </w:p>
    <w:p w:rsidR="009D6BC5" w:rsidRDefault="009D6BC5" w:rsidP="009D6BC5">
      <w:pPr>
        <w:pStyle w:val="ListParagraph"/>
        <w:numPr>
          <w:ilvl w:val="0"/>
          <w:numId w:val="18"/>
        </w:numPr>
        <w:spacing w:after="0" w:line="240" w:lineRule="auto"/>
        <w:ind w:left="720"/>
        <w:jc w:val="both"/>
        <w:rPr>
          <w:rFonts w:eastAsia="Times New Roman" w:cstheme="minorHAnsi"/>
        </w:rPr>
      </w:pPr>
      <w:r>
        <w:rPr>
          <w:rFonts w:eastAsia="Times New Roman" w:cstheme="minorHAnsi"/>
        </w:rPr>
        <w:t>Lack of consistency in diagnosis mentioned in 3 cases.</w:t>
      </w:r>
    </w:p>
    <w:p w:rsidR="009D6BC5" w:rsidRDefault="009D6BC5" w:rsidP="009D6BC5">
      <w:pPr>
        <w:spacing w:after="0" w:line="240" w:lineRule="auto"/>
        <w:jc w:val="both"/>
        <w:rPr>
          <w:rFonts w:eastAsia="Times New Roman" w:cstheme="minorHAnsi"/>
        </w:rPr>
      </w:pPr>
    </w:p>
    <w:p w:rsidR="009D6BC5" w:rsidRPr="00E726BD" w:rsidRDefault="009D6BC5" w:rsidP="009D6BC5">
      <w:pPr>
        <w:spacing w:after="0" w:line="240" w:lineRule="auto"/>
        <w:jc w:val="both"/>
        <w:rPr>
          <w:rFonts w:eastAsia="Times New Roman" w:cstheme="minorHAnsi"/>
        </w:rPr>
      </w:pPr>
      <w:r>
        <w:rPr>
          <w:rFonts w:eastAsia="Times New Roman" w:cstheme="minorHAnsi"/>
        </w:rPr>
        <w:t xml:space="preserve">The Executive Medical Director takes a proactive role in the management of complaints.  A monthly report is provided the Medical Director detailing the complaints linked specifically to clinicians. Further detailed information is being provided to Lead Clinicians when requested by the Complaints Team to facilitate a further review where appropriate. </w:t>
      </w:r>
    </w:p>
    <w:p w:rsidR="009D6BC5" w:rsidRDefault="009D6BC5" w:rsidP="009D6BC5">
      <w:pPr>
        <w:pStyle w:val="Default"/>
        <w:jc w:val="both"/>
        <w:rPr>
          <w:rFonts w:ascii="Tahoma" w:hAnsi="Tahoma" w:cs="Tahoma"/>
          <w:color w:val="auto"/>
          <w:sz w:val="20"/>
          <w:szCs w:val="20"/>
        </w:rPr>
      </w:pPr>
    </w:p>
    <w:p w:rsidR="009D6BC5" w:rsidRDefault="009D6BC5" w:rsidP="009D6BC5">
      <w:pPr>
        <w:spacing w:after="0" w:line="240" w:lineRule="auto"/>
        <w:jc w:val="both"/>
        <w:rPr>
          <w:rFonts w:cstheme="minorHAnsi"/>
        </w:rPr>
      </w:pPr>
      <w:r w:rsidRPr="00661C15">
        <w:rPr>
          <w:rFonts w:cstheme="minorHAnsi"/>
        </w:rPr>
        <w:t xml:space="preserve">b) Communication - The number of concerns raised linked to communication through February and March is lower than the previous 2 months and remains high. 11 out of a total of 34 complaints mentioned communication.  </w:t>
      </w:r>
      <w:r>
        <w:rPr>
          <w:rFonts w:cstheme="minorHAnsi"/>
        </w:rPr>
        <w:t>In March c</w:t>
      </w:r>
      <w:r w:rsidRPr="00661C15">
        <w:rPr>
          <w:rFonts w:cstheme="minorHAnsi"/>
        </w:rPr>
        <w:t xml:space="preserve">ommunication was only raised in one complaint for the Emergency Department </w:t>
      </w:r>
      <w:r>
        <w:rPr>
          <w:rFonts w:cstheme="minorHAnsi"/>
        </w:rPr>
        <w:t>this reflects</w:t>
      </w:r>
      <w:r w:rsidRPr="00661C15">
        <w:rPr>
          <w:rFonts w:cstheme="minorHAnsi"/>
        </w:rPr>
        <w:t xml:space="preserve"> the positive feedback received from patients</w:t>
      </w:r>
      <w:r>
        <w:rPr>
          <w:rFonts w:cstheme="minorHAnsi"/>
        </w:rPr>
        <w:t xml:space="preserve"> linked to communication</w:t>
      </w:r>
      <w:r w:rsidRPr="00661C15">
        <w:rPr>
          <w:rFonts w:cstheme="minorHAnsi"/>
        </w:rPr>
        <w:t xml:space="preserve">. </w:t>
      </w:r>
    </w:p>
    <w:p w:rsidR="009D6BC5" w:rsidRPr="0006306D" w:rsidRDefault="009D6BC5" w:rsidP="009D6BC5">
      <w:pPr>
        <w:spacing w:after="0" w:line="240" w:lineRule="auto"/>
        <w:jc w:val="both"/>
        <w:rPr>
          <w:rFonts w:cstheme="minorHAnsi"/>
        </w:rPr>
      </w:pPr>
    </w:p>
    <w:p w:rsidR="009D6BC5" w:rsidRDefault="009D6BC5" w:rsidP="009D6BC5">
      <w:pPr>
        <w:spacing w:after="0" w:line="240" w:lineRule="auto"/>
        <w:jc w:val="both"/>
      </w:pPr>
      <w:r>
        <w:t xml:space="preserve">c) Medication - There has been an emerging theme for medication </w:t>
      </w:r>
      <w:r w:rsidRPr="00661C15">
        <w:rPr>
          <w:rFonts w:cstheme="minorHAnsi"/>
        </w:rPr>
        <w:t>11 out of a total of 34 complaints mentioned</w:t>
      </w:r>
      <w:r>
        <w:t xml:space="preserve"> medication. Concerns raised identify that pain relief is not always being administered in a timely way and ineffective monitoring and management of medication including pain relief.  Questions have also been raised concerning the appropriateness of the medications prescribed two of these related to dementia patients.  This theme was mirrored in the number of patient safety incidents being reported during the same period.</w:t>
      </w:r>
      <w:r w:rsidRPr="00050D16">
        <w:rPr>
          <w:color w:val="FF0000"/>
        </w:rPr>
        <w:t xml:space="preserve"> </w:t>
      </w:r>
      <w:r>
        <w:rPr>
          <w:color w:val="FF0000"/>
        </w:rPr>
        <w:t xml:space="preserve"> </w:t>
      </w:r>
      <w:r w:rsidRPr="002E2E12">
        <w:t xml:space="preserve">A new Green Bag system has been introduced across the hospital which will facilitate staff </w:t>
      </w:r>
      <w:r>
        <w:t>using a</w:t>
      </w:r>
      <w:r w:rsidRPr="002E2E12">
        <w:t xml:space="preserve"> patient’s own medication whilst the patient is in hospital. One of the aims of this new initiative is to reduce the number of delays in administering and ensure the continuation of regular </w:t>
      </w:r>
      <w:r>
        <w:t xml:space="preserve">patient </w:t>
      </w:r>
      <w:r w:rsidRPr="002E2E12">
        <w:t>medication.</w:t>
      </w:r>
    </w:p>
    <w:p w:rsidR="009D6BC5" w:rsidRDefault="009D6BC5" w:rsidP="009D6BC5">
      <w:pPr>
        <w:spacing w:after="0"/>
        <w:jc w:val="both"/>
        <w:rPr>
          <w:rFonts w:cs="Arial"/>
          <w:color w:val="FF0000"/>
        </w:rPr>
      </w:pPr>
    </w:p>
    <w:p w:rsidR="009D6BC5" w:rsidRPr="00661C15" w:rsidRDefault="009D6BC5" w:rsidP="009D6BC5">
      <w:pPr>
        <w:spacing w:after="0"/>
        <w:jc w:val="both"/>
        <w:rPr>
          <w:rFonts w:cs="Arial"/>
        </w:rPr>
      </w:pPr>
      <w:r w:rsidRPr="00661C15">
        <w:rPr>
          <w:rFonts w:cs="Arial"/>
        </w:rPr>
        <w:t xml:space="preserve">An action plan has been developed by the Complaints Manager in partnership with Heads of Nursing to focus learning on the main themes identified from complaints and concerns; Medical Treatment, Communication and Communication linked to Medication. This action plan will be monitored by Heads of Nursing through the Divisional Governance process. The action plan </w:t>
      </w:r>
      <w:r>
        <w:rPr>
          <w:rFonts w:cs="Arial"/>
        </w:rPr>
        <w:t xml:space="preserve">is </w:t>
      </w:r>
      <w:r w:rsidRPr="00661C15">
        <w:rPr>
          <w:rFonts w:cs="Arial"/>
        </w:rPr>
        <w:t>be</w:t>
      </w:r>
      <w:r>
        <w:rPr>
          <w:rFonts w:cs="Arial"/>
        </w:rPr>
        <w:t>ing</w:t>
      </w:r>
      <w:r w:rsidRPr="00661C15">
        <w:rPr>
          <w:rFonts w:cs="Arial"/>
        </w:rPr>
        <w:t xml:space="preserve"> updated and shared with the Quality and Governance Committee every three months.</w:t>
      </w:r>
    </w:p>
    <w:p w:rsidR="009D6BC5" w:rsidRPr="00E726BD" w:rsidRDefault="009D6BC5" w:rsidP="009D6BC5">
      <w:pPr>
        <w:spacing w:after="0" w:line="240" w:lineRule="auto"/>
        <w:jc w:val="both"/>
        <w:rPr>
          <w:rFonts w:eastAsia="Times New Roman" w:cstheme="minorHAnsi"/>
          <w:color w:val="000000"/>
        </w:rPr>
      </w:pPr>
    </w:p>
    <w:p w:rsidR="009D6BC5" w:rsidRDefault="009D6BC5" w:rsidP="009D6BC5">
      <w:pPr>
        <w:pStyle w:val="Default"/>
        <w:jc w:val="both"/>
        <w:rPr>
          <w:rFonts w:ascii="Tahoma" w:hAnsi="Tahoma" w:cs="Tahoma"/>
          <w:color w:val="auto"/>
          <w:sz w:val="20"/>
          <w:szCs w:val="20"/>
        </w:rPr>
      </w:pPr>
    </w:p>
    <w:p w:rsidR="009D6BC5" w:rsidRPr="007A17C9" w:rsidRDefault="009D6BC5" w:rsidP="009D6BC5">
      <w:pPr>
        <w:jc w:val="both"/>
        <w:rPr>
          <w:rFonts w:cs="Arial"/>
          <w:b/>
          <w:color w:val="21798E" w:themeColor="accent1" w:themeShade="BF"/>
        </w:rPr>
      </w:pPr>
      <w:r w:rsidRPr="007A17C9">
        <w:rPr>
          <w:rFonts w:cs="Arial"/>
          <w:b/>
          <w:color w:val="21798E" w:themeColor="accent1" w:themeShade="BF"/>
        </w:rPr>
        <w:t>2.4.2 PALS</w:t>
      </w:r>
    </w:p>
    <w:p w:rsidR="009D6BC5" w:rsidRPr="00CE5F66" w:rsidRDefault="009D6BC5" w:rsidP="009D6BC5">
      <w:pPr>
        <w:pStyle w:val="Default"/>
        <w:jc w:val="both"/>
        <w:rPr>
          <w:rFonts w:asciiTheme="minorHAnsi" w:hAnsiTheme="minorHAnsi" w:cs="Tahoma"/>
          <w:color w:val="auto"/>
          <w:sz w:val="22"/>
          <w:szCs w:val="22"/>
        </w:rPr>
      </w:pPr>
      <w:r w:rsidRPr="00661C15">
        <w:rPr>
          <w:rFonts w:asciiTheme="minorHAnsi" w:hAnsiTheme="minorHAnsi" w:cs="Tahoma"/>
          <w:color w:val="auto"/>
          <w:sz w:val="22"/>
          <w:szCs w:val="22"/>
        </w:rPr>
        <w:t>The total number of cases dealt with by the team in February and March was</w:t>
      </w:r>
      <w:r w:rsidRPr="005B2E49">
        <w:rPr>
          <w:rFonts w:asciiTheme="minorHAnsi" w:hAnsiTheme="minorHAnsi" w:cs="Tahoma"/>
          <w:color w:val="FF0000"/>
          <w:sz w:val="22"/>
          <w:szCs w:val="22"/>
        </w:rPr>
        <w:t xml:space="preserve"> </w:t>
      </w:r>
      <w:r w:rsidRPr="00CE5F66">
        <w:rPr>
          <w:rFonts w:asciiTheme="minorHAnsi" w:hAnsiTheme="minorHAnsi" w:cs="Tahoma"/>
          <w:color w:val="auto"/>
          <w:sz w:val="22"/>
          <w:szCs w:val="22"/>
        </w:rPr>
        <w:t>243.</w:t>
      </w:r>
      <w:r w:rsidRPr="005B2E49">
        <w:rPr>
          <w:rFonts w:asciiTheme="minorHAnsi" w:hAnsiTheme="minorHAnsi" w:cs="Tahoma"/>
          <w:color w:val="FF0000"/>
          <w:sz w:val="22"/>
          <w:szCs w:val="22"/>
        </w:rPr>
        <w:t xml:space="preserve"> </w:t>
      </w:r>
      <w:r w:rsidRPr="00661C15">
        <w:rPr>
          <w:rFonts w:asciiTheme="minorHAnsi" w:hAnsiTheme="minorHAnsi" w:cs="Tahoma"/>
          <w:color w:val="auto"/>
          <w:sz w:val="22"/>
          <w:szCs w:val="22"/>
        </w:rPr>
        <w:t>The top 4 themes were</w:t>
      </w:r>
      <w:r w:rsidRPr="005B2E49">
        <w:rPr>
          <w:rFonts w:asciiTheme="minorHAnsi" w:hAnsiTheme="minorHAnsi" w:cs="Tahoma"/>
          <w:color w:val="FF0000"/>
          <w:sz w:val="22"/>
          <w:szCs w:val="22"/>
        </w:rPr>
        <w:t xml:space="preserve"> </w:t>
      </w:r>
      <w:r w:rsidRPr="00CE5F66">
        <w:rPr>
          <w:rFonts w:asciiTheme="minorHAnsi" w:hAnsiTheme="minorHAnsi" w:cs="Tahoma"/>
          <w:color w:val="auto"/>
          <w:sz w:val="22"/>
          <w:szCs w:val="22"/>
        </w:rPr>
        <w:t>Information, Appointments, Communication and Care.</w:t>
      </w:r>
    </w:p>
    <w:p w:rsidR="009D6BC5" w:rsidRPr="005B2E49" w:rsidRDefault="009D6BC5" w:rsidP="009D6BC5">
      <w:pPr>
        <w:pStyle w:val="Default"/>
        <w:jc w:val="both"/>
        <w:rPr>
          <w:rFonts w:asciiTheme="minorHAnsi" w:hAnsiTheme="minorHAnsi" w:cs="Tahoma"/>
          <w:color w:val="FF0000"/>
          <w:sz w:val="22"/>
          <w:szCs w:val="22"/>
        </w:rPr>
      </w:pPr>
    </w:p>
    <w:p w:rsidR="009D6BC5" w:rsidRPr="00AD6A8C" w:rsidRDefault="009D6BC5" w:rsidP="009D6BC5">
      <w:pPr>
        <w:pStyle w:val="Default"/>
        <w:jc w:val="both"/>
        <w:rPr>
          <w:rFonts w:asciiTheme="minorHAnsi" w:hAnsiTheme="minorHAnsi" w:cs="Tahoma"/>
          <w:color w:val="auto"/>
          <w:sz w:val="22"/>
          <w:szCs w:val="22"/>
        </w:rPr>
      </w:pPr>
      <w:r w:rsidRPr="00AD6A8C">
        <w:rPr>
          <w:rFonts w:asciiTheme="minorHAnsi" w:hAnsiTheme="minorHAnsi" w:cs="Tahoma"/>
          <w:color w:val="auto"/>
          <w:sz w:val="22"/>
          <w:szCs w:val="22"/>
        </w:rPr>
        <w:t>Information was the highest theme across the Divisions with 80 out of 243 cases requiring information.  There were 52 cases linked to appointments; this was the highest theme within the Planned Care Division with 41 cases. Cancelled appointment is a new highest sub theme; 15 cases, along lengthy wait 14 cases as in previous months.</w:t>
      </w:r>
      <w:r w:rsidRPr="005B2E49">
        <w:rPr>
          <w:rFonts w:asciiTheme="minorHAnsi" w:hAnsiTheme="minorHAnsi" w:cs="Tahoma"/>
          <w:color w:val="FF0000"/>
          <w:sz w:val="22"/>
          <w:szCs w:val="22"/>
        </w:rPr>
        <w:t xml:space="preserve"> </w:t>
      </w:r>
    </w:p>
    <w:p w:rsidR="009D6BC5" w:rsidRPr="005B2E49" w:rsidRDefault="009D6BC5" w:rsidP="009D6BC5">
      <w:pPr>
        <w:pStyle w:val="Default"/>
        <w:jc w:val="both"/>
        <w:rPr>
          <w:rFonts w:asciiTheme="minorHAnsi" w:hAnsiTheme="minorHAnsi" w:cs="Tahoma"/>
          <w:color w:val="FF0000"/>
          <w:sz w:val="22"/>
          <w:szCs w:val="22"/>
        </w:rPr>
      </w:pPr>
    </w:p>
    <w:p w:rsidR="009D6BC5" w:rsidRPr="00AD6A8C" w:rsidRDefault="009D6BC5" w:rsidP="009D6BC5">
      <w:pPr>
        <w:pStyle w:val="Default"/>
        <w:jc w:val="both"/>
        <w:rPr>
          <w:rFonts w:asciiTheme="minorHAnsi" w:hAnsiTheme="minorHAnsi" w:cs="Tahoma"/>
          <w:color w:val="auto"/>
          <w:sz w:val="22"/>
          <w:szCs w:val="22"/>
        </w:rPr>
      </w:pPr>
      <w:r w:rsidRPr="00AD6A8C">
        <w:rPr>
          <w:rFonts w:asciiTheme="minorHAnsi" w:hAnsiTheme="minorHAnsi" w:cs="Tahoma"/>
          <w:color w:val="auto"/>
          <w:sz w:val="22"/>
          <w:szCs w:val="22"/>
        </w:rPr>
        <w:t>The care of patients was another main theme for the Trust; 36 out of 243 cases. The subthemes for Care were split Medical Care and Nursing Care with 26 and 13 respectively. There has been a noticeable shift to medical care which mirrors the theme for complaints.</w:t>
      </w:r>
    </w:p>
    <w:p w:rsidR="009D6BC5" w:rsidRPr="005B2E49" w:rsidRDefault="009D6BC5" w:rsidP="009D6BC5">
      <w:pPr>
        <w:pStyle w:val="Default"/>
        <w:jc w:val="both"/>
        <w:rPr>
          <w:rFonts w:asciiTheme="minorHAnsi" w:hAnsiTheme="minorHAnsi" w:cs="Tahoma"/>
          <w:color w:val="FF0000"/>
          <w:sz w:val="22"/>
          <w:szCs w:val="22"/>
        </w:rPr>
      </w:pPr>
    </w:p>
    <w:p w:rsidR="009D6BC5" w:rsidRPr="0006306D" w:rsidRDefault="009D6BC5" w:rsidP="009D6BC5">
      <w:pPr>
        <w:spacing w:after="0"/>
        <w:jc w:val="both"/>
        <w:rPr>
          <w:rFonts w:cs="Arial"/>
          <w:color w:val="FF0000"/>
        </w:rPr>
      </w:pPr>
      <w:r w:rsidRPr="009A44D6">
        <w:rPr>
          <w:rFonts w:cs="Arial"/>
        </w:rPr>
        <w:t>As with formal complaints</w:t>
      </w:r>
      <w:r>
        <w:rPr>
          <w:rFonts w:cs="Arial"/>
        </w:rPr>
        <w:t>,</w:t>
      </w:r>
      <w:r w:rsidRPr="009A44D6">
        <w:rPr>
          <w:rFonts w:cs="Arial"/>
        </w:rPr>
        <w:t xml:space="preserve"> communication </w:t>
      </w:r>
      <w:r>
        <w:rPr>
          <w:rFonts w:cs="Arial"/>
        </w:rPr>
        <w:t>has been</w:t>
      </w:r>
      <w:r w:rsidRPr="009A44D6">
        <w:rPr>
          <w:rFonts w:cs="Arial"/>
        </w:rPr>
        <w:t xml:space="preserve"> a significant theme</w:t>
      </w:r>
      <w:r>
        <w:rPr>
          <w:rFonts w:cs="Arial"/>
        </w:rPr>
        <w:t xml:space="preserve"> </w:t>
      </w:r>
      <w:r w:rsidRPr="009A44D6">
        <w:rPr>
          <w:rFonts w:cs="Arial"/>
        </w:rPr>
        <w:t>over the past two months</w:t>
      </w:r>
      <w:r>
        <w:rPr>
          <w:rFonts w:cs="Arial"/>
        </w:rPr>
        <w:t xml:space="preserve"> there were </w:t>
      </w:r>
      <w:r w:rsidRPr="009A44D6">
        <w:rPr>
          <w:rFonts w:cs="Arial"/>
        </w:rPr>
        <w:t xml:space="preserve">42 out of </w:t>
      </w:r>
      <w:r w:rsidRPr="009A44D6">
        <w:rPr>
          <w:rFonts w:cs="Tahoma"/>
        </w:rPr>
        <w:t xml:space="preserve">243 </w:t>
      </w:r>
      <w:r w:rsidRPr="009A44D6">
        <w:rPr>
          <w:rFonts w:cs="Arial"/>
        </w:rPr>
        <w:t xml:space="preserve">cases. The cases highlighted communication concerns across varied areas with the Secretaries and ED receiving the highest number of PALS related to Communication. </w:t>
      </w:r>
      <w:r w:rsidRPr="00AD6A8C">
        <w:rPr>
          <w:rFonts w:cs="Tahoma"/>
        </w:rPr>
        <w:t xml:space="preserve">A risk related to </w:t>
      </w:r>
      <w:r>
        <w:rPr>
          <w:rFonts w:cs="Tahoma"/>
        </w:rPr>
        <w:t xml:space="preserve">the </w:t>
      </w:r>
      <w:r w:rsidRPr="00AD6A8C">
        <w:rPr>
          <w:rFonts w:cs="Tahoma"/>
        </w:rPr>
        <w:t>administrative process within the Trust has been recognised and is included on the Trust Risk Register.</w:t>
      </w:r>
      <w:r w:rsidRPr="005B2E49">
        <w:rPr>
          <w:rFonts w:cs="Arial"/>
          <w:color w:val="FF0000"/>
        </w:rPr>
        <w:t xml:space="preserve"> </w:t>
      </w:r>
    </w:p>
    <w:p w:rsidR="009D6BC5" w:rsidRDefault="009D6BC5" w:rsidP="009D6BC5">
      <w:pPr>
        <w:jc w:val="both"/>
        <w:rPr>
          <w:rFonts w:cs="Arial"/>
          <w:b/>
        </w:rPr>
      </w:pPr>
    </w:p>
    <w:p w:rsidR="009D6BC5" w:rsidRPr="008938C7" w:rsidRDefault="009D6BC5" w:rsidP="009D6BC5">
      <w:pPr>
        <w:jc w:val="both"/>
        <w:rPr>
          <w:rFonts w:cs="Arial"/>
          <w:b/>
        </w:rPr>
      </w:pPr>
      <w:r>
        <w:rPr>
          <w:rFonts w:cs="Arial"/>
          <w:b/>
        </w:rPr>
        <w:t>2.4.3</w:t>
      </w:r>
      <w:r w:rsidRPr="008938C7">
        <w:rPr>
          <w:rFonts w:cs="Arial"/>
          <w:b/>
        </w:rPr>
        <w:t xml:space="preserve"> Compliments</w:t>
      </w:r>
    </w:p>
    <w:p w:rsidR="009D6BC5" w:rsidRDefault="009D6BC5" w:rsidP="009D6BC5">
      <w:pPr>
        <w:spacing w:after="0" w:line="240" w:lineRule="auto"/>
        <w:jc w:val="both"/>
        <w:rPr>
          <w:rFonts w:cstheme="minorHAnsi"/>
        </w:rPr>
      </w:pPr>
      <w:r w:rsidRPr="00E726BD">
        <w:rPr>
          <w:rFonts w:cstheme="minorHAnsi"/>
        </w:rPr>
        <w:t xml:space="preserve">The number of compliments received in </w:t>
      </w:r>
      <w:r>
        <w:rPr>
          <w:rFonts w:cstheme="minorHAnsi"/>
        </w:rPr>
        <w:t>February and March was 153. At the time of writing this report however the recording is incomplete.</w:t>
      </w:r>
    </w:p>
    <w:p w:rsidR="009D6BC5" w:rsidRPr="00E726BD" w:rsidRDefault="009D6BC5" w:rsidP="009D6BC5">
      <w:pPr>
        <w:spacing w:after="0" w:line="240" w:lineRule="auto"/>
        <w:jc w:val="both"/>
        <w:rPr>
          <w:rFonts w:cstheme="minorHAnsi"/>
        </w:rPr>
      </w:pPr>
    </w:p>
    <w:p w:rsidR="007A17C9" w:rsidRDefault="009D6BC5" w:rsidP="009D6BC5">
      <w:pPr>
        <w:spacing w:after="0" w:line="240" w:lineRule="auto"/>
        <w:jc w:val="both"/>
        <w:rPr>
          <w:rFonts w:cstheme="minorHAnsi"/>
        </w:rPr>
      </w:pPr>
      <w:r w:rsidRPr="00E726BD">
        <w:rPr>
          <w:rFonts w:cstheme="minorHAnsi"/>
        </w:rPr>
        <w:t xml:space="preserve">Wards are continuing to focus on gathering patient feedback and it is hoped that reviewing the exit cards weekly will encourage staff to make sure patients are given the opportunity to provide feedback before leaving the hospital. The Compliments formally recorded are received via email or letter. </w:t>
      </w:r>
      <w:r w:rsidR="007A17C9">
        <w:rPr>
          <w:rFonts w:cstheme="minorHAnsi"/>
          <w:i/>
        </w:rPr>
        <w:t>Figure</w:t>
      </w:r>
      <w:r w:rsidRPr="00E726BD">
        <w:rPr>
          <w:rFonts w:cstheme="minorHAnsi"/>
          <w:i/>
        </w:rPr>
        <w:t xml:space="preserve"> </w:t>
      </w:r>
      <w:r w:rsidR="006F5C49">
        <w:rPr>
          <w:rFonts w:cstheme="minorHAnsi"/>
          <w:i/>
        </w:rPr>
        <w:t>9</w:t>
      </w:r>
      <w:r w:rsidRPr="00E726BD">
        <w:rPr>
          <w:rFonts w:cstheme="minorHAnsi"/>
        </w:rPr>
        <w:t xml:space="preserve"> depicts three examples of compliments received by the Trust in </w:t>
      </w:r>
      <w:r>
        <w:rPr>
          <w:rFonts w:cstheme="minorHAnsi"/>
        </w:rPr>
        <w:t>February and March</w:t>
      </w:r>
      <w:r w:rsidRPr="00E726BD">
        <w:rPr>
          <w:rFonts w:cstheme="minorHAnsi"/>
        </w:rPr>
        <w:t xml:space="preserve">. Where appropriate each compliment receives a letter to thank the individual for taking time to comment. </w:t>
      </w:r>
    </w:p>
    <w:p w:rsidR="007A17C9" w:rsidRDefault="007A17C9" w:rsidP="009D6BC5">
      <w:pPr>
        <w:spacing w:after="0" w:line="240" w:lineRule="auto"/>
        <w:jc w:val="both"/>
        <w:rPr>
          <w:rFonts w:cstheme="minorHAnsi"/>
        </w:rPr>
      </w:pPr>
    </w:p>
    <w:p w:rsidR="007A17C9" w:rsidRPr="007A17C9" w:rsidRDefault="00894826" w:rsidP="009D6BC5">
      <w:pPr>
        <w:spacing w:after="0" w:line="240" w:lineRule="auto"/>
        <w:jc w:val="both"/>
        <w:rPr>
          <w:rFonts w:cstheme="minorHAnsi"/>
          <w:b/>
        </w:rPr>
      </w:pPr>
      <w:r>
        <w:rPr>
          <w:rFonts w:cstheme="minorHAnsi"/>
          <w:b/>
        </w:rPr>
        <w:t>Figure 9</w:t>
      </w:r>
      <w:r w:rsidR="007A17C9" w:rsidRPr="007A17C9">
        <w:rPr>
          <w:rFonts w:cstheme="minorHAnsi"/>
          <w:b/>
        </w:rPr>
        <w:t>:</w:t>
      </w:r>
    </w:p>
    <w:p w:rsidR="009D6BC5" w:rsidRPr="00C91099" w:rsidRDefault="009D6BC5" w:rsidP="009D6BC5">
      <w:pPr>
        <w:jc w:val="center"/>
        <w:rPr>
          <w:rFonts w:cs="Arial"/>
        </w:rPr>
      </w:pPr>
      <w:r w:rsidRPr="00372FEE">
        <w:rPr>
          <w:noProof/>
        </w:rPr>
        <w:drawing>
          <wp:inline distT="0" distB="0" distL="0" distR="0">
            <wp:extent cx="6645623" cy="7239000"/>
            <wp:effectExtent l="19050" t="0" r="2827"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6645910" cy="7239313"/>
                    </a:xfrm>
                    <a:prstGeom prst="rect">
                      <a:avLst/>
                    </a:prstGeom>
                    <a:noFill/>
                    <a:ln w="9525">
                      <a:noFill/>
                      <a:miter lim="800000"/>
                      <a:headEnd/>
                      <a:tailEnd/>
                    </a:ln>
                  </pic:spPr>
                </pic:pic>
              </a:graphicData>
            </a:graphic>
          </wp:inline>
        </w:drawing>
      </w:r>
    </w:p>
    <w:p w:rsidR="009D6BC5" w:rsidRPr="009D6BC5" w:rsidRDefault="009D6BC5" w:rsidP="009D6BC5"/>
    <w:p w:rsidR="00853AC2" w:rsidRDefault="00B16A17" w:rsidP="00853AC2">
      <w:pPr>
        <w:pStyle w:val="Heading2"/>
      </w:pPr>
      <w:r>
        <w:t>2</w:t>
      </w:r>
      <w:r w:rsidR="00853AC2">
        <w:t>.6</w:t>
      </w:r>
      <w:r w:rsidR="00853AC2" w:rsidRPr="0079070A">
        <w:t xml:space="preserve"> Patient Feedback </w:t>
      </w:r>
    </w:p>
    <w:p w:rsidR="007A17C9" w:rsidRPr="00D96CC4" w:rsidRDefault="007A17C9" w:rsidP="007A17C9">
      <w:pPr>
        <w:jc w:val="both"/>
      </w:pPr>
      <w:r w:rsidRPr="00D96CC4">
        <w:t>As a national requirement Weston Area Health NHS Trust is engaging in the delivery of the Friends and Family Test (FFT).  This test has been implemented successfully across all areas.  The Friends and Family Test is a single question survey which asks patients whether they would recommend the NHS service they have received to friends and family who need similar treatment or care. </w:t>
      </w:r>
    </w:p>
    <w:p w:rsidR="007A17C9" w:rsidRPr="00D96CC4" w:rsidRDefault="007A17C9" w:rsidP="007A17C9">
      <w:pPr>
        <w:jc w:val="both"/>
      </w:pPr>
      <w:r w:rsidRPr="00D96CC4">
        <w:t xml:space="preserve">The FFT is offered to all patients at the point of discharge and when patients attend the Emergency Department. </w:t>
      </w:r>
    </w:p>
    <w:p w:rsidR="007A17C9" w:rsidRPr="00D96CC4" w:rsidRDefault="007A17C9" w:rsidP="007A17C9">
      <w:pPr>
        <w:jc w:val="both"/>
      </w:pPr>
      <w:r w:rsidRPr="00D96CC4">
        <w:t xml:space="preserve">Each </w:t>
      </w:r>
      <w:r>
        <w:t>Directorate</w:t>
      </w:r>
      <w:r w:rsidRPr="00D96CC4">
        <w:t xml:space="preserve"> and all wards receive a breakdown of the outcome of their survey results to ensure they can take relevant action to sustain improvements already made and proactively develop actions to deliver further improvement.  </w:t>
      </w:r>
      <w:r w:rsidR="006F5C49">
        <w:rPr>
          <w:i/>
        </w:rPr>
        <w:t>Figure 10</w:t>
      </w:r>
      <w:r w:rsidRPr="00D96CC4">
        <w:rPr>
          <w:i/>
        </w:rPr>
        <w:t xml:space="preserve"> </w:t>
      </w:r>
      <w:r w:rsidRPr="00D96CC4">
        <w:t xml:space="preserve">provides a detailed report of </w:t>
      </w:r>
      <w:r>
        <w:t>February</w:t>
      </w:r>
      <w:r w:rsidRPr="00D96CC4">
        <w:t xml:space="preserve"> Friends &amp; Family Test results, whilst </w:t>
      </w:r>
      <w:r w:rsidRPr="00D96CC4">
        <w:rPr>
          <w:i/>
        </w:rPr>
        <w:t>Figure 1</w:t>
      </w:r>
      <w:r w:rsidR="006F5C49">
        <w:rPr>
          <w:i/>
        </w:rPr>
        <w:t>1</w:t>
      </w:r>
      <w:r w:rsidRPr="00D96CC4">
        <w:t xml:space="preserve"> shows </w:t>
      </w:r>
      <w:r>
        <w:t>March</w:t>
      </w:r>
      <w:r w:rsidRPr="00D96CC4">
        <w:t>’s breakdown.</w:t>
      </w:r>
    </w:p>
    <w:p w:rsidR="007A17C9" w:rsidRPr="00D96CC4" w:rsidRDefault="007A17C9" w:rsidP="007A17C9">
      <w:pPr>
        <w:jc w:val="both"/>
      </w:pPr>
      <w:r>
        <w:t xml:space="preserve">Many areas </w:t>
      </w:r>
      <w:r w:rsidRPr="00D96CC4">
        <w:t xml:space="preserve">should be praised </w:t>
      </w:r>
      <w:r>
        <w:t>for achieving</w:t>
      </w:r>
      <w:r w:rsidRPr="00D96CC4">
        <w:t xml:space="preserve"> </w:t>
      </w:r>
      <w:r>
        <w:t>100% of</w:t>
      </w:r>
      <w:r w:rsidRPr="00D96CC4">
        <w:t xml:space="preserve"> people </w:t>
      </w:r>
      <w:r>
        <w:t>that</w:t>
      </w:r>
      <w:r w:rsidRPr="00D96CC4">
        <w:t xml:space="preserve"> would recommend</w:t>
      </w:r>
      <w:r>
        <w:t xml:space="preserve"> in March</w:t>
      </w:r>
      <w:r w:rsidRPr="00D96CC4">
        <w:t>.</w:t>
      </w:r>
      <w:r>
        <w:t xml:space="preserve"> However some areas did not achieve the locally set target of 95%.</w:t>
      </w:r>
    </w:p>
    <w:p w:rsidR="007A17C9" w:rsidRPr="00D96CC4" w:rsidRDefault="007A17C9" w:rsidP="007A17C9">
      <w:pPr>
        <w:jc w:val="both"/>
      </w:pPr>
      <w:r>
        <w:t>T</w:t>
      </w:r>
      <w:r w:rsidRPr="00D96CC4">
        <w:t xml:space="preserve">he National CQUIN standard </w:t>
      </w:r>
      <w:r>
        <w:t xml:space="preserve">for the </w:t>
      </w:r>
      <w:r w:rsidRPr="00D96CC4">
        <w:t>response rate</w:t>
      </w:r>
      <w:r>
        <w:t xml:space="preserve"> was achieved for the year </w:t>
      </w:r>
      <w:r w:rsidRPr="00DF1A78">
        <w:t>having met each milestone agreed</w:t>
      </w:r>
      <w:r>
        <w:t xml:space="preserve"> and also for the last quarter. </w:t>
      </w:r>
    </w:p>
    <w:p w:rsidR="007A17C9" w:rsidRDefault="007A17C9" w:rsidP="007A17C9">
      <w:r>
        <w:t>Update sessions for all department and ward leads along with Matrons have been held in April to ensure that everyone understands the targets for Friends and Family and to promote consistency in publishing the data for the public and staff to see. It is anticipated that by the end of April each area will be using a standardised report.</w:t>
      </w:r>
    </w:p>
    <w:p w:rsidR="007A17C9" w:rsidRDefault="007A17C9" w:rsidP="007A17C9">
      <w:r>
        <w:t>Children’s Services this month have begun to collect Friends and Family data and will be reporting from next month.</w:t>
      </w:r>
    </w:p>
    <w:p w:rsidR="007A17C9" w:rsidRDefault="006F5C49" w:rsidP="007A17C9">
      <w:r>
        <w:rPr>
          <w:b/>
        </w:rPr>
        <w:t>Figure 10</w:t>
      </w:r>
      <w:r w:rsidR="007A17C9" w:rsidRPr="00933EF6">
        <w:rPr>
          <w:b/>
        </w:rPr>
        <w:t>:</w:t>
      </w:r>
      <w:r w:rsidR="007A17C9" w:rsidRPr="00933EF6">
        <w:rPr>
          <w:noProof/>
        </w:rPr>
        <w:t xml:space="preserve"> </w:t>
      </w:r>
      <w:r w:rsidR="007A17C9" w:rsidRPr="00933EF6">
        <w:rPr>
          <w:noProof/>
        </w:rPr>
        <w:drawing>
          <wp:inline distT="0" distB="0" distL="0" distR="0">
            <wp:extent cx="6696075" cy="2428875"/>
            <wp:effectExtent l="19050" t="0" r="9525" b="0"/>
            <wp:docPr id="4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6696075" cy="2428875"/>
                    </a:xfrm>
                    <a:prstGeom prst="rect">
                      <a:avLst/>
                    </a:prstGeom>
                  </pic:spPr>
                </pic:pic>
              </a:graphicData>
            </a:graphic>
          </wp:inline>
        </w:drawing>
      </w:r>
    </w:p>
    <w:p w:rsidR="007A17C9" w:rsidRDefault="007A17C9" w:rsidP="007A17C9">
      <w:pPr>
        <w:rPr>
          <w:b/>
          <w:color w:val="21798E" w:themeColor="accent1" w:themeShade="BF"/>
          <w:sz w:val="24"/>
          <w:szCs w:val="24"/>
        </w:rPr>
      </w:pPr>
      <w:r w:rsidRPr="00933EF6">
        <w:rPr>
          <w:noProof/>
        </w:rPr>
        <w:drawing>
          <wp:inline distT="0" distB="0" distL="0" distR="0">
            <wp:extent cx="6640802" cy="4953000"/>
            <wp:effectExtent l="19050" t="0" r="7648"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6645910" cy="4956810"/>
                    </a:xfrm>
                    <a:prstGeom prst="rect">
                      <a:avLst/>
                    </a:prstGeom>
                    <a:noFill/>
                    <a:ln w="9525">
                      <a:noFill/>
                      <a:miter lim="800000"/>
                      <a:headEnd/>
                      <a:tailEnd/>
                    </a:ln>
                  </pic:spPr>
                </pic:pic>
              </a:graphicData>
            </a:graphic>
          </wp:inline>
        </w:drawing>
      </w:r>
    </w:p>
    <w:p w:rsidR="007A17C9" w:rsidRDefault="007A17C9" w:rsidP="007A17C9">
      <w:pPr>
        <w:rPr>
          <w:b/>
          <w:color w:val="000000" w:themeColor="text1"/>
        </w:rPr>
      </w:pPr>
    </w:p>
    <w:p w:rsidR="007A17C9" w:rsidRDefault="007A17C9" w:rsidP="007A17C9">
      <w:pPr>
        <w:rPr>
          <w:b/>
          <w:color w:val="000000" w:themeColor="text1"/>
        </w:rPr>
      </w:pPr>
    </w:p>
    <w:p w:rsidR="007A17C9" w:rsidRDefault="007A17C9" w:rsidP="007A17C9">
      <w:pPr>
        <w:rPr>
          <w:b/>
          <w:color w:val="000000" w:themeColor="text1"/>
        </w:rPr>
      </w:pPr>
    </w:p>
    <w:p w:rsidR="007A17C9" w:rsidRDefault="007A17C9" w:rsidP="007A17C9">
      <w:pPr>
        <w:rPr>
          <w:b/>
          <w:color w:val="000000" w:themeColor="text1"/>
        </w:rPr>
      </w:pPr>
    </w:p>
    <w:p w:rsidR="007A17C9" w:rsidRDefault="007A17C9" w:rsidP="007A17C9">
      <w:pPr>
        <w:rPr>
          <w:b/>
          <w:color w:val="000000" w:themeColor="text1"/>
        </w:rPr>
      </w:pPr>
    </w:p>
    <w:p w:rsidR="007A17C9" w:rsidRDefault="007A17C9" w:rsidP="007A17C9">
      <w:pPr>
        <w:rPr>
          <w:b/>
          <w:color w:val="000000" w:themeColor="text1"/>
        </w:rPr>
      </w:pPr>
      <w:r w:rsidRPr="00933EF6">
        <w:rPr>
          <w:b/>
          <w:color w:val="000000" w:themeColor="text1"/>
        </w:rPr>
        <w:t xml:space="preserve">Figure </w:t>
      </w:r>
      <w:r w:rsidR="006F5C49">
        <w:rPr>
          <w:b/>
          <w:color w:val="000000" w:themeColor="text1"/>
        </w:rPr>
        <w:t>11</w:t>
      </w:r>
      <w:r w:rsidRPr="00933EF6">
        <w:rPr>
          <w:b/>
          <w:color w:val="000000" w:themeColor="text1"/>
        </w:rPr>
        <w:t>:</w:t>
      </w:r>
    </w:p>
    <w:p w:rsidR="007A17C9" w:rsidRDefault="007A17C9" w:rsidP="007A17C9">
      <w:pPr>
        <w:rPr>
          <w:b/>
          <w:color w:val="000000" w:themeColor="text1"/>
        </w:rPr>
      </w:pPr>
      <w:r w:rsidRPr="00933EF6">
        <w:rPr>
          <w:noProof/>
        </w:rPr>
        <w:drawing>
          <wp:inline distT="0" distB="0" distL="0" distR="0">
            <wp:extent cx="6696075" cy="2466975"/>
            <wp:effectExtent l="19050" t="0" r="9525" b="0"/>
            <wp:docPr id="4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6696075" cy="2466975"/>
                    </a:xfrm>
                    <a:prstGeom prst="rect">
                      <a:avLst/>
                    </a:prstGeom>
                  </pic:spPr>
                </pic:pic>
              </a:graphicData>
            </a:graphic>
          </wp:inline>
        </w:drawing>
      </w:r>
    </w:p>
    <w:p w:rsidR="007A17C9" w:rsidRPr="00933EF6" w:rsidRDefault="007A17C9" w:rsidP="007A17C9">
      <w:pPr>
        <w:rPr>
          <w:b/>
          <w:color w:val="000000" w:themeColor="text1"/>
        </w:rPr>
      </w:pPr>
      <w:r w:rsidRPr="00933EF6">
        <w:rPr>
          <w:noProof/>
        </w:rPr>
        <w:drawing>
          <wp:inline distT="0" distB="0" distL="0" distR="0">
            <wp:extent cx="6640803" cy="4705350"/>
            <wp:effectExtent l="19050" t="0" r="7647"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6645910" cy="4708969"/>
                    </a:xfrm>
                    <a:prstGeom prst="rect">
                      <a:avLst/>
                    </a:prstGeom>
                    <a:noFill/>
                    <a:ln w="9525">
                      <a:noFill/>
                      <a:miter lim="800000"/>
                      <a:headEnd/>
                      <a:tailEnd/>
                    </a:ln>
                  </pic:spPr>
                </pic:pic>
              </a:graphicData>
            </a:graphic>
          </wp:inline>
        </w:drawing>
      </w:r>
    </w:p>
    <w:p w:rsidR="007A17C9" w:rsidRDefault="007A17C9" w:rsidP="007A17C9">
      <w:pPr>
        <w:rPr>
          <w:b/>
          <w:color w:val="21798E" w:themeColor="accent1" w:themeShade="BF"/>
          <w:sz w:val="24"/>
          <w:szCs w:val="24"/>
        </w:rPr>
      </w:pPr>
    </w:p>
    <w:p w:rsidR="007A17C9" w:rsidRDefault="007A17C9" w:rsidP="007A17C9">
      <w:pPr>
        <w:rPr>
          <w:b/>
          <w:color w:val="21798E" w:themeColor="accent1" w:themeShade="BF"/>
          <w:sz w:val="24"/>
          <w:szCs w:val="24"/>
        </w:rPr>
      </w:pPr>
    </w:p>
    <w:p w:rsidR="007A17C9" w:rsidRDefault="007A17C9" w:rsidP="007A17C9">
      <w:pPr>
        <w:rPr>
          <w:b/>
          <w:color w:val="21798E" w:themeColor="accent1" w:themeShade="BF"/>
          <w:sz w:val="24"/>
          <w:szCs w:val="24"/>
        </w:rPr>
      </w:pPr>
      <w:r w:rsidRPr="0063675D">
        <w:rPr>
          <w:b/>
          <w:color w:val="21798E" w:themeColor="accent1" w:themeShade="BF"/>
          <w:sz w:val="24"/>
          <w:szCs w:val="24"/>
        </w:rPr>
        <w:t>2.7 Mortality Data</w:t>
      </w:r>
    </w:p>
    <w:p w:rsidR="007A17C9" w:rsidRPr="00782BA6" w:rsidRDefault="007A17C9" w:rsidP="007A17C9">
      <w:r>
        <w:t>Mortality data remains overall within expected limits.  Further details on mortality review and actions is included in the Harm Free Care report.</w:t>
      </w:r>
    </w:p>
    <w:p w:rsidR="008860A4" w:rsidRDefault="00211AEC" w:rsidP="008860A4">
      <w:pPr>
        <w:rPr>
          <w:b/>
          <w:color w:val="21798E" w:themeColor="accent1" w:themeShade="BF"/>
          <w:sz w:val="26"/>
          <w:szCs w:val="26"/>
        </w:rPr>
      </w:pPr>
      <w:bookmarkStart w:id="16" w:name="_Toc362959132"/>
      <w:bookmarkStart w:id="17" w:name="_Toc381084863"/>
      <w:r>
        <w:rPr>
          <w:b/>
          <w:color w:val="21798E" w:themeColor="accent1" w:themeShade="BF"/>
          <w:sz w:val="26"/>
          <w:szCs w:val="26"/>
        </w:rPr>
        <w:t>2.8</w:t>
      </w:r>
      <w:r w:rsidR="00BB54FD" w:rsidRPr="0079070A">
        <w:rPr>
          <w:b/>
          <w:color w:val="21798E" w:themeColor="accent1" w:themeShade="BF"/>
          <w:sz w:val="26"/>
          <w:szCs w:val="26"/>
        </w:rPr>
        <w:t xml:space="preserve"> Infection Prevention </w:t>
      </w:r>
      <w:r w:rsidR="001E283F" w:rsidRPr="0079070A">
        <w:rPr>
          <w:b/>
          <w:color w:val="21798E" w:themeColor="accent1" w:themeShade="BF"/>
          <w:sz w:val="26"/>
          <w:szCs w:val="26"/>
        </w:rPr>
        <w:t>and</w:t>
      </w:r>
      <w:r w:rsidR="00BB54FD" w:rsidRPr="0079070A">
        <w:rPr>
          <w:b/>
          <w:color w:val="21798E" w:themeColor="accent1" w:themeShade="BF"/>
          <w:sz w:val="26"/>
          <w:szCs w:val="26"/>
        </w:rPr>
        <w:t xml:space="preserve"> Control Performance</w:t>
      </w:r>
      <w:bookmarkEnd w:id="16"/>
      <w:bookmarkEnd w:id="17"/>
    </w:p>
    <w:p w:rsidR="00014394" w:rsidRPr="00014394" w:rsidRDefault="00014394" w:rsidP="00014394">
      <w:pPr>
        <w:rPr>
          <w:b/>
          <w:i/>
        </w:rPr>
      </w:pPr>
      <w:r w:rsidRPr="00014394">
        <w:rPr>
          <w:b/>
          <w:i/>
        </w:rPr>
        <w:t>Clostridium</w:t>
      </w:r>
      <w:r w:rsidRPr="00014394">
        <w:rPr>
          <w:b/>
        </w:rPr>
        <w:t xml:space="preserve"> </w:t>
      </w:r>
      <w:r w:rsidRPr="00014394">
        <w:rPr>
          <w:b/>
          <w:i/>
        </w:rPr>
        <w:t>difficile</w:t>
      </w:r>
    </w:p>
    <w:p w:rsidR="00014394" w:rsidRPr="00014394" w:rsidRDefault="00014394" w:rsidP="00014394">
      <w:pPr>
        <w:jc w:val="both"/>
      </w:pPr>
      <w:r w:rsidRPr="00014394">
        <w:t xml:space="preserve">Prevention of avoidable hospital attributed cases remains high on the agenda for the Infection Prevention and Control Team. Weston Area Health NHS Trust had a threshold of 17 hospital attributable cases of Clostridium </w:t>
      </w:r>
      <w:r w:rsidRPr="00014394">
        <w:rPr>
          <w:i/>
        </w:rPr>
        <w:t>difficile</w:t>
      </w:r>
      <w:r w:rsidRPr="00014394">
        <w:t xml:space="preserve"> for the financial year 2014/15. We did not achieve this threshold and reported 20 cases in total for this financial year. All twenty cases have been reviewed to determine whether a lapse of care has occurred which could have contributed to the patient developing Clostridium </w:t>
      </w:r>
      <w:r w:rsidRPr="00014394">
        <w:rPr>
          <w:i/>
        </w:rPr>
        <w:t>diffficile</w:t>
      </w:r>
      <w:r w:rsidRPr="00014394">
        <w:t xml:space="preserve"> infection. Seven of those twenty cases have been associated with a lapse in care, for example, inappropriate antibiotic prescribing. The remaining thirteen cases have been scrutinised and assessed as unavoidable, which equates to 65% of the total cases.</w:t>
      </w:r>
    </w:p>
    <w:p w:rsidR="00014394" w:rsidRPr="00014394" w:rsidRDefault="00014394" w:rsidP="00014394">
      <w:pPr>
        <w:jc w:val="both"/>
      </w:pPr>
      <w:r w:rsidRPr="00014394">
        <w:t xml:space="preserve">The antimicrobial stewardship programme continues and levels of compliance with antibiotic prescribing have been steadily increasing. During March the Trust achieved its highest compliance percentage of 92% which is an exceptional achievement. </w:t>
      </w:r>
    </w:p>
    <w:p w:rsidR="00014394" w:rsidRPr="00014394" w:rsidRDefault="00014394" w:rsidP="00014394">
      <w:pPr>
        <w:jc w:val="both"/>
        <w:rPr>
          <w:b/>
        </w:rPr>
      </w:pPr>
      <w:r w:rsidRPr="00014394">
        <w:rPr>
          <w:b/>
        </w:rPr>
        <w:t>MSSA Bacteraemia (bloodstream infection)</w:t>
      </w:r>
    </w:p>
    <w:p w:rsidR="00014394" w:rsidRPr="00014394" w:rsidRDefault="00014394" w:rsidP="00014394">
      <w:pPr>
        <w:jc w:val="both"/>
      </w:pPr>
      <w:r w:rsidRPr="00014394">
        <w:t>Two cases of MSSA bacteraemia were reported in February and one in March 2015. The Trust has reported a total of eleven cases for 2014/2015 against our trajectory of three cases. A rapid improvement plan is currently being implemented to improve compliance with device related care, standard infection control precautions and isolation practice. Ward based training and competency assessment in Aseptic Non-Touch Technique (ANTT) for all medical and nursing staff will commence once the ANTT policy has been ratified next month.</w:t>
      </w:r>
    </w:p>
    <w:p w:rsidR="00014394" w:rsidRPr="00014394" w:rsidRDefault="00014394" w:rsidP="00014394">
      <w:pPr>
        <w:jc w:val="both"/>
        <w:rPr>
          <w:b/>
        </w:rPr>
      </w:pPr>
      <w:r w:rsidRPr="00014394">
        <w:rPr>
          <w:b/>
        </w:rPr>
        <w:t>Outbreaks</w:t>
      </w:r>
    </w:p>
    <w:p w:rsidR="00014394" w:rsidRPr="00014394" w:rsidRDefault="00014394" w:rsidP="00014394">
      <w:pPr>
        <w:jc w:val="both"/>
      </w:pPr>
      <w:r w:rsidRPr="00014394">
        <w:t>Outbreaks of Norovirus have continued to have a major operational impact on the Trust throughout both February and March. There have been 21 separate Norovirus outbreaks during this financial year, compared to 11 in 2013/14. Levels of gastroenteritis in the local health community have been higher than the national average since December 2014 and this has contributed to the outbreaks that have developed here.</w:t>
      </w:r>
    </w:p>
    <w:p w:rsidR="00014394" w:rsidRPr="00014394" w:rsidRDefault="00014394" w:rsidP="00014394">
      <w:pPr>
        <w:jc w:val="both"/>
      </w:pPr>
      <w:r w:rsidRPr="00014394">
        <w:t xml:space="preserve">There were seven confirmed outbreaks of Norovirus in February and March. The outbreaks were located in Hutton, Kewstoke, Uphill (x2), Berrow and Stroke (x2). Detailed analysis of these outbreaks is still ongoing. There is, however, evidence to suggest that both staff and visitors are coming into the hospital with symptoms suggestive of Norovirus and two of the seven outbreaks could have been introduced this way. There is still some improvement required with outbreak documentation and communication. Work is ongoing to understand the air flows within the ward environments and the level of ventilation in the side rooms. Deep cleaning of all affected wards occurred at the end of each outbreak in line with national guidance and Trust policy. </w:t>
      </w:r>
    </w:p>
    <w:p w:rsidR="00014394" w:rsidRPr="00014394" w:rsidRDefault="00014394" w:rsidP="00014394">
      <w:pPr>
        <w:jc w:val="both"/>
        <w:rPr>
          <w:b/>
        </w:rPr>
      </w:pPr>
      <w:r w:rsidRPr="00014394">
        <w:rPr>
          <w:b/>
        </w:rPr>
        <w:t>Ebola Virus Disease (EVD)</w:t>
      </w:r>
    </w:p>
    <w:p w:rsidR="00014394" w:rsidRPr="00014394" w:rsidRDefault="00014394" w:rsidP="00014394">
      <w:pPr>
        <w:jc w:val="both"/>
        <w:rPr>
          <w:b/>
        </w:rPr>
      </w:pPr>
      <w:r w:rsidRPr="00014394">
        <w:t>The EVD working group now meets on a monthly basis as the threat of an EVD case continues to decline; the group is responsible for ensuring that the Trust is as prepared as possible for a case of EVD. The Viral Haemorrhagic Fever policy will be updated as any changes to guidance are released by Public Health England. A further exercise to test our preparedness is planned for June 2015.The Emergency Department staff are all being retrained in the donning and doffing of Personal Protective Equipment (PPE) as a refresher.</w:t>
      </w:r>
    </w:p>
    <w:p w:rsidR="008860A4" w:rsidRDefault="008860A4" w:rsidP="008860A4">
      <w:pPr>
        <w:jc w:val="both"/>
        <w:rPr>
          <w:b/>
          <w:color w:val="21798E" w:themeColor="accent1" w:themeShade="BF"/>
          <w:sz w:val="24"/>
          <w:szCs w:val="24"/>
        </w:rPr>
      </w:pPr>
      <w:r>
        <w:rPr>
          <w:b/>
          <w:color w:val="21798E" w:themeColor="accent1" w:themeShade="BF"/>
          <w:sz w:val="24"/>
          <w:szCs w:val="24"/>
        </w:rPr>
        <w:t>2.9</w:t>
      </w:r>
      <w:r w:rsidRPr="001E283F">
        <w:rPr>
          <w:b/>
          <w:color w:val="21798E" w:themeColor="accent1" w:themeShade="BF"/>
          <w:sz w:val="24"/>
          <w:szCs w:val="24"/>
        </w:rPr>
        <w:t xml:space="preserve"> Maternity</w:t>
      </w:r>
    </w:p>
    <w:p w:rsidR="00435038" w:rsidRDefault="00435038" w:rsidP="00435038">
      <w:pPr>
        <w:jc w:val="both"/>
      </w:pPr>
      <w:r>
        <w:t xml:space="preserve">The maternity team achieved variable results in both its national targets for initiating breastfeeding in-hospital and mothers not smoking at the time of delivery in February and March. The Matron would highlight again that the data does not give a true picture of the achievements of the service, and has suggested that additional data including all women booked for antenatal care be considered in addition to just those who give birth at Ashcombe Birth Centre. </w:t>
      </w:r>
    </w:p>
    <w:p w:rsidR="00435038" w:rsidRDefault="00435038" w:rsidP="00435038">
      <w:pPr>
        <w:jc w:val="both"/>
      </w:pPr>
      <w:r>
        <w:t xml:space="preserve">Referrals to Stop Smoking Service continue to be good, and we have implemented Carbon Monoxide (CO) monitoring at all antenatal contacts, with referrals for women whose reading is above 4 parts per million on the monitor. </w:t>
      </w:r>
    </w:p>
    <w:p w:rsidR="00435038" w:rsidRDefault="00435038" w:rsidP="00435038">
      <w:pPr>
        <w:jc w:val="both"/>
      </w:pPr>
      <w:r>
        <w:t>Births for 2014-15 are 233, this is 5 fewer than last year, but a much smaller reduction than over the last few years. It is known that at least 3 women were redirected in labour when the inpatient maternity services were suspen</w:t>
      </w:r>
      <w:r w:rsidR="006A3ED6">
        <w:t>ded for 3 days in January 2015 when the ABC was used as an escalation ward for inpatients.</w:t>
      </w:r>
    </w:p>
    <w:p w:rsidR="00435038" w:rsidRDefault="00435038" w:rsidP="00435038">
      <w:pPr>
        <w:jc w:val="center"/>
      </w:pPr>
      <w:r w:rsidRPr="00E63ACA">
        <w:rPr>
          <w:noProof/>
        </w:rPr>
        <w:drawing>
          <wp:inline distT="0" distB="0" distL="0" distR="0">
            <wp:extent cx="5781039" cy="2133600"/>
            <wp:effectExtent l="171450" t="133350" r="353061" b="304800"/>
            <wp:docPr id="4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780953" cy="2133568"/>
                    </a:xfrm>
                    <a:prstGeom prst="rect">
                      <a:avLst/>
                    </a:prstGeom>
                    <a:ln>
                      <a:noFill/>
                    </a:ln>
                    <a:effectLst>
                      <a:outerShdw blurRad="292100" dist="139700" dir="2700000" algn="tl" rotWithShape="0">
                        <a:srgbClr val="333333">
                          <a:alpha val="65000"/>
                        </a:srgbClr>
                      </a:outerShdw>
                    </a:effectLst>
                  </pic:spPr>
                </pic:pic>
              </a:graphicData>
            </a:graphic>
          </wp:inline>
        </w:drawing>
      </w:r>
    </w:p>
    <w:p w:rsidR="006F5C49" w:rsidRPr="006F5C49" w:rsidRDefault="006F5C49" w:rsidP="006F5C49">
      <w:pPr>
        <w:rPr>
          <w:b/>
        </w:rPr>
      </w:pPr>
      <w:r w:rsidRPr="006F5C49">
        <w:rPr>
          <w:b/>
        </w:rPr>
        <w:t>Figure 12</w:t>
      </w:r>
    </w:p>
    <w:p w:rsidR="00435038" w:rsidRDefault="00435038" w:rsidP="00435038">
      <w:pPr>
        <w:jc w:val="both"/>
      </w:pPr>
      <w:r>
        <w:t>The Matron is very hopeful that continuing the work on the 36 week clinic, and ensuring information regarding partners staying the first night will mean that over the next 12 months there will be an increase in births. Additionally, she plans to produce some patient information illustrating visually the statistics from the Birthplace Study (2011) which supports the safety of freestanding midwifery-led units, and which NICE has included in the recently updated Intrapartum guidance (December 2014).</w:t>
      </w:r>
    </w:p>
    <w:p w:rsidR="00435038" w:rsidRDefault="00435038" w:rsidP="00435038">
      <w:pPr>
        <w:jc w:val="both"/>
      </w:pPr>
      <w:r>
        <w:t xml:space="preserve">The Matron sits on the Maternity Group of the South West Strategic Clinical Network, and is delighted that the South West Maternity Dashboard has been rolled out, and that Weston Area Health Trust are contributing to it. Sadly, as WAHT is the only Midwife-led Unit in a discrete Trust it is not possible to benchmark against a similar unit. </w:t>
      </w:r>
    </w:p>
    <w:p w:rsidR="00435038" w:rsidRPr="00E63ACA" w:rsidRDefault="00435038" w:rsidP="00435038">
      <w:pPr>
        <w:jc w:val="both"/>
      </w:pPr>
      <w:r>
        <w:t>The joint Local Supervising Authority Midwifery Officer audit of Supervision of Midwives took place on the 12</w:t>
      </w:r>
      <w:r>
        <w:rPr>
          <w:vertAlign w:val="superscript"/>
        </w:rPr>
        <w:t>th</w:t>
      </w:r>
      <w:r>
        <w:t xml:space="preserve"> March at St Michael’s Hospital. The report is not yet available, and the Matron is awaiting a date from the audit team for their visit to review the environmental changes at Ashcombe Birth Centre following the audit in 2014. </w:t>
      </w:r>
    </w:p>
    <w:p w:rsidR="00435038" w:rsidRPr="00435038" w:rsidRDefault="00435038" w:rsidP="008860A4">
      <w:pPr>
        <w:jc w:val="both"/>
        <w:rPr>
          <w:b/>
          <w:color w:val="21798E" w:themeColor="accent1" w:themeShade="BF"/>
          <w:sz w:val="24"/>
          <w:szCs w:val="24"/>
        </w:rPr>
      </w:pPr>
    </w:p>
    <w:p w:rsidR="008860A4" w:rsidRDefault="008860A4" w:rsidP="008860A4">
      <w:pPr>
        <w:pStyle w:val="Heading2"/>
        <w:rPr>
          <w:color w:val="21798E" w:themeColor="accent1" w:themeShade="BF"/>
          <w:sz w:val="24"/>
          <w:szCs w:val="24"/>
        </w:rPr>
      </w:pPr>
      <w:r>
        <w:rPr>
          <w:color w:val="21798E" w:themeColor="accent1" w:themeShade="BF"/>
          <w:sz w:val="24"/>
          <w:szCs w:val="24"/>
        </w:rPr>
        <w:t>2.10</w:t>
      </w:r>
      <w:r w:rsidRPr="001E283F">
        <w:rPr>
          <w:color w:val="21798E" w:themeColor="accent1" w:themeShade="BF"/>
          <w:sz w:val="24"/>
          <w:szCs w:val="24"/>
        </w:rPr>
        <w:t xml:space="preserve"> Venous Thrombo-Embolism (VTE)</w:t>
      </w:r>
    </w:p>
    <w:p w:rsidR="008860A4" w:rsidRPr="002F309B" w:rsidRDefault="008860A4" w:rsidP="008860A4">
      <w:pPr>
        <w:rPr>
          <w:sz w:val="8"/>
        </w:rPr>
      </w:pPr>
    </w:p>
    <w:p w:rsidR="008860A4" w:rsidRDefault="008860A4" w:rsidP="008860A4">
      <w:pPr>
        <w:jc w:val="both"/>
        <w:rPr>
          <w:sz w:val="24"/>
          <w:szCs w:val="24"/>
        </w:rPr>
      </w:pPr>
      <w:r>
        <w:rPr>
          <w:sz w:val="24"/>
          <w:szCs w:val="24"/>
        </w:rPr>
        <w:t>VTE risk assessment compliance is achieving the required standard.  Further information on VTE prevention and management is outlined in the Harm Free Care report.</w:t>
      </w:r>
    </w:p>
    <w:p w:rsidR="004F7B8E" w:rsidRDefault="004F7B8E">
      <w:pPr>
        <w:rPr>
          <w:rFonts w:asciiTheme="majorHAnsi" w:eastAsiaTheme="majorEastAsia" w:hAnsiTheme="majorHAnsi" w:cstheme="majorBidi"/>
          <w:b/>
          <w:bCs/>
          <w:color w:val="21798E" w:themeColor="accent1" w:themeShade="BF"/>
          <w:sz w:val="56"/>
          <w:szCs w:val="28"/>
        </w:rPr>
      </w:pPr>
      <w:bookmarkStart w:id="18" w:name="_Toc381084870"/>
      <w:r>
        <w:rPr>
          <w:sz w:val="56"/>
        </w:rPr>
        <w:br w:type="page"/>
      </w:r>
    </w:p>
    <w:p w:rsidR="00003531" w:rsidRDefault="00003531" w:rsidP="00003531">
      <w:pPr>
        <w:pStyle w:val="Heading1"/>
        <w:rPr>
          <w:sz w:val="56"/>
        </w:rPr>
      </w:pPr>
      <w:r w:rsidRPr="00EC07FC">
        <w:rPr>
          <w:sz w:val="56"/>
        </w:rPr>
        <w:t>Section 3 Operational Performance</w:t>
      </w:r>
      <w:bookmarkEnd w:id="18"/>
      <w:r w:rsidRPr="00EC07FC">
        <w:rPr>
          <w:sz w:val="56"/>
        </w:rPr>
        <w:t xml:space="preserve"> </w:t>
      </w:r>
    </w:p>
    <w:p w:rsidR="001C65F2" w:rsidRPr="001C65F2" w:rsidRDefault="001C65F2" w:rsidP="001C65F2">
      <w:r>
        <w:t>Executive Lead – Mrs Karen Croker</w:t>
      </w:r>
    </w:p>
    <w:p w:rsidR="00003531" w:rsidRDefault="00690916" w:rsidP="00003531">
      <w:pPr>
        <w:pStyle w:val="Heading2"/>
      </w:pPr>
      <w:bookmarkStart w:id="19" w:name="_Toc381084871"/>
      <w:r>
        <w:rPr>
          <w:noProof/>
        </w:rPr>
        <w:pict>
          <v:roundrect id="AutoShape 20" o:spid="_x0000_s1043" style="position:absolute;margin-left:-12pt;margin-top:5.3pt;width:549pt;height:282pt;z-index:-251576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" fillcolor="white [3201]" strokecolor="#79cbdf [1940]" strokeweight="1pt">
            <v:fill color2="#a6dcea [1300]" focus="100%" type="gradient"/>
            <v:shadow on="t" color="#16505e [1604]" opacity=".5" offset="1pt"/>
          </v:roundrect>
        </w:pict>
      </w:r>
    </w:p>
    <w:p w:rsidR="009758E9" w:rsidRDefault="009758E9" w:rsidP="009758E9">
      <w:pPr>
        <w:pStyle w:val="Heading2"/>
      </w:pPr>
      <w:r>
        <w:t>3.1 Executive Summary Headlines</w:t>
      </w:r>
    </w:p>
    <w:p w:rsidR="00435038" w:rsidRPr="006F5C49" w:rsidRDefault="00F90185" w:rsidP="00857133">
      <w:pPr>
        <w:pStyle w:val="ListParagraph"/>
        <w:widowControl w:val="0"/>
        <w:numPr>
          <w:ilvl w:val="0"/>
          <w:numId w:val="44"/>
        </w:numPr>
        <w:autoSpaceDE w:val="0"/>
        <w:autoSpaceDN w:val="0"/>
        <w:adjustRightInd w:val="0"/>
        <w:spacing w:before="240" w:after="0" w:line="240" w:lineRule="auto"/>
        <w:jc w:val="both"/>
        <w:rPr>
          <w:rFonts w:cs="Arial"/>
        </w:rPr>
      </w:pPr>
      <w:r w:rsidRPr="006F5C49">
        <w:rPr>
          <w:rFonts w:cs="Arial"/>
        </w:rPr>
        <w:t>The Trust did not achieve the Emergency Department four hour standard of 95% for the year with a year end position of 92.55%.  March performance standing at 90.5%.</w:t>
      </w:r>
    </w:p>
    <w:p w:rsidR="00857133" w:rsidRPr="006F5C49" w:rsidRDefault="00857133" w:rsidP="00857133">
      <w:pPr>
        <w:pStyle w:val="ListParagraph"/>
        <w:widowControl w:val="0"/>
        <w:autoSpaceDE w:val="0"/>
        <w:autoSpaceDN w:val="0"/>
        <w:adjustRightInd w:val="0"/>
        <w:spacing w:before="240" w:after="0" w:line="240" w:lineRule="auto"/>
        <w:ind w:left="360"/>
        <w:jc w:val="both"/>
        <w:rPr>
          <w:rFonts w:cs="Arial"/>
        </w:rPr>
      </w:pPr>
    </w:p>
    <w:p w:rsidR="00857133" w:rsidRPr="006F5C49" w:rsidRDefault="00F90185" w:rsidP="00857133">
      <w:pPr>
        <w:pStyle w:val="ListParagraph"/>
        <w:widowControl w:val="0"/>
        <w:numPr>
          <w:ilvl w:val="0"/>
          <w:numId w:val="44"/>
        </w:numPr>
        <w:autoSpaceDE w:val="0"/>
        <w:autoSpaceDN w:val="0"/>
        <w:adjustRightInd w:val="0"/>
        <w:spacing w:before="240" w:after="0" w:line="240" w:lineRule="auto"/>
        <w:jc w:val="both"/>
        <w:rPr>
          <w:rFonts w:cs="Arial"/>
        </w:rPr>
      </w:pPr>
      <w:r w:rsidRPr="006F5C49">
        <w:rPr>
          <w:rFonts w:cs="Arial"/>
        </w:rPr>
        <w:t xml:space="preserve">Trust-wide delivery against all three Referral To Treatment targets was achieved during March.  Despite a planned recovery phase during summer 2014 </w:t>
      </w:r>
      <w:r w:rsidR="00857133" w:rsidRPr="006F5C49">
        <w:rPr>
          <w:rFonts w:cs="Arial"/>
        </w:rPr>
        <w:t xml:space="preserve">our overall consistently high performance has </w:t>
      </w:r>
      <w:r w:rsidR="00CA7604" w:rsidRPr="006F5C49">
        <w:rPr>
          <w:rFonts w:cs="Arial"/>
        </w:rPr>
        <w:t>achieved the</w:t>
      </w:r>
      <w:r w:rsidRPr="006F5C49">
        <w:rPr>
          <w:rFonts w:cs="Arial"/>
        </w:rPr>
        <w:t xml:space="preserve"> overall year </w:t>
      </w:r>
      <w:r w:rsidR="00857133" w:rsidRPr="006F5C49">
        <w:rPr>
          <w:rFonts w:cs="Arial"/>
        </w:rPr>
        <w:t xml:space="preserve">end </w:t>
      </w:r>
      <w:r w:rsidR="00CA7604" w:rsidRPr="006F5C49">
        <w:rPr>
          <w:rFonts w:cs="Arial"/>
        </w:rPr>
        <w:t>position.</w:t>
      </w:r>
    </w:p>
    <w:p w:rsidR="00CA7604" w:rsidRPr="006F5C49" w:rsidRDefault="00CA7604" w:rsidP="00CA7604">
      <w:pPr>
        <w:pStyle w:val="ListParagraph"/>
        <w:widowControl w:val="0"/>
        <w:autoSpaceDE w:val="0"/>
        <w:autoSpaceDN w:val="0"/>
        <w:adjustRightInd w:val="0"/>
        <w:spacing w:before="240" w:after="0" w:line="240" w:lineRule="auto"/>
        <w:ind w:left="360"/>
        <w:jc w:val="both"/>
        <w:rPr>
          <w:rFonts w:cs="Arial"/>
        </w:rPr>
      </w:pPr>
    </w:p>
    <w:p w:rsidR="00F90185" w:rsidRPr="006F5C49" w:rsidRDefault="00857133" w:rsidP="00857133">
      <w:pPr>
        <w:pStyle w:val="ListParagraph"/>
        <w:widowControl w:val="0"/>
        <w:numPr>
          <w:ilvl w:val="0"/>
          <w:numId w:val="44"/>
        </w:numPr>
        <w:autoSpaceDE w:val="0"/>
        <w:autoSpaceDN w:val="0"/>
        <w:adjustRightInd w:val="0"/>
        <w:spacing w:before="240" w:after="0" w:line="240" w:lineRule="auto"/>
        <w:jc w:val="both"/>
        <w:rPr>
          <w:rFonts w:cs="Arial"/>
        </w:rPr>
      </w:pPr>
      <w:r w:rsidRPr="006F5C49">
        <w:rPr>
          <w:rFonts w:cs="Arial"/>
        </w:rPr>
        <w:t>The year end position for ca</w:t>
      </w:r>
      <w:r w:rsidR="00FC5783">
        <w:rPr>
          <w:rFonts w:cs="Arial"/>
        </w:rPr>
        <w:t>ncer shows achievement against 5</w:t>
      </w:r>
      <w:r w:rsidRPr="006F5C49">
        <w:rPr>
          <w:rFonts w:cs="Arial"/>
        </w:rPr>
        <w:t xml:space="preserve"> of the 8 cancer </w:t>
      </w:r>
      <w:r w:rsidR="00CA7604" w:rsidRPr="006F5C49">
        <w:rPr>
          <w:rFonts w:cs="Arial"/>
        </w:rPr>
        <w:t xml:space="preserve">access </w:t>
      </w:r>
      <w:r w:rsidRPr="006F5C49">
        <w:rPr>
          <w:rFonts w:cs="Arial"/>
        </w:rPr>
        <w:t>standards</w:t>
      </w:r>
      <w:r w:rsidR="00CA7604" w:rsidRPr="006F5C49">
        <w:rPr>
          <w:rFonts w:cs="Arial"/>
        </w:rPr>
        <w:t xml:space="preserve">; </w:t>
      </w:r>
      <w:r w:rsidRPr="006F5C49">
        <w:rPr>
          <w:rFonts w:cs="Arial"/>
        </w:rPr>
        <w:t xml:space="preserve">as was the position for </w:t>
      </w:r>
      <w:r w:rsidR="00FC5783">
        <w:rPr>
          <w:rFonts w:cs="Arial"/>
        </w:rPr>
        <w:t>March with a failure against three</w:t>
      </w:r>
      <w:r w:rsidRPr="006F5C49">
        <w:rPr>
          <w:rFonts w:cs="Arial"/>
        </w:rPr>
        <w:t xml:space="preserve"> of the eight.</w:t>
      </w:r>
    </w:p>
    <w:p w:rsidR="00857133" w:rsidRPr="006F5C49" w:rsidRDefault="00857133" w:rsidP="00857133">
      <w:pPr>
        <w:pStyle w:val="ListParagraph"/>
        <w:rPr>
          <w:rFonts w:cs="Arial"/>
        </w:rPr>
      </w:pPr>
    </w:p>
    <w:p w:rsidR="00857133" w:rsidRPr="006F5C49" w:rsidRDefault="00857133" w:rsidP="00857133">
      <w:pPr>
        <w:pStyle w:val="ListParagraph"/>
        <w:widowControl w:val="0"/>
        <w:numPr>
          <w:ilvl w:val="0"/>
          <w:numId w:val="44"/>
        </w:numPr>
        <w:autoSpaceDE w:val="0"/>
        <w:autoSpaceDN w:val="0"/>
        <w:adjustRightInd w:val="0"/>
        <w:spacing w:before="240" w:after="0" w:line="240" w:lineRule="auto"/>
        <w:jc w:val="both"/>
        <w:rPr>
          <w:rFonts w:cs="Arial"/>
        </w:rPr>
      </w:pPr>
      <w:r w:rsidRPr="006F5C49">
        <w:rPr>
          <w:rFonts w:cs="Arial"/>
        </w:rPr>
        <w:t>Patient flow challenges throughout the mo</w:t>
      </w:r>
      <w:r w:rsidR="00CA7604" w:rsidRPr="006F5C49">
        <w:rPr>
          <w:rFonts w:cs="Arial"/>
        </w:rPr>
        <w:t>nth of March has resulted in an increase in cancelled operations and hampered our ability to achieve the stroke target.</w:t>
      </w:r>
    </w:p>
    <w:p w:rsidR="00857133" w:rsidRDefault="00857133" w:rsidP="00F662F8">
      <w:pPr>
        <w:widowControl w:val="0"/>
        <w:autoSpaceDE w:val="0"/>
        <w:autoSpaceDN w:val="0"/>
        <w:adjustRightInd w:val="0"/>
        <w:spacing w:before="240" w:after="0" w:line="240" w:lineRule="auto"/>
        <w:ind w:firstLine="720"/>
        <w:jc w:val="both"/>
        <w:rPr>
          <w:rFonts w:cs="Arial"/>
          <w:sz w:val="24"/>
        </w:rPr>
      </w:pPr>
    </w:p>
    <w:p w:rsidR="00003531" w:rsidRDefault="00003531" w:rsidP="00003531">
      <w:pPr>
        <w:pStyle w:val="Heading2"/>
      </w:pPr>
      <w:bookmarkStart w:id="20" w:name="_Toc381084872"/>
      <w:bookmarkEnd w:id="19"/>
      <w:r>
        <w:t>3.2 Operational Performance</w:t>
      </w:r>
      <w:bookmarkEnd w:id="20"/>
    </w:p>
    <w:p w:rsidR="00003531" w:rsidRPr="00CD7EE3" w:rsidRDefault="00003531" w:rsidP="00003531">
      <w:pPr>
        <w:spacing w:before="240"/>
        <w:jc w:val="both"/>
        <w:rPr>
          <w:rFonts w:cs="Arial"/>
          <w:sz w:val="24"/>
        </w:rPr>
      </w:pPr>
      <w:r w:rsidRPr="00CD7EE3">
        <w:rPr>
          <w:rFonts w:cs="Arial"/>
          <w:sz w:val="24"/>
        </w:rPr>
        <w:t>The following sections detail the Trust performance against a number of key indicators.  The report is divided into:</w:t>
      </w:r>
    </w:p>
    <w:p w:rsidR="00003531" w:rsidRPr="00CD7EE3" w:rsidRDefault="00003531" w:rsidP="00003531">
      <w:pPr>
        <w:pStyle w:val="ListParagraph"/>
        <w:widowControl w:val="0"/>
        <w:numPr>
          <w:ilvl w:val="0"/>
          <w:numId w:val="1"/>
        </w:numPr>
        <w:autoSpaceDE w:val="0"/>
        <w:autoSpaceDN w:val="0"/>
        <w:adjustRightInd w:val="0"/>
        <w:spacing w:after="0"/>
        <w:contextualSpacing w:val="0"/>
        <w:jc w:val="both"/>
        <w:rPr>
          <w:rFonts w:cs="Arial"/>
          <w:i/>
          <w:sz w:val="24"/>
        </w:rPr>
      </w:pPr>
      <w:r w:rsidRPr="00CD7EE3">
        <w:rPr>
          <w:rFonts w:cs="Arial"/>
          <w:i/>
          <w:sz w:val="24"/>
        </w:rPr>
        <w:t>Clinical Indicators</w:t>
      </w:r>
    </w:p>
    <w:p w:rsidR="00003531" w:rsidRPr="00CD7EE3" w:rsidRDefault="00003531" w:rsidP="00003531">
      <w:pPr>
        <w:pStyle w:val="ListParagraph"/>
        <w:widowControl w:val="0"/>
        <w:numPr>
          <w:ilvl w:val="0"/>
          <w:numId w:val="1"/>
        </w:numPr>
        <w:autoSpaceDE w:val="0"/>
        <w:autoSpaceDN w:val="0"/>
        <w:adjustRightInd w:val="0"/>
        <w:spacing w:after="0"/>
        <w:contextualSpacing w:val="0"/>
        <w:jc w:val="both"/>
        <w:rPr>
          <w:rFonts w:cs="Arial"/>
          <w:i/>
          <w:sz w:val="24"/>
        </w:rPr>
      </w:pPr>
      <w:r w:rsidRPr="00CD7EE3">
        <w:rPr>
          <w:rFonts w:cs="Arial"/>
          <w:i/>
          <w:sz w:val="24"/>
        </w:rPr>
        <w:t>Clinical Pathways</w:t>
      </w:r>
    </w:p>
    <w:p w:rsidR="00003531" w:rsidRPr="00CD7EE3" w:rsidRDefault="00003531" w:rsidP="00003531">
      <w:pPr>
        <w:pStyle w:val="ListParagraph"/>
        <w:widowControl w:val="0"/>
        <w:numPr>
          <w:ilvl w:val="0"/>
          <w:numId w:val="1"/>
        </w:numPr>
        <w:autoSpaceDE w:val="0"/>
        <w:autoSpaceDN w:val="0"/>
        <w:adjustRightInd w:val="0"/>
        <w:spacing w:after="0"/>
        <w:contextualSpacing w:val="0"/>
        <w:jc w:val="both"/>
        <w:rPr>
          <w:rFonts w:cs="Arial"/>
          <w:i/>
          <w:sz w:val="24"/>
        </w:rPr>
      </w:pPr>
      <w:r w:rsidRPr="00CD7EE3">
        <w:rPr>
          <w:rFonts w:cs="Arial"/>
          <w:i/>
          <w:sz w:val="24"/>
        </w:rPr>
        <w:t>Emergency Access</w:t>
      </w:r>
    </w:p>
    <w:p w:rsidR="00003531" w:rsidRPr="00CD7EE3" w:rsidRDefault="00003531" w:rsidP="00003531">
      <w:pPr>
        <w:pStyle w:val="ListParagraph"/>
        <w:widowControl w:val="0"/>
        <w:numPr>
          <w:ilvl w:val="0"/>
          <w:numId w:val="1"/>
        </w:numPr>
        <w:autoSpaceDE w:val="0"/>
        <w:autoSpaceDN w:val="0"/>
        <w:adjustRightInd w:val="0"/>
        <w:spacing w:after="0"/>
        <w:contextualSpacing w:val="0"/>
        <w:jc w:val="both"/>
        <w:rPr>
          <w:rFonts w:cs="Arial"/>
          <w:i/>
          <w:sz w:val="24"/>
        </w:rPr>
      </w:pPr>
      <w:r w:rsidRPr="00CD7EE3">
        <w:rPr>
          <w:rFonts w:cs="Arial"/>
          <w:i/>
          <w:sz w:val="24"/>
        </w:rPr>
        <w:t>Elective Access</w:t>
      </w:r>
    </w:p>
    <w:p w:rsidR="00003531" w:rsidRPr="00CD7EE3" w:rsidRDefault="00003531" w:rsidP="00003531">
      <w:pPr>
        <w:pStyle w:val="ListParagraph"/>
        <w:widowControl w:val="0"/>
        <w:numPr>
          <w:ilvl w:val="0"/>
          <w:numId w:val="1"/>
        </w:numPr>
        <w:autoSpaceDE w:val="0"/>
        <w:autoSpaceDN w:val="0"/>
        <w:adjustRightInd w:val="0"/>
        <w:spacing w:after="240"/>
        <w:contextualSpacing w:val="0"/>
        <w:jc w:val="both"/>
        <w:rPr>
          <w:rFonts w:cs="Arial"/>
          <w:i/>
          <w:sz w:val="24"/>
        </w:rPr>
      </w:pPr>
      <w:r w:rsidRPr="00CD7EE3">
        <w:rPr>
          <w:rFonts w:cs="Arial"/>
          <w:i/>
          <w:sz w:val="24"/>
        </w:rPr>
        <w:t>Patient Flow</w:t>
      </w:r>
    </w:p>
    <w:p w:rsidR="009758E9" w:rsidRDefault="00003531" w:rsidP="009758E9">
      <w:pPr>
        <w:pStyle w:val="Heading2"/>
      </w:pPr>
      <w:bookmarkStart w:id="21" w:name="_Toc381084873"/>
      <w:r>
        <w:t>3.3 Clinical Indicators</w:t>
      </w:r>
      <w:bookmarkStart w:id="22" w:name="_Toc381084874"/>
      <w:bookmarkEnd w:id="21"/>
    </w:p>
    <w:p w:rsidR="009758E9" w:rsidRPr="009758E9" w:rsidRDefault="009758E9" w:rsidP="009758E9">
      <w:pPr>
        <w:pStyle w:val="Heading2"/>
      </w:pPr>
      <w:r w:rsidRPr="00601334">
        <w:rPr>
          <w:sz w:val="24"/>
        </w:rPr>
        <w:t>3.3.1 Emergency Readmissions</w:t>
      </w:r>
      <w:bookmarkEnd w:id="22"/>
    </w:p>
    <w:p w:rsidR="00C773F5" w:rsidRDefault="009758E9" w:rsidP="009758E9">
      <w:pPr>
        <w:spacing w:before="240"/>
        <w:jc w:val="both"/>
        <w:rPr>
          <w:rFonts w:cs="Arial"/>
          <w:sz w:val="24"/>
        </w:rPr>
      </w:pPr>
      <w:r w:rsidRPr="00CD7EE3">
        <w:rPr>
          <w:rFonts w:cs="Arial"/>
          <w:sz w:val="24"/>
        </w:rPr>
        <w:t xml:space="preserve">An emergency readmission is defined as an unplanned readmission within an identified time of leaving the hospital.  The ideal readmission rate is zero however this is not always possible as patients can have multiple co-morbidities or long-term conditions which require frequent medical attention.  </w:t>
      </w:r>
    </w:p>
    <w:p w:rsidR="009758E9" w:rsidRPr="00CD7EE3" w:rsidRDefault="009758E9" w:rsidP="009758E9">
      <w:pPr>
        <w:spacing w:before="240"/>
        <w:jc w:val="both"/>
        <w:rPr>
          <w:rFonts w:cs="Arial"/>
          <w:sz w:val="24"/>
        </w:rPr>
      </w:pPr>
      <w:r w:rsidRPr="00CD7EE3">
        <w:rPr>
          <w:rFonts w:cs="Arial"/>
          <w:sz w:val="24"/>
        </w:rPr>
        <w:t xml:space="preserve">Monitoring emergency readmission rates is important to the Trust as it can help to prevent or reduce unplanned readmissions to hospital.  </w:t>
      </w:r>
    </w:p>
    <w:p w:rsidR="009758E9" w:rsidRPr="00CD7EE3" w:rsidRDefault="009758E9" w:rsidP="009758E9">
      <w:pPr>
        <w:spacing w:before="240"/>
        <w:jc w:val="both"/>
        <w:rPr>
          <w:rFonts w:cs="Arial"/>
          <w:sz w:val="24"/>
        </w:rPr>
      </w:pPr>
      <w:r w:rsidRPr="00CD7EE3">
        <w:rPr>
          <w:rFonts w:cs="Arial"/>
          <w:sz w:val="24"/>
        </w:rPr>
        <w:t xml:space="preserve">The Trust monitors emergency readmissions within 14 days and 30 days.  </w:t>
      </w:r>
      <w:r w:rsidRPr="00D556D5">
        <w:rPr>
          <w:rFonts w:cs="Arial"/>
          <w:sz w:val="24"/>
        </w:rPr>
        <w:t xml:space="preserve">As illustrated in </w:t>
      </w:r>
      <w:r w:rsidRPr="00DF134A">
        <w:rPr>
          <w:rFonts w:cs="Arial"/>
          <w:i/>
          <w:sz w:val="24"/>
        </w:rPr>
        <w:t xml:space="preserve">Figure </w:t>
      </w:r>
      <w:r w:rsidR="006F5C49">
        <w:rPr>
          <w:rFonts w:cs="Arial"/>
          <w:i/>
          <w:sz w:val="24"/>
        </w:rPr>
        <w:t>13</w:t>
      </w:r>
      <w:r>
        <w:rPr>
          <w:rFonts w:cs="Arial"/>
          <w:i/>
          <w:sz w:val="24"/>
        </w:rPr>
        <w:t>,</w:t>
      </w:r>
      <w:r w:rsidRPr="00D556D5">
        <w:rPr>
          <w:rFonts w:cs="Arial"/>
          <w:i/>
          <w:sz w:val="24"/>
        </w:rPr>
        <w:t xml:space="preserve"> </w:t>
      </w:r>
      <w:r w:rsidRPr="00D556D5">
        <w:rPr>
          <w:rFonts w:cs="Arial"/>
          <w:sz w:val="24"/>
        </w:rPr>
        <w:t>performance</w:t>
      </w:r>
      <w:r>
        <w:rPr>
          <w:rFonts w:cs="Arial"/>
          <w:sz w:val="24"/>
        </w:rPr>
        <w:t xml:space="preserve"> of readmissions within 14 and 30 days</w:t>
      </w:r>
      <w:r w:rsidRPr="00D556D5">
        <w:rPr>
          <w:rFonts w:cs="Arial"/>
          <w:sz w:val="24"/>
        </w:rPr>
        <w:t xml:space="preserve"> </w:t>
      </w:r>
      <w:r>
        <w:rPr>
          <w:rFonts w:cs="Arial"/>
          <w:sz w:val="24"/>
        </w:rPr>
        <w:t>continued to</w:t>
      </w:r>
      <w:r w:rsidR="004140A1">
        <w:rPr>
          <w:rFonts w:cs="Arial"/>
          <w:sz w:val="24"/>
        </w:rPr>
        <w:t xml:space="preserve"> improve in February and although rose slightly in March, was still the low for the year to date. T</w:t>
      </w:r>
      <w:r>
        <w:rPr>
          <w:rFonts w:cs="Arial"/>
          <w:sz w:val="24"/>
        </w:rPr>
        <w:t xml:space="preserve">he Trust </w:t>
      </w:r>
      <w:r w:rsidR="00FF323F">
        <w:rPr>
          <w:rFonts w:cs="Arial"/>
          <w:sz w:val="24"/>
        </w:rPr>
        <w:t>has</w:t>
      </w:r>
      <w:r>
        <w:rPr>
          <w:rFonts w:cs="Arial"/>
          <w:sz w:val="24"/>
        </w:rPr>
        <w:t xml:space="preserve"> noted the lowest readmission percentages in twelve months, over the last quarter.</w:t>
      </w:r>
    </w:p>
    <w:p w:rsidR="009758E9" w:rsidRDefault="006F5C49" w:rsidP="009758E9">
      <w:pPr>
        <w:spacing w:before="240"/>
        <w:jc w:val="both"/>
        <w:rPr>
          <w:b/>
        </w:rPr>
      </w:pPr>
      <w:r>
        <w:rPr>
          <w:b/>
        </w:rPr>
        <w:t>Figure 13</w:t>
      </w:r>
      <w:r w:rsidR="009758E9" w:rsidRPr="00671331">
        <w:rPr>
          <w:b/>
        </w:rPr>
        <w:t>:</w:t>
      </w:r>
    </w:p>
    <w:p w:rsidR="009758E9" w:rsidRPr="00671331" w:rsidRDefault="004E535A" w:rsidP="009758E9">
      <w:pPr>
        <w:spacing w:before="240"/>
        <w:jc w:val="center"/>
        <w:rPr>
          <w:rFonts w:cs="Arial"/>
        </w:rPr>
      </w:pPr>
      <w:r w:rsidRPr="004E535A">
        <w:rPr>
          <w:noProof/>
        </w:rPr>
        <w:drawing>
          <wp:inline distT="0" distB="0" distL="0" distR="0">
            <wp:extent cx="6324600" cy="3105150"/>
            <wp:effectExtent l="19050" t="0" r="0"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6324600" cy="3105150"/>
                    </a:xfrm>
                    <a:prstGeom prst="rect">
                      <a:avLst/>
                    </a:prstGeom>
                    <a:noFill/>
                    <a:ln w="9525">
                      <a:noFill/>
                      <a:miter lim="800000"/>
                      <a:headEnd/>
                      <a:tailEnd/>
                    </a:ln>
                  </pic:spPr>
                </pic:pic>
              </a:graphicData>
            </a:graphic>
          </wp:inline>
        </w:drawing>
      </w:r>
    </w:p>
    <w:p w:rsidR="009758E9" w:rsidRPr="00671331" w:rsidRDefault="009758E9" w:rsidP="009758E9">
      <w:pPr>
        <w:spacing w:before="240"/>
        <w:jc w:val="both"/>
        <w:rPr>
          <w:rFonts w:cs="Arial"/>
          <w:b/>
        </w:rPr>
      </w:pPr>
      <w:r w:rsidRPr="00671331">
        <w:rPr>
          <w:rFonts w:cs="Arial"/>
          <w:b/>
        </w:rPr>
        <w:t>Trust Action:</w:t>
      </w:r>
    </w:p>
    <w:p w:rsidR="009758E9" w:rsidRDefault="009758E9" w:rsidP="009758E9">
      <w:pPr>
        <w:spacing w:before="240"/>
        <w:jc w:val="both"/>
        <w:rPr>
          <w:rFonts w:cs="Arial"/>
          <w:sz w:val="24"/>
        </w:rPr>
      </w:pPr>
      <w:r w:rsidRPr="00CD7EE3">
        <w:rPr>
          <w:rFonts w:cs="Arial"/>
          <w:sz w:val="24"/>
        </w:rPr>
        <w:t xml:space="preserve">To provide additional assurance that emergency readmissions are not </w:t>
      </w:r>
      <w:r>
        <w:rPr>
          <w:rFonts w:cs="Arial"/>
          <w:sz w:val="24"/>
        </w:rPr>
        <w:t xml:space="preserve">related to the original episode of care, the </w:t>
      </w:r>
      <w:r w:rsidRPr="00CD7EE3">
        <w:rPr>
          <w:rFonts w:cs="Arial"/>
          <w:sz w:val="24"/>
        </w:rPr>
        <w:t xml:space="preserve">Emergency &amp; Urgent Care Division </w:t>
      </w:r>
      <w:r>
        <w:rPr>
          <w:rFonts w:cs="Arial"/>
          <w:sz w:val="24"/>
        </w:rPr>
        <w:t xml:space="preserve">are undertaking regular audits of the readmissions to provide assurance that patients are not being readmitted as a result of the Trusts treatment and care.  </w:t>
      </w:r>
    </w:p>
    <w:p w:rsidR="009758E9" w:rsidRPr="00CD7EE3" w:rsidRDefault="009758E9" w:rsidP="009758E9">
      <w:pPr>
        <w:pStyle w:val="Heading3"/>
        <w:rPr>
          <w:sz w:val="24"/>
        </w:rPr>
      </w:pPr>
      <w:bookmarkStart w:id="23" w:name="_Toc381084875"/>
      <w:r w:rsidRPr="00CD7EE3">
        <w:rPr>
          <w:sz w:val="24"/>
        </w:rPr>
        <w:t>3.3.2 Average Length of Stay</w:t>
      </w:r>
      <w:bookmarkEnd w:id="23"/>
    </w:p>
    <w:p w:rsidR="009758E9" w:rsidRPr="00C8003E" w:rsidRDefault="009758E9" w:rsidP="009758E9">
      <w:pPr>
        <w:spacing w:before="240"/>
        <w:jc w:val="both"/>
        <w:rPr>
          <w:rFonts w:cs="Arial"/>
          <w:sz w:val="24"/>
        </w:rPr>
      </w:pPr>
      <w:r w:rsidRPr="00C8003E">
        <w:rPr>
          <w:rFonts w:cs="Arial"/>
          <w:sz w:val="24"/>
        </w:rPr>
        <w:t xml:space="preserve">The average length of stay (ALOS) refers to the average number of days that patients spend in hospital.  The Trust strives to have a length of stay below the Trust target as it demonstrates proactive planning of the whole process of care, as well as active discharge planning.  In </w:t>
      </w:r>
      <w:r w:rsidR="00807685">
        <w:rPr>
          <w:rFonts w:cs="Arial"/>
          <w:sz w:val="24"/>
        </w:rPr>
        <w:t>February</w:t>
      </w:r>
      <w:r>
        <w:rPr>
          <w:rFonts w:cs="Arial"/>
          <w:sz w:val="24"/>
        </w:rPr>
        <w:t xml:space="preserve"> the average LOS increased</w:t>
      </w:r>
      <w:r w:rsidRPr="00C8003E">
        <w:rPr>
          <w:rFonts w:cs="Arial"/>
          <w:sz w:val="24"/>
        </w:rPr>
        <w:t xml:space="preserve"> to </w:t>
      </w:r>
      <w:r w:rsidR="00807685">
        <w:rPr>
          <w:rFonts w:cs="Arial"/>
          <w:sz w:val="24"/>
        </w:rPr>
        <w:t>3.1</w:t>
      </w:r>
      <w:r>
        <w:rPr>
          <w:rFonts w:cs="Arial"/>
          <w:sz w:val="24"/>
        </w:rPr>
        <w:t xml:space="preserve"> days which </w:t>
      </w:r>
      <w:r w:rsidR="00CA7604">
        <w:rPr>
          <w:rFonts w:cs="Arial"/>
          <w:sz w:val="24"/>
        </w:rPr>
        <w:t xml:space="preserve">in the main is a result of delayed discharges due to a high number of beds closed due to norovirus.  This has </w:t>
      </w:r>
      <w:r w:rsidR="00807685">
        <w:rPr>
          <w:rFonts w:cs="Arial"/>
          <w:sz w:val="24"/>
        </w:rPr>
        <w:t>dropped in March to 2.5 days which is encouraging and reflective of appropriate care planning</w:t>
      </w:r>
      <w:r w:rsidR="00CA7604">
        <w:rPr>
          <w:rFonts w:cs="Arial"/>
          <w:sz w:val="24"/>
        </w:rPr>
        <w:t xml:space="preserve"> and the focus on discharge throughout inpatient areas</w:t>
      </w:r>
      <w:r w:rsidR="00807685">
        <w:rPr>
          <w:rFonts w:cs="Arial"/>
          <w:sz w:val="24"/>
        </w:rPr>
        <w:t>.</w:t>
      </w:r>
    </w:p>
    <w:p w:rsidR="009758E9" w:rsidRPr="00C773F5" w:rsidRDefault="009758E9" w:rsidP="009758E9">
      <w:pPr>
        <w:pStyle w:val="NoSpacing"/>
        <w:rPr>
          <w:b/>
          <w:sz w:val="22"/>
          <w:szCs w:val="22"/>
        </w:rPr>
      </w:pPr>
      <w:r w:rsidRPr="00C773F5">
        <w:rPr>
          <w:b/>
          <w:sz w:val="22"/>
          <w:szCs w:val="22"/>
        </w:rPr>
        <w:t xml:space="preserve">Figure </w:t>
      </w:r>
      <w:r w:rsidR="006F5C49">
        <w:rPr>
          <w:b/>
          <w:sz w:val="22"/>
          <w:szCs w:val="22"/>
        </w:rPr>
        <w:t>14</w:t>
      </w:r>
      <w:r w:rsidRPr="00C773F5">
        <w:rPr>
          <w:b/>
          <w:sz w:val="22"/>
          <w:szCs w:val="22"/>
        </w:rPr>
        <w:t>:</w:t>
      </w:r>
    </w:p>
    <w:p w:rsidR="009758E9" w:rsidRDefault="00807685" w:rsidP="009758E9">
      <w:pPr>
        <w:spacing w:before="240"/>
        <w:jc w:val="center"/>
        <w:rPr>
          <w:rFonts w:cs="Arial"/>
        </w:rPr>
      </w:pPr>
      <w:r w:rsidRPr="00807685">
        <w:rPr>
          <w:noProof/>
        </w:rPr>
        <w:drawing>
          <wp:inline distT="0" distB="0" distL="0" distR="0">
            <wp:extent cx="5248275" cy="3743325"/>
            <wp:effectExtent l="19050" t="0" r="9525"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5248275" cy="3743325"/>
                    </a:xfrm>
                    <a:prstGeom prst="rect">
                      <a:avLst/>
                    </a:prstGeom>
                    <a:noFill/>
                    <a:ln w="9525">
                      <a:noFill/>
                      <a:miter lim="800000"/>
                      <a:headEnd/>
                      <a:tailEnd/>
                    </a:ln>
                  </pic:spPr>
                </pic:pic>
              </a:graphicData>
            </a:graphic>
          </wp:inline>
        </w:drawing>
      </w:r>
    </w:p>
    <w:p w:rsidR="009758E9" w:rsidRDefault="009758E9" w:rsidP="009758E9">
      <w:pPr>
        <w:autoSpaceDE w:val="0"/>
        <w:autoSpaceDN w:val="0"/>
        <w:adjustRightInd w:val="0"/>
        <w:spacing w:after="0" w:line="240" w:lineRule="auto"/>
        <w:jc w:val="both"/>
        <w:rPr>
          <w:sz w:val="24"/>
        </w:rPr>
      </w:pPr>
    </w:p>
    <w:p w:rsidR="00807685" w:rsidRPr="001C65F2" w:rsidRDefault="009758E9" w:rsidP="001C65F2">
      <w:pPr>
        <w:autoSpaceDE w:val="0"/>
        <w:autoSpaceDN w:val="0"/>
        <w:adjustRightInd w:val="0"/>
        <w:spacing w:after="0" w:line="240" w:lineRule="auto"/>
        <w:jc w:val="both"/>
        <w:rPr>
          <w:sz w:val="24"/>
        </w:rPr>
      </w:pPr>
      <w:r w:rsidRPr="004C7386">
        <w:rPr>
          <w:sz w:val="24"/>
        </w:rPr>
        <w:t xml:space="preserve">The Trust also monitors the percentage of patients with a length of stay (LOS) over 10 days.  The programme of work to improve patient pathways </w:t>
      </w:r>
      <w:r w:rsidRPr="004C7386">
        <w:rPr>
          <w:rFonts w:cs="Arial"/>
          <w:sz w:val="24"/>
        </w:rPr>
        <w:t xml:space="preserve">and the level of care alongside the focus on the Green </w:t>
      </w:r>
      <w:r>
        <w:rPr>
          <w:rFonts w:cs="Arial"/>
          <w:sz w:val="24"/>
        </w:rPr>
        <w:t>to Go l</w:t>
      </w:r>
      <w:r w:rsidRPr="004C7386">
        <w:rPr>
          <w:rFonts w:cs="Arial"/>
          <w:sz w:val="24"/>
        </w:rPr>
        <w:t xml:space="preserve">ist has enabled the Trust to </w:t>
      </w:r>
      <w:r>
        <w:rPr>
          <w:rFonts w:cs="Arial"/>
          <w:sz w:val="24"/>
        </w:rPr>
        <w:t>work to a reduction plan in the percentage of pa</w:t>
      </w:r>
      <w:r w:rsidR="00AF6FCF">
        <w:rPr>
          <w:rFonts w:cs="Arial"/>
          <w:sz w:val="24"/>
        </w:rPr>
        <w:t xml:space="preserve">tients with a LOS over 10 days, although recent </w:t>
      </w:r>
      <w:r w:rsidR="00CA7604">
        <w:rPr>
          <w:rFonts w:cs="Arial"/>
          <w:sz w:val="24"/>
        </w:rPr>
        <w:t>delays due to ward closures will be</w:t>
      </w:r>
      <w:r w:rsidR="00AF6FCF">
        <w:rPr>
          <w:rFonts w:cs="Arial"/>
          <w:sz w:val="24"/>
        </w:rPr>
        <w:t xml:space="preserve"> reflected in the higher figures for February and March.  With reduced mortality rates and the local population percentage over 80 years of age rising</w:t>
      </w:r>
      <w:r w:rsidR="00CA7604">
        <w:rPr>
          <w:rFonts w:cs="Arial"/>
          <w:sz w:val="24"/>
        </w:rPr>
        <w:t xml:space="preserve"> and therefore likely to require ongoing health or social care this increase in lengt</w:t>
      </w:r>
      <w:r w:rsidR="001C65F2">
        <w:rPr>
          <w:rFonts w:cs="Arial"/>
          <w:sz w:val="24"/>
        </w:rPr>
        <w:t xml:space="preserve">h of stay is a potential risk. </w:t>
      </w:r>
    </w:p>
    <w:p w:rsidR="00807685" w:rsidRDefault="00807685" w:rsidP="009758E9">
      <w:pPr>
        <w:pStyle w:val="NoSpacing"/>
        <w:rPr>
          <w:b/>
          <w:sz w:val="22"/>
          <w:szCs w:val="22"/>
        </w:rPr>
      </w:pPr>
    </w:p>
    <w:p w:rsidR="00807685" w:rsidRDefault="00807685" w:rsidP="009758E9">
      <w:pPr>
        <w:pStyle w:val="NoSpacing"/>
        <w:rPr>
          <w:b/>
          <w:sz w:val="22"/>
          <w:szCs w:val="22"/>
        </w:rPr>
      </w:pPr>
    </w:p>
    <w:p w:rsidR="00807685" w:rsidRPr="00870270" w:rsidRDefault="00807685" w:rsidP="009758E9">
      <w:pPr>
        <w:pStyle w:val="NoSpacing"/>
        <w:rPr>
          <w:b/>
          <w:sz w:val="2"/>
          <w:szCs w:val="22"/>
        </w:rPr>
      </w:pPr>
    </w:p>
    <w:p w:rsidR="006F5C49" w:rsidRDefault="006F5C49" w:rsidP="009758E9">
      <w:pPr>
        <w:pStyle w:val="NoSpacing"/>
        <w:rPr>
          <w:b/>
          <w:sz w:val="22"/>
          <w:szCs w:val="22"/>
        </w:rPr>
      </w:pPr>
    </w:p>
    <w:p w:rsidR="006F5C49" w:rsidRDefault="006F5C49" w:rsidP="009758E9">
      <w:pPr>
        <w:pStyle w:val="NoSpacing"/>
        <w:rPr>
          <w:b/>
          <w:sz w:val="22"/>
          <w:szCs w:val="22"/>
        </w:rPr>
      </w:pPr>
    </w:p>
    <w:p w:rsidR="006F5C49" w:rsidRDefault="006F5C49" w:rsidP="009758E9">
      <w:pPr>
        <w:pStyle w:val="NoSpacing"/>
        <w:rPr>
          <w:b/>
          <w:sz w:val="22"/>
          <w:szCs w:val="22"/>
        </w:rPr>
      </w:pPr>
    </w:p>
    <w:p w:rsidR="009758E9" w:rsidRPr="00C773F5" w:rsidRDefault="009758E9" w:rsidP="009758E9">
      <w:pPr>
        <w:pStyle w:val="NoSpacing"/>
        <w:rPr>
          <w:b/>
          <w:sz w:val="22"/>
          <w:szCs w:val="22"/>
        </w:rPr>
      </w:pPr>
      <w:r w:rsidRPr="00C773F5">
        <w:rPr>
          <w:b/>
          <w:sz w:val="22"/>
          <w:szCs w:val="22"/>
        </w:rPr>
        <w:t xml:space="preserve">Figure </w:t>
      </w:r>
      <w:r w:rsidR="006F5C49">
        <w:rPr>
          <w:b/>
          <w:sz w:val="22"/>
          <w:szCs w:val="22"/>
        </w:rPr>
        <w:t>15</w:t>
      </w:r>
      <w:r w:rsidRPr="00C773F5">
        <w:rPr>
          <w:b/>
          <w:sz w:val="22"/>
          <w:szCs w:val="22"/>
        </w:rPr>
        <w:t>:</w:t>
      </w:r>
    </w:p>
    <w:p w:rsidR="009758E9" w:rsidRDefault="00807685" w:rsidP="009758E9">
      <w:pPr>
        <w:spacing w:before="240" w:after="0"/>
        <w:jc w:val="center"/>
        <w:rPr>
          <w:rFonts w:cs="Arial"/>
        </w:rPr>
      </w:pPr>
      <w:r w:rsidRPr="00807685">
        <w:rPr>
          <w:noProof/>
        </w:rPr>
        <w:drawing>
          <wp:inline distT="0" distB="0" distL="0" distR="0">
            <wp:extent cx="5705475" cy="3705225"/>
            <wp:effectExtent l="19050" t="0" r="9525" b="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5705475" cy="3705225"/>
                    </a:xfrm>
                    <a:prstGeom prst="rect">
                      <a:avLst/>
                    </a:prstGeom>
                    <a:noFill/>
                    <a:ln w="9525">
                      <a:noFill/>
                      <a:miter lim="800000"/>
                      <a:headEnd/>
                      <a:tailEnd/>
                    </a:ln>
                  </pic:spPr>
                </pic:pic>
              </a:graphicData>
            </a:graphic>
          </wp:inline>
        </w:drawing>
      </w:r>
    </w:p>
    <w:p w:rsidR="009758E9" w:rsidRPr="004C7386" w:rsidRDefault="009758E9" w:rsidP="009758E9">
      <w:pPr>
        <w:spacing w:before="240"/>
        <w:jc w:val="both"/>
        <w:rPr>
          <w:b/>
          <w:sz w:val="24"/>
        </w:rPr>
      </w:pPr>
      <w:r w:rsidRPr="004C7386">
        <w:rPr>
          <w:b/>
          <w:sz w:val="24"/>
        </w:rPr>
        <w:t>Trust Action:</w:t>
      </w:r>
    </w:p>
    <w:p w:rsidR="009758E9" w:rsidRDefault="009758E9" w:rsidP="009758E9">
      <w:pPr>
        <w:jc w:val="both"/>
        <w:rPr>
          <w:sz w:val="24"/>
        </w:rPr>
      </w:pPr>
      <w:r>
        <w:rPr>
          <w:sz w:val="24"/>
        </w:rPr>
        <w:t>In addition to the work streams already underway as part of the Trust</w:t>
      </w:r>
      <w:r w:rsidR="00C773F5">
        <w:rPr>
          <w:sz w:val="24"/>
        </w:rPr>
        <w:t>’</w:t>
      </w:r>
      <w:r>
        <w:rPr>
          <w:sz w:val="24"/>
        </w:rPr>
        <w:t>s business plan, the operational teams are focussing on optimising the ward board rounds.  A ward board round takes place twice during the day and is where the multi-disciplinary clinical teams review each of the patient in detail using the rounding tool.  This will ensure that throughout the patients stay all necessary actions are undertaken on time and in line with the clinical pathway for the patient.  Each ward has also been allocated a senior manager</w:t>
      </w:r>
      <w:r w:rsidRPr="00C262D2">
        <w:rPr>
          <w:sz w:val="24"/>
        </w:rPr>
        <w:t xml:space="preserve"> </w:t>
      </w:r>
      <w:r>
        <w:rPr>
          <w:sz w:val="24"/>
        </w:rPr>
        <w:t>to support the teams to deliver and unblock any difficulties that arise.</w:t>
      </w:r>
    </w:p>
    <w:p w:rsidR="009758E9" w:rsidRDefault="009758E9" w:rsidP="00EF072B">
      <w:pPr>
        <w:jc w:val="both"/>
        <w:rPr>
          <w:sz w:val="24"/>
        </w:rPr>
      </w:pPr>
      <w:r>
        <w:rPr>
          <w:sz w:val="24"/>
        </w:rPr>
        <w:t>Daily monitoring of delays to discharge takes place at ward level with any barriers to a timely discharge being escalated through the divisions.  It is important that work to reduce length of stay is linked with feedback from patient complaints and surveys; therefore a discharge work stream is being established which will be responsible for both progressing timeliness and quality of discharge.</w:t>
      </w:r>
    </w:p>
    <w:p w:rsidR="009758E9" w:rsidRPr="0059407D" w:rsidRDefault="009758E9" w:rsidP="009758E9">
      <w:pPr>
        <w:pStyle w:val="Heading2"/>
      </w:pPr>
      <w:r>
        <w:t>3.4 Clinical Pathways</w:t>
      </w:r>
    </w:p>
    <w:p w:rsidR="009758E9" w:rsidRPr="00CD7EE3" w:rsidRDefault="009758E9" w:rsidP="009758E9">
      <w:pPr>
        <w:spacing w:before="240" w:after="0"/>
        <w:jc w:val="both"/>
        <w:rPr>
          <w:rFonts w:cs="Arial"/>
          <w:i/>
          <w:sz w:val="24"/>
        </w:rPr>
      </w:pPr>
      <w:r w:rsidRPr="00CD7EE3">
        <w:rPr>
          <w:rFonts w:cs="Arial"/>
          <w:i/>
          <w:sz w:val="24"/>
        </w:rPr>
        <w:t>This section sets out performance indicators related to key clinical pathways, including cancer</w:t>
      </w:r>
      <w:r>
        <w:rPr>
          <w:rFonts w:cs="Arial"/>
          <w:i/>
          <w:sz w:val="24"/>
        </w:rPr>
        <w:t xml:space="preserve"> and stroke.  </w:t>
      </w:r>
    </w:p>
    <w:p w:rsidR="009758E9" w:rsidRPr="00CF50D5" w:rsidRDefault="009758E9" w:rsidP="009758E9">
      <w:pPr>
        <w:pStyle w:val="Heading2"/>
        <w:contextualSpacing/>
        <w:rPr>
          <w:rFonts w:cs="Arial"/>
          <w:i/>
          <w:sz w:val="16"/>
          <w:szCs w:val="22"/>
        </w:rPr>
      </w:pPr>
      <w:bookmarkStart w:id="24" w:name="_Toc381084877"/>
      <w:r w:rsidRPr="00CD7EE3">
        <w:rPr>
          <w:sz w:val="24"/>
          <w:szCs w:val="22"/>
        </w:rPr>
        <w:t>3.4.1 Cancer Services</w:t>
      </w:r>
      <w:bookmarkEnd w:id="24"/>
    </w:p>
    <w:p w:rsidR="009758E9" w:rsidRPr="00CD7EE3" w:rsidRDefault="009758E9" w:rsidP="009758E9">
      <w:pPr>
        <w:spacing w:before="240" w:after="0"/>
        <w:jc w:val="both"/>
        <w:rPr>
          <w:rFonts w:cstheme="minorHAnsi"/>
          <w:sz w:val="24"/>
        </w:rPr>
      </w:pPr>
      <w:r w:rsidRPr="00392C94">
        <w:rPr>
          <w:rFonts w:cstheme="minorHAnsi"/>
          <w:sz w:val="24"/>
        </w:rPr>
        <w:t xml:space="preserve">The Trust strives to achieve the national cancer waiting times as they are important to patients clinical outcomes, are a measure of how the Trust is responding to demands for services, and highlights where there are delays in the system.  In </w:t>
      </w:r>
      <w:r w:rsidR="00500200">
        <w:rPr>
          <w:rFonts w:cstheme="minorHAnsi"/>
          <w:sz w:val="24"/>
        </w:rPr>
        <w:t>February</w:t>
      </w:r>
      <w:r w:rsidRPr="00392C94">
        <w:rPr>
          <w:rFonts w:cstheme="minorHAnsi"/>
          <w:sz w:val="24"/>
        </w:rPr>
        <w:t xml:space="preserve"> the Trust </w:t>
      </w:r>
      <w:r w:rsidR="0078675C">
        <w:rPr>
          <w:rFonts w:cstheme="minorHAnsi"/>
          <w:sz w:val="24"/>
        </w:rPr>
        <w:t>achieved seven</w:t>
      </w:r>
      <w:r>
        <w:rPr>
          <w:rFonts w:cstheme="minorHAnsi"/>
          <w:sz w:val="24"/>
        </w:rPr>
        <w:t xml:space="preserve"> of the eig</w:t>
      </w:r>
      <w:r w:rsidR="0078675C">
        <w:rPr>
          <w:rFonts w:cstheme="minorHAnsi"/>
          <w:sz w:val="24"/>
        </w:rPr>
        <w:t>ht</w:t>
      </w:r>
      <w:r w:rsidR="00FC5783">
        <w:rPr>
          <w:rFonts w:cstheme="minorHAnsi"/>
          <w:sz w:val="24"/>
        </w:rPr>
        <w:t xml:space="preserve"> national cancer targets and five</w:t>
      </w:r>
      <w:r w:rsidR="0078675C">
        <w:rPr>
          <w:rFonts w:cstheme="minorHAnsi"/>
          <w:sz w:val="24"/>
        </w:rPr>
        <w:t xml:space="preserve"> of the eight in March.</w:t>
      </w:r>
    </w:p>
    <w:p w:rsidR="009758E9" w:rsidRPr="00DE5528" w:rsidRDefault="009758E9" w:rsidP="009758E9">
      <w:pPr>
        <w:pStyle w:val="Heading4"/>
        <w:spacing w:before="240"/>
        <w:jc w:val="both"/>
        <w:rPr>
          <w:rFonts w:asciiTheme="minorHAnsi" w:hAnsiTheme="minorHAnsi" w:cs="Arial"/>
          <w:i w:val="0"/>
          <w:sz w:val="22"/>
          <w:szCs w:val="22"/>
        </w:rPr>
      </w:pPr>
      <w:r w:rsidRPr="00DE5528">
        <w:rPr>
          <w:rFonts w:asciiTheme="minorHAnsi" w:hAnsiTheme="minorHAnsi" w:cs="Arial"/>
          <w:i w:val="0"/>
          <w:szCs w:val="22"/>
        </w:rPr>
        <w:t>3.4.2 Cancer Two Week Wait</w:t>
      </w:r>
    </w:p>
    <w:p w:rsidR="009758E9" w:rsidRPr="003274E8" w:rsidRDefault="009758E9" w:rsidP="009758E9">
      <w:pPr>
        <w:spacing w:before="240" w:after="0"/>
        <w:jc w:val="both"/>
        <w:rPr>
          <w:rFonts w:cs="Arial"/>
          <w:sz w:val="24"/>
        </w:rPr>
      </w:pPr>
      <w:r w:rsidRPr="00F07093">
        <w:rPr>
          <w:rFonts w:cs="Arial"/>
          <w:sz w:val="24"/>
        </w:rPr>
        <w:t>The two week wait target was achieved in b</w:t>
      </w:r>
      <w:r w:rsidR="0078675C">
        <w:rPr>
          <w:rFonts w:cs="Arial"/>
          <w:sz w:val="24"/>
        </w:rPr>
        <w:t>oth February</w:t>
      </w:r>
      <w:r>
        <w:rPr>
          <w:rFonts w:cs="Arial"/>
          <w:sz w:val="24"/>
        </w:rPr>
        <w:t xml:space="preserve"> a</w:t>
      </w:r>
      <w:r w:rsidR="0078675C">
        <w:rPr>
          <w:rFonts w:cs="Arial"/>
          <w:sz w:val="24"/>
        </w:rPr>
        <w:t>nd Ma</w:t>
      </w:r>
      <w:r w:rsidR="00FC5783">
        <w:rPr>
          <w:rFonts w:cs="Arial"/>
          <w:sz w:val="24"/>
        </w:rPr>
        <w:t>rch with a score of 97.6</w:t>
      </w:r>
      <w:r>
        <w:rPr>
          <w:rFonts w:cs="Arial"/>
          <w:sz w:val="24"/>
        </w:rPr>
        <w:t>% and 98</w:t>
      </w:r>
      <w:r w:rsidR="00FC5783">
        <w:rPr>
          <w:rFonts w:cs="Arial"/>
          <w:sz w:val="24"/>
        </w:rPr>
        <w:t>.0</w:t>
      </w:r>
      <w:r>
        <w:rPr>
          <w:rFonts w:cs="Arial"/>
          <w:sz w:val="24"/>
        </w:rPr>
        <w:t xml:space="preserve">% respectively.  This was </w:t>
      </w:r>
      <w:r w:rsidR="0078675C">
        <w:rPr>
          <w:rFonts w:cs="Arial"/>
          <w:sz w:val="24"/>
        </w:rPr>
        <w:t xml:space="preserve">not </w:t>
      </w:r>
      <w:r>
        <w:rPr>
          <w:rFonts w:cs="Arial"/>
          <w:sz w:val="24"/>
        </w:rPr>
        <w:t xml:space="preserve">matched by the Breast Symptomatic </w:t>
      </w:r>
      <w:r w:rsidR="0078675C">
        <w:rPr>
          <w:rFonts w:cs="Arial"/>
          <w:sz w:val="24"/>
        </w:rPr>
        <w:t xml:space="preserve">two week wait target, which </w:t>
      </w:r>
      <w:r>
        <w:rPr>
          <w:rFonts w:cs="Arial"/>
          <w:sz w:val="24"/>
        </w:rPr>
        <w:t>a</w:t>
      </w:r>
      <w:r w:rsidR="0078675C">
        <w:rPr>
          <w:rFonts w:cs="Arial"/>
          <w:sz w:val="24"/>
        </w:rPr>
        <w:t>chieved below 93% for February and March.</w:t>
      </w:r>
      <w:r w:rsidRPr="003274E8">
        <w:rPr>
          <w:rFonts w:cs="Arial"/>
          <w:sz w:val="24"/>
        </w:rPr>
        <w:t xml:space="preserve"> </w:t>
      </w:r>
    </w:p>
    <w:p w:rsidR="009758E9" w:rsidRPr="00DE5528" w:rsidRDefault="009758E9" w:rsidP="009758E9">
      <w:pPr>
        <w:pStyle w:val="Heading4"/>
        <w:spacing w:before="240"/>
        <w:jc w:val="both"/>
        <w:rPr>
          <w:rFonts w:asciiTheme="minorHAnsi" w:hAnsiTheme="minorHAnsi" w:cs="Arial"/>
          <w:i w:val="0"/>
          <w:szCs w:val="22"/>
        </w:rPr>
      </w:pPr>
      <w:r w:rsidRPr="00DE5528">
        <w:rPr>
          <w:rFonts w:asciiTheme="minorHAnsi" w:hAnsiTheme="minorHAnsi" w:cs="Arial"/>
          <w:i w:val="0"/>
          <w:szCs w:val="22"/>
        </w:rPr>
        <w:t xml:space="preserve">3.4.3  </w:t>
      </w:r>
      <w:r w:rsidR="00FC5783">
        <w:rPr>
          <w:rFonts w:asciiTheme="minorHAnsi" w:hAnsiTheme="minorHAnsi" w:cs="Arial"/>
          <w:i w:val="0"/>
          <w:szCs w:val="22"/>
        </w:rPr>
        <w:t xml:space="preserve">31 </w:t>
      </w:r>
      <w:r w:rsidRPr="00DE5528">
        <w:rPr>
          <w:rFonts w:asciiTheme="minorHAnsi" w:hAnsiTheme="minorHAnsi" w:cs="Arial"/>
          <w:i w:val="0"/>
          <w:szCs w:val="22"/>
        </w:rPr>
        <w:t>Day Target</w:t>
      </w:r>
    </w:p>
    <w:p w:rsidR="009758E9" w:rsidRPr="003274E8" w:rsidRDefault="009758E9" w:rsidP="009758E9">
      <w:pPr>
        <w:spacing w:before="240" w:after="0"/>
        <w:jc w:val="both"/>
        <w:rPr>
          <w:rFonts w:cs="Arial"/>
          <w:sz w:val="24"/>
        </w:rPr>
      </w:pPr>
      <w:r w:rsidRPr="003274E8">
        <w:rPr>
          <w:rFonts w:cs="Arial"/>
          <w:sz w:val="24"/>
        </w:rPr>
        <w:t xml:space="preserve">The Trust achieved all three of the 31 day targets in </w:t>
      </w:r>
      <w:r w:rsidR="0078675C">
        <w:rPr>
          <w:rFonts w:cs="Arial"/>
          <w:sz w:val="24"/>
        </w:rPr>
        <w:t>February and March</w:t>
      </w:r>
      <w:r>
        <w:rPr>
          <w:rFonts w:cs="Arial"/>
          <w:sz w:val="24"/>
        </w:rPr>
        <w:t>,</w:t>
      </w:r>
      <w:r w:rsidRPr="003274E8">
        <w:rPr>
          <w:rFonts w:cs="Arial"/>
          <w:sz w:val="24"/>
        </w:rPr>
        <w:t xml:space="preserve"> demonstrating the Trust</w:t>
      </w:r>
      <w:r w:rsidR="0078675C">
        <w:rPr>
          <w:rFonts w:cs="Arial"/>
          <w:sz w:val="24"/>
        </w:rPr>
        <w:t>’</w:t>
      </w:r>
      <w:r w:rsidRPr="003274E8">
        <w:rPr>
          <w:rFonts w:cs="Arial"/>
          <w:sz w:val="24"/>
        </w:rPr>
        <w:t xml:space="preserve">s ability to effectively treat patients once diagnosed with cancer.     </w:t>
      </w:r>
    </w:p>
    <w:p w:rsidR="009758E9" w:rsidRPr="00DE5528" w:rsidRDefault="009758E9" w:rsidP="009758E9">
      <w:pPr>
        <w:pStyle w:val="NormalWeb"/>
        <w:spacing w:before="240" w:beforeAutospacing="0" w:after="0" w:afterAutospacing="0"/>
        <w:jc w:val="both"/>
        <w:rPr>
          <w:rFonts w:asciiTheme="minorHAnsi" w:hAnsiTheme="minorHAnsi" w:cs="Arial"/>
          <w:b/>
          <w:i/>
          <w:szCs w:val="22"/>
        </w:rPr>
      </w:pPr>
      <w:r w:rsidRPr="00DE5528">
        <w:rPr>
          <w:rStyle w:val="Heading4Char"/>
          <w:rFonts w:asciiTheme="minorHAnsi" w:hAnsiTheme="minorHAnsi" w:cs="Arial"/>
          <w:i w:val="0"/>
          <w:szCs w:val="22"/>
        </w:rPr>
        <w:t xml:space="preserve">3.4.4  </w:t>
      </w:r>
      <w:r w:rsidR="00FC5783">
        <w:rPr>
          <w:rStyle w:val="Heading4Char"/>
          <w:rFonts w:asciiTheme="minorHAnsi" w:hAnsiTheme="minorHAnsi" w:cs="Arial"/>
          <w:i w:val="0"/>
          <w:szCs w:val="22"/>
        </w:rPr>
        <w:t xml:space="preserve">62 </w:t>
      </w:r>
      <w:r w:rsidRPr="00DE5528">
        <w:rPr>
          <w:rStyle w:val="Heading4Char"/>
          <w:rFonts w:asciiTheme="minorHAnsi" w:hAnsiTheme="minorHAnsi" w:cs="Arial"/>
          <w:i w:val="0"/>
          <w:szCs w:val="22"/>
        </w:rPr>
        <w:t>Day Target</w:t>
      </w:r>
      <w:r w:rsidRPr="00DE5528">
        <w:rPr>
          <w:rFonts w:asciiTheme="minorHAnsi" w:hAnsiTheme="minorHAnsi" w:cs="Arial"/>
          <w:b/>
          <w:i/>
          <w:szCs w:val="22"/>
        </w:rPr>
        <w:t xml:space="preserve"> </w:t>
      </w:r>
    </w:p>
    <w:p w:rsidR="009758E9" w:rsidRDefault="009758E9" w:rsidP="009758E9">
      <w:pPr>
        <w:spacing w:before="240" w:after="0"/>
        <w:jc w:val="both"/>
        <w:rPr>
          <w:rFonts w:cs="Arial"/>
          <w:sz w:val="24"/>
        </w:rPr>
      </w:pPr>
      <w:r w:rsidRPr="007332DC">
        <w:rPr>
          <w:rFonts w:cs="Arial"/>
          <w:sz w:val="24"/>
        </w:rPr>
        <w:t xml:space="preserve">The Trust </w:t>
      </w:r>
      <w:r>
        <w:rPr>
          <w:rFonts w:cs="Arial"/>
          <w:sz w:val="24"/>
        </w:rPr>
        <w:t>achieved</w:t>
      </w:r>
      <w:r w:rsidRPr="007332DC">
        <w:rPr>
          <w:rFonts w:cs="Arial"/>
          <w:sz w:val="24"/>
        </w:rPr>
        <w:t xml:space="preserve"> the 62 days standard</w:t>
      </w:r>
      <w:r w:rsidR="00FC5783">
        <w:rPr>
          <w:rFonts w:cs="Arial"/>
          <w:sz w:val="24"/>
        </w:rPr>
        <w:t xml:space="preserve"> for February but not March</w:t>
      </w:r>
      <w:r w:rsidRPr="007332DC">
        <w:rPr>
          <w:rFonts w:cs="Arial"/>
          <w:sz w:val="24"/>
        </w:rPr>
        <w:t xml:space="preserve">.  </w:t>
      </w:r>
      <w:r>
        <w:rPr>
          <w:rFonts w:cs="Arial"/>
          <w:sz w:val="24"/>
        </w:rPr>
        <w:t xml:space="preserve">The </w:t>
      </w:r>
      <w:r w:rsidR="00FC5783">
        <w:rPr>
          <w:rFonts w:cs="Arial"/>
          <w:sz w:val="24"/>
        </w:rPr>
        <w:t>Trust sees very small numbers within this standard, and one patient can show the Trust as below 85% each month.</w:t>
      </w:r>
    </w:p>
    <w:p w:rsidR="009758E9" w:rsidRPr="005F0F7F" w:rsidRDefault="009758E9" w:rsidP="009758E9">
      <w:pPr>
        <w:spacing w:before="240" w:after="0"/>
        <w:jc w:val="both"/>
        <w:rPr>
          <w:rFonts w:cs="Arial"/>
          <w:sz w:val="24"/>
        </w:rPr>
      </w:pPr>
      <w:r w:rsidRPr="007332DC">
        <w:rPr>
          <w:b/>
          <w:sz w:val="24"/>
        </w:rPr>
        <w:t>Trust Action:</w:t>
      </w:r>
    </w:p>
    <w:p w:rsidR="009758E9" w:rsidRPr="007332DC" w:rsidRDefault="009758E9" w:rsidP="009758E9">
      <w:pPr>
        <w:spacing w:before="240" w:after="0"/>
        <w:jc w:val="both"/>
        <w:rPr>
          <w:rFonts w:cs="Arial"/>
          <w:sz w:val="24"/>
        </w:rPr>
      </w:pPr>
      <w:bookmarkStart w:id="25" w:name="_Toc381084878"/>
      <w:r w:rsidRPr="007332DC">
        <w:rPr>
          <w:rFonts w:cs="Arial"/>
          <w:sz w:val="24"/>
        </w:rPr>
        <w:t>Daily monitoring of performance by the MDT Coordinator and cancer team leader.</w:t>
      </w:r>
    </w:p>
    <w:p w:rsidR="009758E9" w:rsidRDefault="009758E9" w:rsidP="009758E9">
      <w:pPr>
        <w:spacing w:before="240" w:after="0"/>
        <w:jc w:val="both"/>
        <w:rPr>
          <w:rFonts w:cs="Arial"/>
          <w:sz w:val="24"/>
        </w:rPr>
      </w:pPr>
      <w:r w:rsidRPr="007332DC">
        <w:rPr>
          <w:rFonts w:cs="Arial"/>
          <w:sz w:val="24"/>
        </w:rPr>
        <w:t>Weekly monitoring at the Waiting List Forward Planning meeting.</w:t>
      </w:r>
      <w:r w:rsidRPr="00CD7EE3">
        <w:rPr>
          <w:rFonts w:cs="Arial"/>
          <w:sz w:val="24"/>
        </w:rPr>
        <w:t xml:space="preserve">  </w:t>
      </w:r>
    </w:p>
    <w:p w:rsidR="009758E9" w:rsidRDefault="009758E9" w:rsidP="009758E9">
      <w:pPr>
        <w:spacing w:before="240" w:after="0"/>
        <w:jc w:val="both"/>
        <w:rPr>
          <w:rFonts w:cs="Arial"/>
          <w:sz w:val="24"/>
        </w:rPr>
      </w:pPr>
      <w:r>
        <w:rPr>
          <w:rFonts w:cs="Arial"/>
          <w:sz w:val="24"/>
        </w:rPr>
        <w:t>Close liaison with tertiary centres to streamline patient pathways to ensure timely referral and treatment.</w:t>
      </w:r>
    </w:p>
    <w:p w:rsidR="009758E9" w:rsidRDefault="009758E9" w:rsidP="009758E9">
      <w:pPr>
        <w:spacing w:before="240" w:after="0"/>
        <w:jc w:val="both"/>
        <w:rPr>
          <w:rFonts w:cs="Arial"/>
          <w:sz w:val="24"/>
        </w:rPr>
      </w:pPr>
      <w:r>
        <w:rPr>
          <w:rFonts w:cs="Arial"/>
          <w:sz w:val="24"/>
        </w:rPr>
        <w:t>Work with primary care to develop information to be provided to patients to improve the availability of patients for appointment.</w:t>
      </w:r>
    </w:p>
    <w:p w:rsidR="008D2C29" w:rsidRPr="00CD7EE3" w:rsidRDefault="008D2C29" w:rsidP="009758E9">
      <w:pPr>
        <w:spacing w:before="240" w:after="0"/>
        <w:jc w:val="both"/>
        <w:rPr>
          <w:rFonts w:asciiTheme="majorHAnsi" w:eastAsiaTheme="majorEastAsia" w:hAnsiTheme="majorHAnsi" w:cstheme="majorBidi"/>
          <w:b/>
          <w:bCs/>
          <w:color w:val="2DA2BF" w:themeColor="accent1"/>
          <w:sz w:val="24"/>
        </w:rPr>
      </w:pPr>
      <w:r>
        <w:rPr>
          <w:rFonts w:cs="Arial"/>
          <w:sz w:val="24"/>
        </w:rPr>
        <w:t>Active participation in the BNSSG Cancer Strategy Group to help gain better awareness of likely peaks in demand to assist with capacity planning, this group is also leading on pathway work between Trusts.</w:t>
      </w:r>
    </w:p>
    <w:p w:rsidR="009758E9" w:rsidRPr="00CD7EE3" w:rsidRDefault="009758E9" w:rsidP="009758E9">
      <w:pPr>
        <w:pStyle w:val="Heading2"/>
        <w:rPr>
          <w:sz w:val="24"/>
          <w:szCs w:val="22"/>
        </w:rPr>
      </w:pPr>
      <w:r>
        <w:rPr>
          <w:sz w:val="24"/>
          <w:szCs w:val="22"/>
        </w:rPr>
        <w:t>3.4.5</w:t>
      </w:r>
      <w:r w:rsidRPr="00CD7EE3">
        <w:rPr>
          <w:sz w:val="24"/>
          <w:szCs w:val="22"/>
        </w:rPr>
        <w:t xml:space="preserve"> Stroke</w:t>
      </w:r>
      <w:bookmarkEnd w:id="25"/>
    </w:p>
    <w:p w:rsidR="009758E9" w:rsidRDefault="009758E9" w:rsidP="009758E9">
      <w:pPr>
        <w:pStyle w:val="NoSpacing"/>
        <w:jc w:val="both"/>
        <w:rPr>
          <w:rFonts w:cs="Arial"/>
        </w:rPr>
      </w:pPr>
      <w:r>
        <w:rPr>
          <w:rFonts w:cs="Arial"/>
        </w:rPr>
        <w:t xml:space="preserve">The Trust achieved </w:t>
      </w:r>
      <w:r w:rsidRPr="002641D2">
        <w:rPr>
          <w:rFonts w:cs="Arial"/>
        </w:rPr>
        <w:t>the stroke target of patients diagnosed with a stroke spending 90% of their time on the</w:t>
      </w:r>
      <w:r>
        <w:rPr>
          <w:rFonts w:cs="Arial"/>
        </w:rPr>
        <w:t xml:space="preserve"> Str</w:t>
      </w:r>
      <w:r w:rsidR="00700B0F">
        <w:rPr>
          <w:rFonts w:cs="Arial"/>
        </w:rPr>
        <w:t>oke Unit in February but missed this target in March</w:t>
      </w:r>
      <w:r>
        <w:rPr>
          <w:rFonts w:cs="Arial"/>
        </w:rPr>
        <w:t xml:space="preserve"> (</w:t>
      </w:r>
      <w:r w:rsidR="006F5C49">
        <w:rPr>
          <w:rFonts w:cs="Arial"/>
          <w:i/>
        </w:rPr>
        <w:t>Figure 16</w:t>
      </w:r>
      <w:r>
        <w:rPr>
          <w:rFonts w:cs="Arial"/>
          <w:i/>
        </w:rPr>
        <w:t>)</w:t>
      </w:r>
      <w:r>
        <w:rPr>
          <w:rFonts w:cs="Arial"/>
        </w:rPr>
        <w:t>.</w:t>
      </w:r>
      <w:r w:rsidRPr="002641D2">
        <w:rPr>
          <w:rFonts w:cs="Arial"/>
        </w:rPr>
        <w:t xml:space="preserve"> </w:t>
      </w:r>
    </w:p>
    <w:p w:rsidR="00700B0F" w:rsidRDefault="00700B0F" w:rsidP="009758E9">
      <w:pPr>
        <w:pStyle w:val="NoSpacing"/>
        <w:jc w:val="both"/>
        <w:rPr>
          <w:rFonts w:cs="Arial"/>
        </w:rPr>
      </w:pPr>
      <w:r>
        <w:rPr>
          <w:rFonts w:cs="Arial"/>
        </w:rPr>
        <w:t>The Stroke Unit was closed to new admissions during March following an outbreak of Norovirus.  The Stroke specialist nurse and team supported stroke patients in other designated areas of the hospital.</w:t>
      </w:r>
      <w:r w:rsidR="00291C9B">
        <w:rPr>
          <w:rFonts w:cs="Arial"/>
        </w:rPr>
        <w:t xml:space="preserve">  The unit has since been deep cleaned </w:t>
      </w:r>
      <w:r w:rsidR="00A604B2">
        <w:rPr>
          <w:rFonts w:cs="Arial"/>
        </w:rPr>
        <w:t xml:space="preserve">and </w:t>
      </w:r>
      <w:r w:rsidR="00291C9B">
        <w:rPr>
          <w:rFonts w:cs="Arial"/>
        </w:rPr>
        <w:t>is fully operational again.</w:t>
      </w:r>
    </w:p>
    <w:p w:rsidR="004F7B8E" w:rsidRPr="00291C9B" w:rsidRDefault="009758E9" w:rsidP="009758E9">
      <w:pPr>
        <w:pStyle w:val="NoSpacing"/>
        <w:jc w:val="both"/>
        <w:rPr>
          <w:rFonts w:cs="Arial"/>
        </w:rPr>
      </w:pPr>
      <w:r>
        <w:rPr>
          <w:rFonts w:cs="Arial"/>
        </w:rPr>
        <w:t>The Trust continues to focus on patient flow and bedding patients in the most appropriate place</w:t>
      </w:r>
      <w:r w:rsidR="00291C9B">
        <w:rPr>
          <w:rFonts w:cs="Arial"/>
        </w:rPr>
        <w:t>.</w:t>
      </w:r>
    </w:p>
    <w:p w:rsidR="004F7B8E" w:rsidRDefault="004F7B8E" w:rsidP="009758E9">
      <w:pPr>
        <w:pStyle w:val="NoSpacing"/>
        <w:jc w:val="both"/>
        <w:rPr>
          <w:rFonts w:cs="Arial"/>
          <w:b/>
          <w:sz w:val="22"/>
          <w:szCs w:val="22"/>
        </w:rPr>
      </w:pPr>
    </w:p>
    <w:p w:rsidR="009758E9" w:rsidRPr="00C773F5" w:rsidRDefault="009758E9" w:rsidP="009758E9">
      <w:pPr>
        <w:pStyle w:val="NoSpacing"/>
        <w:jc w:val="both"/>
        <w:rPr>
          <w:rFonts w:cs="Arial"/>
          <w:b/>
          <w:sz w:val="22"/>
          <w:szCs w:val="22"/>
        </w:rPr>
      </w:pPr>
      <w:r w:rsidRPr="00C773F5">
        <w:rPr>
          <w:rFonts w:cs="Arial"/>
          <w:b/>
          <w:sz w:val="22"/>
          <w:szCs w:val="22"/>
        </w:rPr>
        <w:t xml:space="preserve">Figure </w:t>
      </w:r>
      <w:r w:rsidR="006F5C49">
        <w:rPr>
          <w:rFonts w:cs="Arial"/>
          <w:b/>
          <w:sz w:val="22"/>
          <w:szCs w:val="22"/>
        </w:rPr>
        <w:t>16</w:t>
      </w:r>
      <w:r w:rsidRPr="00C773F5">
        <w:rPr>
          <w:rFonts w:cs="Arial"/>
          <w:b/>
          <w:sz w:val="22"/>
          <w:szCs w:val="22"/>
        </w:rPr>
        <w:t>:</w:t>
      </w:r>
    </w:p>
    <w:p w:rsidR="009758E9" w:rsidRDefault="009758E9" w:rsidP="009758E9">
      <w:pPr>
        <w:pStyle w:val="NoSpacing"/>
        <w:jc w:val="both"/>
        <w:rPr>
          <w:rFonts w:cs="Arial"/>
          <w:sz w:val="20"/>
        </w:rPr>
      </w:pPr>
    </w:p>
    <w:p w:rsidR="009758E9" w:rsidRDefault="00291C9B" w:rsidP="009758E9">
      <w:pPr>
        <w:jc w:val="center"/>
      </w:pPr>
      <w:r w:rsidRPr="00291C9B">
        <w:rPr>
          <w:noProof/>
        </w:rPr>
        <w:drawing>
          <wp:inline distT="0" distB="0" distL="0" distR="0">
            <wp:extent cx="6645910" cy="3538408"/>
            <wp:effectExtent l="19050" t="0" r="2540"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6645910" cy="3538408"/>
                    </a:xfrm>
                    <a:prstGeom prst="rect">
                      <a:avLst/>
                    </a:prstGeom>
                    <a:noFill/>
                    <a:ln w="9525">
                      <a:noFill/>
                      <a:miter lim="800000"/>
                      <a:headEnd/>
                      <a:tailEnd/>
                    </a:ln>
                  </pic:spPr>
                </pic:pic>
              </a:graphicData>
            </a:graphic>
          </wp:inline>
        </w:drawing>
      </w:r>
    </w:p>
    <w:p w:rsidR="008D2C29" w:rsidRDefault="008D2C29" w:rsidP="009758E9">
      <w:pPr>
        <w:spacing w:before="240"/>
        <w:jc w:val="both"/>
        <w:rPr>
          <w:b/>
          <w:sz w:val="24"/>
        </w:rPr>
      </w:pPr>
    </w:p>
    <w:p w:rsidR="009758E9" w:rsidRPr="00CD7EE3" w:rsidRDefault="009758E9" w:rsidP="009758E9">
      <w:pPr>
        <w:spacing w:before="240"/>
        <w:jc w:val="both"/>
        <w:rPr>
          <w:b/>
          <w:sz w:val="24"/>
        </w:rPr>
      </w:pPr>
      <w:r w:rsidRPr="00CD7EE3">
        <w:rPr>
          <w:b/>
          <w:sz w:val="24"/>
        </w:rPr>
        <w:t>Trust Action:</w:t>
      </w:r>
    </w:p>
    <w:p w:rsidR="006E4A99" w:rsidRDefault="009758E9" w:rsidP="009758E9">
      <w:pPr>
        <w:rPr>
          <w:sz w:val="24"/>
        </w:rPr>
      </w:pPr>
      <w:r>
        <w:rPr>
          <w:sz w:val="24"/>
        </w:rPr>
        <w:t>The patient flow team have been instructed to create and kee</w:t>
      </w:r>
      <w:r w:rsidR="00A604B2">
        <w:rPr>
          <w:sz w:val="24"/>
        </w:rPr>
        <w:t>p a stroke hot bed for both sexes</w:t>
      </w:r>
      <w:r>
        <w:rPr>
          <w:sz w:val="24"/>
        </w:rPr>
        <w:t xml:space="preserve"> available at all times.  This will ensure that patients diagnosed with a Stroke or TIA in the Emergency Department can be transferred straight to the unit to start their care and treatment. </w:t>
      </w:r>
    </w:p>
    <w:p w:rsidR="009758E9" w:rsidRDefault="009758E9" w:rsidP="009758E9">
      <w:pPr>
        <w:rPr>
          <w:sz w:val="24"/>
        </w:rPr>
      </w:pPr>
      <w:r>
        <w:rPr>
          <w:sz w:val="24"/>
        </w:rPr>
        <w:t xml:space="preserve">Use of the hot bed during times of escalation and/or outbreak must be with </w:t>
      </w:r>
      <w:r w:rsidR="006E4A99">
        <w:rPr>
          <w:sz w:val="24"/>
        </w:rPr>
        <w:t>E</w:t>
      </w:r>
      <w:r>
        <w:rPr>
          <w:sz w:val="24"/>
        </w:rPr>
        <w:t>xecutive approval only.</w:t>
      </w:r>
    </w:p>
    <w:p w:rsidR="00A604B2" w:rsidRDefault="00A604B2" w:rsidP="009758E9">
      <w:pPr>
        <w:rPr>
          <w:sz w:val="24"/>
        </w:rPr>
      </w:pPr>
      <w:r>
        <w:rPr>
          <w:sz w:val="24"/>
        </w:rPr>
        <w:t>In instances of outbreak on the Stroke Unit, beds on the High Care Unit are allocated</w:t>
      </w:r>
      <w:r w:rsidR="008D2C29">
        <w:rPr>
          <w:sz w:val="24"/>
        </w:rPr>
        <w:t xml:space="preserve"> with medical teams providing specialist care and support to diagnosed stroke patients</w:t>
      </w:r>
      <w:r>
        <w:rPr>
          <w:sz w:val="24"/>
        </w:rPr>
        <w:t>.</w:t>
      </w:r>
    </w:p>
    <w:p w:rsidR="009758E9" w:rsidRPr="00ED4EFE" w:rsidRDefault="00A604B2" w:rsidP="009758E9">
      <w:pPr>
        <w:rPr>
          <w:sz w:val="24"/>
        </w:rPr>
        <w:sectPr w:rsidR="009758E9" w:rsidRPr="00ED4EFE" w:rsidSect="00265B12">
          <w:headerReference w:type="default" r:id="rId46"/>
          <w:footerReference w:type="default" r:id="rId47"/>
          <w:footerReference w:type="first" r:id="rId48"/>
          <w:pgSz w:w="11906" w:h="16838"/>
          <w:pgMar w:top="720" w:right="720" w:bottom="720" w:left="720" w:header="708" w:footer="708" w:gutter="0"/>
          <w:cols w:space="708"/>
          <w:docGrid w:linePitch="360"/>
        </w:sectPr>
      </w:pPr>
      <w:r>
        <w:rPr>
          <w:sz w:val="24"/>
        </w:rPr>
        <w:t>Throughout February</w:t>
      </w:r>
      <w:r w:rsidR="008D2C29">
        <w:rPr>
          <w:sz w:val="24"/>
        </w:rPr>
        <w:t xml:space="preserve"> </w:t>
      </w:r>
      <w:r w:rsidR="009758E9">
        <w:rPr>
          <w:sz w:val="24"/>
        </w:rPr>
        <w:t>there</w:t>
      </w:r>
      <w:r>
        <w:rPr>
          <w:sz w:val="24"/>
        </w:rPr>
        <w:t xml:space="preserve"> was an elevated</w:t>
      </w:r>
      <w:r w:rsidR="009758E9">
        <w:rPr>
          <w:sz w:val="24"/>
        </w:rPr>
        <w:t xml:space="preserve"> number of Stroke patients admitted.  In order to best care for these patients, six additional beds were opened on the Stroke Unit.  </w:t>
      </w:r>
    </w:p>
    <w:p w:rsidR="0016714D" w:rsidRDefault="00003531" w:rsidP="0016714D">
      <w:pPr>
        <w:pStyle w:val="Heading2"/>
      </w:pPr>
      <w:bookmarkStart w:id="26" w:name="_Toc381084879"/>
      <w:r w:rsidRPr="00376585">
        <w:t>3.5 Emergency Acce</w:t>
      </w:r>
      <w:bookmarkEnd w:id="26"/>
      <w:r w:rsidR="0016714D">
        <w:t>ss</w:t>
      </w:r>
    </w:p>
    <w:p w:rsidR="0016714D" w:rsidRDefault="0016714D" w:rsidP="0016714D"/>
    <w:p w:rsidR="0016714D" w:rsidRDefault="00152CF9" w:rsidP="0016714D">
      <w:r w:rsidRPr="00152CF9">
        <w:rPr>
          <w:noProof/>
        </w:rPr>
        <w:drawing>
          <wp:inline distT="0" distB="0" distL="0" distR="0">
            <wp:extent cx="9848850" cy="5534025"/>
            <wp:effectExtent l="0" t="0" r="0" b="0"/>
            <wp:docPr id="57"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02725" cy="6651625"/>
                      <a:chOff x="19050" y="0"/>
                      <a:chExt cx="9102725" cy="6651625"/>
                    </a:xfrm>
                  </a:grpSpPr>
                  <a:grpSp>
                    <a:nvGrpSpPr>
                      <a:cNvPr id="83" name="Group 82"/>
                      <a:cNvGrpSpPr/>
                    </a:nvGrpSpPr>
                    <a:grpSpPr>
                      <a:xfrm>
                        <a:off x="19050" y="0"/>
                        <a:ext cx="9102725" cy="6651625"/>
                        <a:chOff x="19050" y="0"/>
                        <a:chExt cx="9102725" cy="6651625"/>
                      </a:xfrm>
                    </a:grpSpPr>
                    <a:grpSp>
                      <a:nvGrpSpPr>
                        <a:cNvPr id="3" name="Group 69"/>
                        <a:cNvGrpSpPr/>
                      </a:nvGrpSpPr>
                      <a:grpSpPr>
                        <a:xfrm>
                          <a:off x="19050" y="0"/>
                          <a:ext cx="9102725" cy="6651625"/>
                          <a:chOff x="19050" y="0"/>
                          <a:chExt cx="9102725" cy="6651625"/>
                        </a:xfrm>
                      </a:grpSpPr>
                      <a:grpSp>
                        <a:nvGrpSpPr>
                          <a:cNvPr id="5" name="Group 64"/>
                          <a:cNvGrpSpPr/>
                        </a:nvGrpSpPr>
                        <a:grpSpPr>
                          <a:xfrm>
                            <a:off x="19050" y="0"/>
                            <a:ext cx="9102725" cy="6651625"/>
                            <a:chOff x="19050" y="63500"/>
                            <a:chExt cx="9102725" cy="6651625"/>
                          </a:xfrm>
                        </a:grpSpPr>
                        <a:pic>
                          <a:nvPicPr>
                            <a:cNvPr id="13313" name="Picture 2" descr="Weston Area Health NHS Trust logo - link to home page"/>
                            <a:cNvPicPr>
                              <a:picLocks noChangeAspect="1" noChangeArrowheads="1"/>
                            </a:cNvPicPr>
                          </a:nvPicPr>
                          <a:blipFill>
                            <a:blip r:embed="rId49" cstate="print"/>
                            <a:srcRect/>
                            <a:stretch>
                              <a:fillRect/>
                            </a:stretch>
                          </a:blipFill>
                          <a:spPr bwMode="auto">
                            <a:xfrm>
                              <a:off x="6483350" y="34925"/>
                              <a:ext cx="2638425" cy="447675"/>
                            </a:xfrm>
                            <a:prstGeom prst="rect">
                              <a:avLst/>
                            </a:prstGeom>
                            <a:noFill/>
                            <a:ln w="9525">
                              <a:noFill/>
                              <a:miter lim="800000"/>
                              <a:headEnd/>
                              <a:tailEnd/>
                            </a:ln>
                          </a:spPr>
                        </a:pic>
                        <a:sp>
                          <a:nvSpPr>
                            <a:cNvPr id="13315" name="TextBox 9"/>
                            <a:cNvSpPr txBox="1">
                              <a:spLocks noChangeArrowheads="1"/>
                            </a:cNvSpPr>
                          </a:nvSpPr>
                          <a:spPr bwMode="auto">
                            <a:xfrm>
                              <a:off x="19050" y="1498600"/>
                              <a:ext cx="1071563"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a:latin typeface="Calibri" pitchFamily="34" charset="0"/>
                                  </a:rPr>
                                  <a:t>Patient arrives via ambulance</a:t>
                                </a:r>
                              </a:p>
                            </a:txBody>
                            <a:useSpRect/>
                          </a:txSp>
                        </a:sp>
                        <a:sp>
                          <a:nvSpPr>
                            <a:cNvPr id="13319" name="TextBox 19"/>
                            <a:cNvSpPr txBox="1">
                              <a:spLocks noChangeArrowheads="1"/>
                            </a:cNvSpPr>
                          </a:nvSpPr>
                          <a:spPr bwMode="auto">
                            <a:xfrm>
                              <a:off x="107504" y="2556396"/>
                              <a:ext cx="1071563" cy="55399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dirty="0">
                                    <a:latin typeface="Calibri" pitchFamily="34" charset="0"/>
                                  </a:rPr>
                                  <a:t>Patient arrives at </a:t>
                                </a:r>
                                <a:r>
                                  <a:rPr lang="en-GB" sz="1000" b="1" dirty="0" smtClean="0">
                                    <a:latin typeface="Calibri" pitchFamily="34" charset="0"/>
                                  </a:rPr>
                                  <a:t>Emergency Department</a:t>
                                </a:r>
                                <a:endParaRPr lang="en-GB" sz="1000" b="1" dirty="0">
                                  <a:latin typeface="Calibri" pitchFamily="34" charset="0"/>
                                </a:endParaRPr>
                              </a:p>
                            </a:txBody>
                            <a:useSpRect/>
                          </a:txSp>
                        </a:sp>
                        <a:grpSp>
                          <a:nvGrpSpPr>
                            <a:cNvPr id="10" name="Group 61"/>
                            <a:cNvGrpSpPr/>
                          </a:nvGrpSpPr>
                          <a:grpSpPr>
                            <a:xfrm>
                              <a:off x="142875" y="63500"/>
                              <a:ext cx="8551266" cy="6651625"/>
                              <a:chOff x="142875" y="63500"/>
                              <a:chExt cx="8551266" cy="6651625"/>
                            </a:xfrm>
                          </a:grpSpPr>
                          <a:sp>
                            <a:nvSpPr>
                              <a:cNvPr id="13314" name="TextBox 4"/>
                              <a:cNvSpPr txBox="1">
                                <a:spLocks noChangeArrowheads="1"/>
                              </a:cNvSpPr>
                            </a:nvSpPr>
                            <a:spPr bwMode="auto">
                              <a:xfrm>
                                <a:off x="142875" y="63500"/>
                                <a:ext cx="6215063"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GB" sz="2000" b="1" dirty="0" smtClean="0">
                                      <a:latin typeface="Calibri" pitchFamily="34" charset="0"/>
                                    </a:rPr>
                                    <a:t>ED </a:t>
                                  </a:r>
                                  <a:r>
                                    <a:rPr lang="en-GB" sz="2000" b="1" dirty="0">
                                      <a:latin typeface="Calibri" pitchFamily="34" charset="0"/>
                                    </a:rPr>
                                    <a:t>clinical quality indicators </a:t>
                                  </a:r>
                                  <a:r>
                                    <a:rPr lang="en-GB" sz="2000" b="1" dirty="0" smtClean="0">
                                      <a:latin typeface="Calibri" pitchFamily="34" charset="0"/>
                                    </a:rPr>
                                    <a:t>– February 2015</a:t>
                                  </a:r>
                                  <a:endParaRPr lang="en-GB" sz="2000" b="1" dirty="0">
                                    <a:latin typeface="Calibri" pitchFamily="34" charset="0"/>
                                  </a:endParaRPr>
                                </a:p>
                              </a:txBody>
                              <a:useSpRect/>
                            </a:txSp>
                          </a:sp>
                          <a:sp>
                            <a:nvSpPr>
                              <a:cNvPr id="13316" name="TextBox 10"/>
                              <a:cNvSpPr txBox="1">
                                <a:spLocks noChangeArrowheads="1"/>
                              </a:cNvSpPr>
                            </a:nvSpPr>
                            <a:spPr bwMode="auto">
                              <a:xfrm>
                                <a:off x="1475656" y="908720"/>
                                <a:ext cx="1285875"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a:latin typeface="Calibri" pitchFamily="34" charset="0"/>
                                    </a:rPr>
                                    <a:t>Time to initial assessment</a:t>
                                  </a:r>
                                </a:p>
                              </a:txBody>
                              <a:useSpRect/>
                            </a:txSp>
                          </a:sp>
                          <a:sp>
                            <a:nvSpPr>
                              <a:cNvPr id="12" name="Rounded Rectangle 11"/>
                              <a:cNvSpPr/>
                            </a:nvSpPr>
                            <a:spPr>
                              <a:xfrm>
                                <a:off x="1475656" y="1340768"/>
                                <a:ext cx="1296144" cy="999604"/>
                              </a:xfrm>
                              <a:prstGeom prst="round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smtClean="0">
                                      <a:solidFill>
                                        <a:srgbClr val="002060"/>
                                      </a:solidFill>
                                    </a:rPr>
                                    <a:t>99.91% of Ambulance arrivals were assessed within 60 minutes against a target of </a:t>
                                  </a:r>
                                </a:p>
                                <a:p>
                                  <a:pPr algn="ctr" fontAlgn="auto">
                                    <a:spcBef>
                                      <a:spcPts val="0"/>
                                    </a:spcBef>
                                    <a:spcAft>
                                      <a:spcPts val="0"/>
                                    </a:spcAft>
                                    <a:defRPr/>
                                  </a:pPr>
                                  <a:r>
                                    <a:rPr lang="en-GB" sz="800" dirty="0" smtClean="0">
                                      <a:solidFill>
                                        <a:srgbClr val="002060"/>
                                      </a:solidFill>
                                    </a:rPr>
                                    <a:t> 95%</a:t>
                                  </a:r>
                                  <a:endParaRPr lang="en-GB" sz="8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Chevron 18"/>
                              <a:cNvSpPr/>
                            </a:nvSpPr>
                            <a:spPr>
                              <a:xfrm>
                                <a:off x="2928938" y="2571750"/>
                                <a:ext cx="255587"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320" name="TextBox 20"/>
                              <a:cNvSpPr txBox="1">
                                <a:spLocks noChangeArrowheads="1"/>
                              </a:cNvSpPr>
                            </a:nvSpPr>
                            <a:spPr bwMode="auto">
                              <a:xfrm>
                                <a:off x="3286125" y="857250"/>
                                <a:ext cx="1285875" cy="2460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a:latin typeface="Calibri" pitchFamily="34" charset="0"/>
                                    </a:rPr>
                                    <a:t>Time to treatment</a:t>
                                  </a:r>
                                </a:p>
                              </a:txBody>
                              <a:useSpRect/>
                            </a:txSp>
                          </a:sp>
                          <a:sp>
                            <a:nvSpPr>
                              <a:cNvPr id="23" name="Rounded Rectangle 22"/>
                              <a:cNvSpPr/>
                            </a:nvSpPr>
                            <a:spPr>
                              <a:xfrm>
                                <a:off x="3286125" y="1143000"/>
                                <a:ext cx="1285875" cy="2502024"/>
                              </a:xfrm>
                              <a:prstGeom prst="round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a:solidFill>
                                        <a:srgbClr val="002060"/>
                                      </a:solidFill>
                                    </a:rPr>
                                    <a:t>On average, patients </a:t>
                                  </a:r>
                                  <a:r>
                                    <a:rPr lang="en-GB" sz="800" dirty="0" smtClean="0">
                                      <a:solidFill>
                                        <a:srgbClr val="002060"/>
                                      </a:solidFill>
                                    </a:rPr>
                                    <a:t>stayed 51 minutes </a:t>
                                  </a:r>
                                  <a:r>
                                    <a:rPr lang="en-GB" sz="800" dirty="0">
                                      <a:solidFill>
                                        <a:srgbClr val="002060"/>
                                      </a:solidFill>
                                    </a:rPr>
                                    <a:t>from arrival to </a:t>
                                  </a:r>
                                  <a:r>
                                    <a:rPr lang="en-GB" sz="800" dirty="0" smtClean="0">
                                      <a:solidFill>
                                        <a:srgbClr val="002060"/>
                                      </a:solidFill>
                                    </a:rPr>
                                    <a:t>treatment against a target of 60 minutes</a:t>
                                  </a:r>
                                  <a:endParaRPr lang="en-GB" sz="800" dirty="0">
                                    <a:solidFill>
                                      <a:srgbClr val="002060"/>
                                    </a:solidFill>
                                  </a:endParaRPr>
                                </a:p>
                                <a:p>
                                  <a:pPr algn="ctr" fontAlgn="auto">
                                    <a:spcBef>
                                      <a:spcPts val="0"/>
                                    </a:spcBef>
                                    <a:spcAft>
                                      <a:spcPts val="0"/>
                                    </a:spcAft>
                                    <a:defRPr/>
                                  </a:pPr>
                                  <a:endParaRPr lang="en-GB" sz="8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322" name="TextBox 25"/>
                              <a:cNvSpPr txBox="1">
                                <a:spLocks noChangeArrowheads="1"/>
                              </a:cNvSpPr>
                            </a:nvSpPr>
                            <a:spPr bwMode="auto">
                              <a:xfrm>
                                <a:off x="5220072" y="692696"/>
                                <a:ext cx="3060700" cy="2460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dirty="0">
                                      <a:latin typeface="Calibri" pitchFamily="34" charset="0"/>
                                    </a:rPr>
                                    <a:t>Total time in A&amp;E</a:t>
                                  </a:r>
                                </a:p>
                              </a:txBody>
                              <a:useSpRect/>
                            </a:txSp>
                          </a:sp>
                          <a:sp>
                            <a:nvSpPr>
                              <a:cNvPr id="27" name="Rounded Rectangle 26"/>
                              <a:cNvSpPr/>
                            </a:nvSpPr>
                            <a:spPr>
                              <a:xfrm>
                                <a:off x="4929188" y="1052736"/>
                                <a:ext cx="3703637" cy="927596"/>
                              </a:xfrm>
                              <a:prstGeom prst="round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a:solidFill>
                                        <a:srgbClr val="002060"/>
                                      </a:solidFill>
                                    </a:rPr>
                                    <a:t>On average, patients </a:t>
                                  </a:r>
                                  <a:r>
                                    <a:rPr lang="en-GB" sz="800" dirty="0" smtClean="0">
                                      <a:solidFill>
                                        <a:srgbClr val="002060"/>
                                      </a:solidFill>
                                    </a:rPr>
                                    <a:t>stayed </a:t>
                                  </a:r>
                                  <a:r>
                                    <a:rPr lang="en-GB" sz="800" dirty="0">
                                      <a:solidFill>
                                        <a:srgbClr val="002060"/>
                                      </a:solidFill>
                                    </a:rPr>
                                    <a:t>2</a:t>
                                  </a:r>
                                  <a:r>
                                    <a:rPr lang="en-GB" sz="800" dirty="0" smtClean="0">
                                      <a:solidFill>
                                        <a:srgbClr val="002060"/>
                                      </a:solidFill>
                                    </a:rPr>
                                    <a:t> hours </a:t>
                                  </a:r>
                                  <a:r>
                                    <a:rPr lang="en-GB" sz="800" dirty="0">
                                      <a:solidFill>
                                        <a:srgbClr val="002060"/>
                                      </a:solidFill>
                                    </a:rPr>
                                    <a:t>and </a:t>
                                  </a:r>
                                  <a:r>
                                    <a:rPr lang="en-GB" sz="800" dirty="0" smtClean="0">
                                      <a:solidFill>
                                        <a:srgbClr val="002060"/>
                                      </a:solidFill>
                                    </a:rPr>
                                    <a:t>45 minutes </a:t>
                                  </a:r>
                                  <a:r>
                                    <a:rPr lang="en-GB" sz="800" dirty="0">
                                      <a:solidFill>
                                        <a:srgbClr val="002060"/>
                                      </a:solidFill>
                                    </a:rPr>
                                    <a:t>from arrival to departure</a:t>
                                  </a:r>
                                </a:p>
                                <a:p>
                                  <a:pPr algn="ctr" fontAlgn="auto">
                                    <a:spcBef>
                                      <a:spcPts val="0"/>
                                    </a:spcBef>
                                    <a:spcAft>
                                      <a:spcPts val="0"/>
                                    </a:spcAft>
                                    <a:defRPr/>
                                  </a:pPr>
                                  <a:endParaRPr lang="en-GB" sz="800" dirty="0">
                                    <a:solidFill>
                                      <a:srgbClr val="002060"/>
                                    </a:solidFill>
                                  </a:endParaRPr>
                                </a:p>
                                <a:p>
                                  <a:pPr algn="ctr" fontAlgn="auto">
                                    <a:spcBef>
                                      <a:spcPts val="0"/>
                                    </a:spcBef>
                                    <a:spcAft>
                                      <a:spcPts val="0"/>
                                    </a:spcAft>
                                    <a:defRPr/>
                                  </a:pPr>
                                  <a:r>
                                    <a:rPr lang="en-GB" sz="800" dirty="0" smtClean="0">
                                      <a:solidFill>
                                        <a:srgbClr val="002060"/>
                                      </a:solidFill>
                                    </a:rPr>
                                    <a:t>88.24% </a:t>
                                  </a:r>
                                  <a:r>
                                    <a:rPr lang="en-GB" sz="800" dirty="0">
                                      <a:solidFill>
                                        <a:srgbClr val="002060"/>
                                      </a:solidFill>
                                    </a:rPr>
                                    <a:t>of patients </a:t>
                                  </a:r>
                                  <a:r>
                                    <a:rPr lang="en-GB" sz="800" dirty="0" smtClean="0">
                                      <a:solidFill>
                                        <a:srgbClr val="002060"/>
                                      </a:solidFill>
                                    </a:rPr>
                                    <a:t>stayed less than 4 hours</a:t>
                                  </a:r>
                                  <a:endParaRPr lang="en-GB" sz="800" dirty="0">
                                    <a:solidFill>
                                      <a:srgbClr val="002060"/>
                                    </a:solidFill>
                                  </a:endParaRPr>
                                </a:p>
                                <a:p>
                                  <a:pPr algn="ctr" fontAlgn="auto">
                                    <a:spcBef>
                                      <a:spcPts val="0"/>
                                    </a:spcBef>
                                    <a:spcAft>
                                      <a:spcPts val="0"/>
                                    </a:spcAft>
                                    <a:defRPr/>
                                  </a:pPr>
                                  <a:endParaRPr lang="en-GB" sz="800" dirty="0">
                                    <a:solidFill>
                                      <a:srgbClr val="002060"/>
                                    </a:solidFill>
                                  </a:endParaRPr>
                                </a:p>
                                <a:p>
                                  <a:pPr algn="ctr" fontAlgn="auto">
                                    <a:spcBef>
                                      <a:spcPts val="0"/>
                                    </a:spcBef>
                                    <a:spcAft>
                                      <a:spcPts val="0"/>
                                    </a:spcAft>
                                    <a:defRPr/>
                                  </a:pPr>
                                  <a:r>
                                    <a:rPr lang="en-GB" sz="800" dirty="0" smtClean="0">
                                      <a:solidFill>
                                        <a:srgbClr val="002060"/>
                                      </a:solidFill>
                                    </a:rPr>
                                    <a:t>438 patients out of  3,723  ED patients waited longer than 4 hours</a:t>
                                  </a:r>
                                  <a:endParaRPr lang="en-GB" sz="8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ounded Rectangle 27"/>
                              <a:cNvSpPr/>
                            </a:nvSpPr>
                            <a:spPr>
                              <a:xfrm>
                                <a:off x="6804248" y="2412380"/>
                                <a:ext cx="1889893" cy="1440160"/>
                              </a:xfrm>
                              <a:prstGeom prst="round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a:solidFill>
                                        <a:srgbClr val="002060"/>
                                      </a:solidFill>
                                    </a:rPr>
                                    <a:t>The average </a:t>
                                  </a:r>
                                  <a:r>
                                    <a:rPr lang="en-GB" sz="800" dirty="0" smtClean="0">
                                      <a:solidFill>
                                        <a:srgbClr val="002060"/>
                                      </a:solidFill>
                                    </a:rPr>
                                    <a:t>stay </a:t>
                                  </a:r>
                                  <a:r>
                                    <a:rPr lang="en-GB" sz="800" dirty="0">
                                      <a:solidFill>
                                        <a:srgbClr val="002060"/>
                                      </a:solidFill>
                                    </a:rPr>
                                    <a:t>for patients not requiring admission to hospital was </a:t>
                                  </a:r>
                                  <a:r>
                                    <a:rPr lang="en-GB" sz="800" dirty="0" smtClean="0">
                                      <a:solidFill>
                                        <a:srgbClr val="002060"/>
                                      </a:solidFill>
                                    </a:rPr>
                                    <a:t> 2 hours and 10 minutes</a:t>
                                  </a:r>
                                  <a:endParaRPr lang="en-GB" sz="800" dirty="0">
                                    <a:solidFill>
                                      <a:srgbClr val="002060"/>
                                    </a:solidFill>
                                  </a:endParaRPr>
                                </a:p>
                                <a:p>
                                  <a:pPr algn="ctr" fontAlgn="auto">
                                    <a:spcBef>
                                      <a:spcPts val="0"/>
                                    </a:spcBef>
                                    <a:spcAft>
                                      <a:spcPts val="0"/>
                                    </a:spcAft>
                                    <a:defRPr/>
                                  </a:pPr>
                                  <a:endParaRPr lang="en-GB" sz="600" dirty="0">
                                    <a:solidFill>
                                      <a:srgbClr val="002060"/>
                                    </a:solidFill>
                                  </a:endParaRPr>
                                </a:p>
                                <a:p>
                                  <a:pPr algn="ctr" fontAlgn="auto">
                                    <a:spcBef>
                                      <a:spcPts val="0"/>
                                    </a:spcBef>
                                    <a:spcAft>
                                      <a:spcPts val="0"/>
                                    </a:spcAft>
                                    <a:defRPr/>
                                  </a:pPr>
                                  <a:r>
                                    <a:rPr lang="en-GB" sz="800" dirty="0">
                                      <a:solidFill>
                                        <a:srgbClr val="002060"/>
                                      </a:solidFill>
                                    </a:rPr>
                                    <a:t>95% </a:t>
                                  </a:r>
                                  <a:r>
                                    <a:rPr lang="en-GB" sz="800" dirty="0" smtClean="0">
                                      <a:solidFill>
                                        <a:srgbClr val="002060"/>
                                      </a:solidFill>
                                    </a:rPr>
                                    <a:t>stayed less </a:t>
                                  </a:r>
                                  <a:r>
                                    <a:rPr lang="en-GB" sz="800" dirty="0">
                                      <a:solidFill>
                                        <a:srgbClr val="002060"/>
                                      </a:solidFill>
                                    </a:rPr>
                                    <a:t>than </a:t>
                                  </a:r>
                                  <a:r>
                                    <a:rPr lang="en-GB" sz="800" dirty="0" smtClean="0">
                                      <a:solidFill>
                                        <a:srgbClr val="002060"/>
                                      </a:solidFill>
                                    </a:rPr>
                                    <a:t>5hours and 01 minutes against a target of 4 hours</a:t>
                                  </a:r>
                                </a:p>
                                <a:p>
                                  <a:pPr algn="ctr" fontAlgn="auto">
                                    <a:spcBef>
                                      <a:spcPts val="0"/>
                                    </a:spcBef>
                                    <a:spcAft>
                                      <a:spcPts val="0"/>
                                    </a:spcAft>
                                    <a:defRPr/>
                                  </a:pPr>
                                  <a:endParaRPr lang="en-GB" sz="6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ounded Rectangle 28"/>
                              <a:cNvSpPr/>
                            </a:nvSpPr>
                            <a:spPr>
                              <a:xfrm>
                                <a:off x="4860032" y="2412380"/>
                                <a:ext cx="1872208" cy="1440160"/>
                              </a:xfrm>
                              <a:prstGeom prst="round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a:solidFill>
                                        <a:srgbClr val="002060"/>
                                      </a:solidFill>
                                    </a:rPr>
                                    <a:t>The average wait for patients who needed to be admitted to hospital was </a:t>
                                  </a:r>
                                  <a:r>
                                    <a:rPr lang="en-GB" sz="800" dirty="0" smtClean="0">
                                      <a:solidFill>
                                        <a:srgbClr val="002060"/>
                                      </a:solidFill>
                                    </a:rPr>
                                    <a:t>3 </a:t>
                                  </a:r>
                                  <a:r>
                                    <a:rPr lang="en-GB" sz="800" dirty="0">
                                      <a:solidFill>
                                        <a:srgbClr val="002060"/>
                                      </a:solidFill>
                                    </a:rPr>
                                    <a:t>hours and </a:t>
                                  </a:r>
                                  <a:r>
                                    <a:rPr lang="en-GB" sz="800" dirty="0" smtClean="0">
                                      <a:solidFill>
                                        <a:srgbClr val="002060"/>
                                      </a:solidFill>
                                    </a:rPr>
                                    <a:t>56minutes</a:t>
                                  </a:r>
                                  <a:endParaRPr lang="en-GB" sz="800" dirty="0">
                                    <a:solidFill>
                                      <a:srgbClr val="002060"/>
                                    </a:solidFill>
                                  </a:endParaRPr>
                                </a:p>
                                <a:p>
                                  <a:pPr algn="ctr" fontAlgn="auto">
                                    <a:spcBef>
                                      <a:spcPts val="0"/>
                                    </a:spcBef>
                                    <a:spcAft>
                                      <a:spcPts val="0"/>
                                    </a:spcAft>
                                    <a:defRPr/>
                                  </a:pPr>
                                  <a:endParaRPr lang="en-GB" sz="600" dirty="0">
                                    <a:solidFill>
                                      <a:srgbClr val="002060"/>
                                    </a:solidFill>
                                  </a:endParaRPr>
                                </a:p>
                                <a:p>
                                  <a:pPr algn="ctr" fontAlgn="auto">
                                    <a:spcBef>
                                      <a:spcPts val="0"/>
                                    </a:spcBef>
                                    <a:spcAft>
                                      <a:spcPts val="0"/>
                                    </a:spcAft>
                                    <a:defRPr/>
                                  </a:pPr>
                                  <a:r>
                                    <a:rPr lang="en-GB" sz="800" dirty="0">
                                      <a:solidFill>
                                        <a:srgbClr val="002060"/>
                                      </a:solidFill>
                                    </a:rPr>
                                    <a:t>95% waited less than </a:t>
                                  </a:r>
                                  <a:r>
                                    <a:rPr lang="en-GB" sz="800" dirty="0" smtClean="0">
                                      <a:solidFill>
                                        <a:srgbClr val="002060"/>
                                      </a:solidFill>
                                    </a:rPr>
                                    <a:t> 12 hours 51 minutes against a target of 4 hours</a:t>
                                  </a:r>
                                  <a:endParaRPr lang="en-GB" sz="8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Chevron 29"/>
                              <a:cNvSpPr/>
                            </a:nvSpPr>
                            <a:spPr>
                              <a:xfrm>
                                <a:off x="1115616" y="1556792"/>
                                <a:ext cx="255588"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Chevron 30"/>
                              <a:cNvSpPr/>
                            </a:nvSpPr>
                            <a:spPr>
                              <a:xfrm>
                                <a:off x="1143000" y="2571750"/>
                                <a:ext cx="255588"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Chevron 31"/>
                              <a:cNvSpPr/>
                            </a:nvSpPr>
                            <a:spPr>
                              <a:xfrm>
                                <a:off x="1500188" y="2571750"/>
                                <a:ext cx="255587"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Chevron 32"/>
                              <a:cNvSpPr/>
                            </a:nvSpPr>
                            <a:spPr>
                              <a:xfrm>
                                <a:off x="1857375" y="2571750"/>
                                <a:ext cx="255588"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Chevron 33"/>
                              <a:cNvSpPr/>
                            </a:nvSpPr>
                            <a:spPr>
                              <a:xfrm>
                                <a:off x="2214563" y="2571750"/>
                                <a:ext cx="255587"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Chevron 34"/>
                              <a:cNvSpPr/>
                            </a:nvSpPr>
                            <a:spPr>
                              <a:xfrm>
                                <a:off x="2571750" y="2571750"/>
                                <a:ext cx="255588"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Chevron 36"/>
                              <a:cNvSpPr/>
                            </a:nvSpPr>
                            <a:spPr>
                              <a:xfrm>
                                <a:off x="2906713" y="1525588"/>
                                <a:ext cx="255587" cy="357187"/>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333" name="TextBox 37"/>
                              <a:cNvSpPr txBox="1">
                                <a:spLocks noChangeArrowheads="1"/>
                              </a:cNvSpPr>
                            </a:nvSpPr>
                            <a:spPr bwMode="auto">
                              <a:xfrm>
                                <a:off x="1475656" y="3348484"/>
                                <a:ext cx="1285875"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dirty="0">
                                      <a:latin typeface="Calibri" pitchFamily="34" charset="0"/>
                                    </a:rPr>
                                    <a:t>Left without being seen</a:t>
                                  </a:r>
                                </a:p>
                              </a:txBody>
                              <a:useSpRect/>
                            </a:txSp>
                          </a:sp>
                          <a:sp>
                            <a:nvSpPr>
                              <a:cNvPr id="39" name="Rounded Rectangle 38"/>
                              <a:cNvSpPr/>
                            </a:nvSpPr>
                            <a:spPr>
                              <a:xfrm>
                                <a:off x="3491880" y="4428604"/>
                                <a:ext cx="1440160" cy="864096"/>
                              </a:xfrm>
                              <a:prstGeom prst="roundRect">
                                <a:avLst/>
                              </a:prstGeom>
                              <a:solidFill>
                                <a:schemeClr val="bg1"/>
                              </a:solidFill>
                              <a:ln>
                                <a:solidFill>
                                  <a:schemeClr val="bg1">
                                    <a:lumMod val="6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smtClean="0">
                                      <a:solidFill>
                                        <a:srgbClr val="002060"/>
                                      </a:solidFill>
                                    </a:rPr>
                                    <a:t>7.17% </a:t>
                                  </a:r>
                                  <a:r>
                                    <a:rPr lang="en-GB" sz="800" dirty="0">
                                      <a:solidFill>
                                        <a:srgbClr val="002060"/>
                                      </a:solidFill>
                                    </a:rPr>
                                    <a:t>of patients re-attended A&amp;E within </a:t>
                                  </a:r>
                                  <a:r>
                                    <a:rPr lang="en-GB" sz="800" dirty="0" smtClean="0">
                                      <a:solidFill>
                                        <a:srgbClr val="002060"/>
                                      </a:solidFill>
                                    </a:rPr>
                                    <a:t>7 </a:t>
                                  </a:r>
                                  <a:r>
                                    <a:rPr lang="en-GB" sz="800" dirty="0">
                                      <a:solidFill>
                                        <a:srgbClr val="002060"/>
                                      </a:solidFill>
                                    </a:rPr>
                                    <a:t>days of their original </a:t>
                                  </a:r>
                                  <a:r>
                                    <a:rPr lang="en-GB" sz="800" dirty="0" smtClean="0">
                                      <a:solidFill>
                                        <a:srgbClr val="002060"/>
                                      </a:solidFill>
                                    </a:rPr>
                                    <a:t>attendance against a target of 5%</a:t>
                                  </a:r>
                                  <a:endParaRPr lang="en-GB" sz="8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335" name="TextBox 39"/>
                              <a:cNvSpPr txBox="1">
                                <a:spLocks noChangeArrowheads="1"/>
                              </a:cNvSpPr>
                            </a:nvSpPr>
                            <a:spPr bwMode="auto">
                              <a:xfrm>
                                <a:off x="5220072" y="836712"/>
                                <a:ext cx="3060700" cy="2460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i="1" dirty="0">
                                      <a:latin typeface="Calibri" pitchFamily="34" charset="0"/>
                                    </a:rPr>
                                    <a:t>For all patients</a:t>
                                  </a:r>
                                </a:p>
                              </a:txBody>
                              <a:useSpRect/>
                            </a:txSp>
                          </a:sp>
                          <a:sp>
                            <a:nvSpPr>
                              <a:cNvPr id="13336" name="TextBox 40"/>
                              <a:cNvSpPr txBox="1">
                                <a:spLocks noChangeArrowheads="1"/>
                              </a:cNvSpPr>
                            </a:nvSpPr>
                            <a:spPr bwMode="auto">
                              <a:xfrm>
                                <a:off x="4857750" y="2000250"/>
                                <a:ext cx="1857375"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i="1">
                                      <a:latin typeface="Calibri" pitchFamily="34" charset="0"/>
                                    </a:rPr>
                                    <a:t>For patients admitted to hospital</a:t>
                                  </a:r>
                                </a:p>
                              </a:txBody>
                              <a:useSpRect/>
                            </a:txSp>
                          </a:sp>
                          <a:sp>
                            <a:nvSpPr>
                              <a:cNvPr id="13337" name="TextBox 41"/>
                              <a:cNvSpPr txBox="1">
                                <a:spLocks noChangeArrowheads="1"/>
                              </a:cNvSpPr>
                            </a:nvSpPr>
                            <a:spPr bwMode="auto">
                              <a:xfrm>
                                <a:off x="6715125" y="2000250"/>
                                <a:ext cx="1857375"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i="1">
                                      <a:latin typeface="Calibri" pitchFamily="34" charset="0"/>
                                    </a:rPr>
                                    <a:t>For patients not admitted to hospital</a:t>
                                  </a:r>
                                </a:p>
                              </a:txBody>
                              <a:useSpRect/>
                            </a:txSp>
                          </a:sp>
                          <a:sp>
                            <a:nvSpPr>
                              <a:cNvPr id="43" name="Chevron 42"/>
                              <a:cNvSpPr/>
                            </a:nvSpPr>
                            <a:spPr>
                              <a:xfrm rot="5400000">
                                <a:off x="2000250" y="3000376"/>
                                <a:ext cx="249237" cy="392112"/>
                              </a:xfrm>
                              <a:prstGeom prst="chevron">
                                <a:avLst/>
                              </a:prstGeom>
                              <a:solidFill>
                                <a:schemeClr val="bg1">
                                  <a:lumMod val="85000"/>
                                </a:schemeClr>
                              </a:solidFill>
                              <a:ln>
                                <a:solidFill>
                                  <a:schemeClr val="bg1">
                                    <a:lumMod val="50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ounded Rectangle 43"/>
                              <a:cNvSpPr/>
                            </a:nvSpPr>
                            <a:spPr>
                              <a:xfrm>
                                <a:off x="1285875" y="3714750"/>
                                <a:ext cx="1785938" cy="713854"/>
                              </a:xfrm>
                              <a:prstGeom prst="roundRect">
                                <a:avLst/>
                              </a:prstGeom>
                              <a:solidFill>
                                <a:schemeClr val="bg1"/>
                              </a:solidFill>
                              <a:ln>
                                <a:solidFill>
                                  <a:schemeClr val="bg1">
                                    <a:lumMod val="6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smtClean="0">
                                      <a:solidFill>
                                        <a:srgbClr val="002060"/>
                                      </a:solidFill>
                                    </a:rPr>
                                    <a:t>1.70% </a:t>
                                  </a:r>
                                  <a:r>
                                    <a:rPr lang="en-GB" sz="800" dirty="0">
                                      <a:solidFill>
                                        <a:srgbClr val="002060"/>
                                      </a:solidFill>
                                    </a:rPr>
                                    <a:t>of attendances this month left the department without being </a:t>
                                  </a:r>
                                  <a:r>
                                    <a:rPr lang="en-GB" sz="800" dirty="0" smtClean="0">
                                      <a:solidFill>
                                        <a:srgbClr val="002060"/>
                                      </a:solidFill>
                                    </a:rPr>
                                    <a:t>seen against a target of 5%</a:t>
                                  </a:r>
                                  <a:endParaRPr lang="en-GB" sz="8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Chevron 45"/>
                              <a:cNvSpPr/>
                            </a:nvSpPr>
                            <a:spPr>
                              <a:xfrm rot="5400000">
                                <a:off x="6587653" y="4149651"/>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Chevron 46"/>
                              <a:cNvSpPr/>
                            </a:nvSpPr>
                            <a:spPr>
                              <a:xfrm rot="7489106">
                                <a:off x="6400801" y="4454525"/>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Chevron 47"/>
                              <a:cNvSpPr/>
                            </a:nvSpPr>
                            <a:spPr>
                              <a:xfrm rot="10800000">
                                <a:off x="6000750"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Chevron 48"/>
                              <a:cNvSpPr/>
                            </a:nvSpPr>
                            <a:spPr>
                              <a:xfrm rot="10800000">
                                <a:off x="5643563"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Chevron 49"/>
                              <a:cNvSpPr/>
                            </a:nvSpPr>
                            <a:spPr>
                              <a:xfrm rot="10800000">
                                <a:off x="5286375"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Chevron 50"/>
                              <a:cNvSpPr/>
                            </a:nvSpPr>
                            <a:spPr>
                              <a:xfrm rot="10800000">
                                <a:off x="4929188"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Chevron 51"/>
                              <a:cNvSpPr/>
                            </a:nvSpPr>
                            <a:spPr>
                              <a:xfrm rot="10800000">
                                <a:off x="3143250"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Chevron 52"/>
                              <a:cNvSpPr/>
                            </a:nvSpPr>
                            <a:spPr>
                              <a:xfrm rot="10800000">
                                <a:off x="2786063"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Chevron 53"/>
                              <a:cNvSpPr/>
                            </a:nvSpPr>
                            <a:spPr>
                              <a:xfrm rot="10800000">
                                <a:off x="2428875"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Chevron 54"/>
                              <a:cNvSpPr/>
                            </a:nvSpPr>
                            <a:spPr>
                              <a:xfrm rot="10800000">
                                <a:off x="2071688"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Chevron 55"/>
                              <a:cNvSpPr/>
                            </a:nvSpPr>
                            <a:spPr>
                              <a:xfrm rot="10800000">
                                <a:off x="1714500"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Chevron 56"/>
                              <a:cNvSpPr/>
                            </a:nvSpPr>
                            <a:spPr>
                              <a:xfrm rot="10800000">
                                <a:off x="1357313"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Chevron 57"/>
                              <a:cNvSpPr/>
                            </a:nvSpPr>
                            <a:spPr>
                              <a:xfrm rot="10800000">
                                <a:off x="1000125"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Chevron 58"/>
                              <a:cNvSpPr/>
                            </a:nvSpPr>
                            <a:spPr>
                              <a:xfrm rot="13068703">
                                <a:off x="601663" y="447198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Chevron 59"/>
                              <a:cNvSpPr/>
                            </a:nvSpPr>
                            <a:spPr>
                              <a:xfrm rot="16200000">
                                <a:off x="500063" y="4071937"/>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Chevron 60"/>
                              <a:cNvSpPr/>
                            </a:nvSpPr>
                            <a:spPr>
                              <a:xfrm rot="16200000">
                                <a:off x="500063" y="3714750"/>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357" name="TextBox 61"/>
                              <a:cNvSpPr txBox="1">
                                <a:spLocks noChangeArrowheads="1"/>
                              </a:cNvSpPr>
                            </a:nvSpPr>
                            <a:spPr bwMode="auto">
                              <a:xfrm>
                                <a:off x="3563888" y="3996556"/>
                                <a:ext cx="1285875"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dirty="0">
                                      <a:latin typeface="Calibri" pitchFamily="34" charset="0"/>
                                    </a:rPr>
                                    <a:t>Unplanned re-attendances</a:t>
                                  </a:r>
                                </a:p>
                              </a:txBody>
                              <a:useSpRect/>
                            </a:txSp>
                          </a:sp>
                          <a:cxnSp>
                            <a:nvCxnSpPr>
                              <a:cNvPr id="64" name="Straight Connector 63"/>
                              <a:cNvCxnSpPr/>
                            </a:nvCxnSpPr>
                            <a:spPr>
                              <a:xfrm>
                                <a:off x="357188" y="5357813"/>
                                <a:ext cx="8215312" cy="0"/>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66" name="Rounded Rectangle 65"/>
                              <a:cNvSpPr/>
                            </a:nvSpPr>
                            <a:spPr>
                              <a:xfrm>
                                <a:off x="395536" y="5500688"/>
                                <a:ext cx="8208912" cy="1214437"/>
                              </a:xfrm>
                              <a:prstGeom prst="roundRect">
                                <a:avLst/>
                              </a:prstGeom>
                              <a:solidFill>
                                <a:schemeClr val="bg1"/>
                              </a:solidFill>
                            </a:spPr>
                            <a:txSp>
                              <a:txBody>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en-GB" sz="800" b="1" dirty="0">
                                      <a:solidFill>
                                        <a:srgbClr val="002060"/>
                                      </a:solidFill>
                                    </a:rPr>
                                    <a:t>Overall assessment of performance</a:t>
                                  </a:r>
                                  <a:r>
                                    <a:rPr lang="en-GB" sz="800" b="1" dirty="0" smtClean="0">
                                      <a:solidFill>
                                        <a:srgbClr val="002060"/>
                                      </a:solidFill>
                                    </a:rPr>
                                    <a:t>:</a:t>
                                  </a:r>
                                  <a:endParaRPr lang="en-GB" sz="8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Oval 70"/>
                              <a:cNvSpPr/>
                            </a:nvSpPr>
                            <a:spPr>
                              <a:xfrm>
                                <a:off x="6516216" y="3636516"/>
                                <a:ext cx="142875" cy="142875"/>
                              </a:xfrm>
                              <a:prstGeom prst="ellipse">
                                <a:avLst/>
                              </a:prstGeom>
                              <a:solidFill>
                                <a:srgbClr val="FF0000"/>
                              </a:solidFill>
                              <a:ln>
                                <a:solidFill>
                                  <a:schemeClr val="bg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Oval 71"/>
                              <a:cNvSpPr/>
                            </a:nvSpPr>
                            <a:spPr>
                              <a:xfrm>
                                <a:off x="8388424" y="3564508"/>
                                <a:ext cx="142875" cy="142875"/>
                              </a:xfrm>
                              <a:prstGeom prst="ellipse">
                                <a:avLst/>
                              </a:prstGeom>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p>
                              </a:txBody>
                              <a:useSpRect/>
                            </a:txSp>
                            <a:style>
                              <a:lnRef idx="3">
                                <a:schemeClr val="lt1"/>
                              </a:lnRef>
                              <a:fillRef idx="1">
                                <a:schemeClr val="accent2"/>
                              </a:fillRef>
                              <a:effectRef idx="1">
                                <a:schemeClr val="accent2"/>
                              </a:effectRef>
                              <a:fontRef idx="minor">
                                <a:schemeClr val="lt1"/>
                              </a:fontRef>
                            </a:style>
                          </a:sp>
                          <a:sp>
                            <a:nvSpPr>
                              <a:cNvPr id="73" name="Oval 72"/>
                              <a:cNvSpPr/>
                            </a:nvSpPr>
                            <a:spPr>
                              <a:xfrm>
                                <a:off x="2843808" y="4212580"/>
                                <a:ext cx="142875" cy="142875"/>
                              </a:xfrm>
                              <a:prstGeom prst="ellipse">
                                <a:avLst/>
                              </a:prstGeom>
                              <a:solidFill>
                                <a:srgbClr val="92D050"/>
                              </a:solidFill>
                              <a:ln>
                                <a:solidFill>
                                  <a:schemeClr val="bg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3" name="Straight Connector 62"/>
                              <a:cNvCxnSpPr/>
                            </a:nvCxnSpPr>
                            <a:spPr>
                              <a:xfrm>
                                <a:off x="428625" y="642938"/>
                                <a:ext cx="8215313" cy="0"/>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75" name="Chevron 74"/>
                              <a:cNvSpPr/>
                            </a:nvSpPr>
                            <a:spPr>
                              <a:xfrm rot="16200000">
                                <a:off x="500063" y="3357562"/>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Oval 75"/>
                              <a:cNvSpPr/>
                            </a:nvSpPr>
                            <a:spPr>
                              <a:xfrm flipH="1">
                                <a:off x="8460432" y="1620292"/>
                                <a:ext cx="45719" cy="72008"/>
                              </a:xfrm>
                              <a:prstGeom prst="ellipse">
                                <a:avLst/>
                              </a:prstGeom>
                              <a:ln/>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en-GB"/>
                                </a:p>
                              </a:txBody>
                              <a:useSpRect/>
                            </a:txSp>
                            <a:style>
                              <a:lnRef idx="2">
                                <a:schemeClr val="accent2"/>
                              </a:lnRef>
                              <a:fillRef idx="1">
                                <a:schemeClr val="lt1"/>
                              </a:fillRef>
                              <a:effectRef idx="0">
                                <a:schemeClr val="accent2"/>
                              </a:effectRef>
                              <a:fontRef idx="minor">
                                <a:schemeClr val="dk1"/>
                              </a:fontRef>
                            </a:style>
                          </a:sp>
                          <a:sp>
                            <a:nvSpPr>
                              <a:cNvPr id="77" name="Oval 76"/>
                              <a:cNvSpPr/>
                            </a:nvSpPr>
                            <a:spPr>
                              <a:xfrm>
                                <a:off x="4283968" y="3420492"/>
                                <a:ext cx="142875" cy="142875"/>
                              </a:xfrm>
                              <a:prstGeom prst="ellipse">
                                <a:avLst/>
                              </a:prstGeom>
                              <a:solidFill>
                                <a:srgbClr val="92D050"/>
                              </a:solidFill>
                              <a:ln>
                                <a:solidFill>
                                  <a:schemeClr val="bg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Oval 78"/>
                              <a:cNvSpPr/>
                            </a:nvSpPr>
                            <a:spPr>
                              <a:xfrm>
                                <a:off x="4644008" y="5076676"/>
                                <a:ext cx="142875" cy="142875"/>
                              </a:xfrm>
                              <a:prstGeom prst="ellipse">
                                <a:avLst/>
                              </a:prstGeom>
                              <a:solidFill>
                                <a:srgbClr val="FF0000"/>
                              </a:solidFill>
                              <a:ln>
                                <a:solidFill>
                                  <a:schemeClr val="bg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Chevron 80"/>
                              <a:cNvSpPr/>
                            </a:nvSpPr>
                            <a:spPr>
                              <a:xfrm>
                                <a:off x="4643438" y="2071688"/>
                                <a:ext cx="255587" cy="357187"/>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69" name="Oval 68"/>
                          <a:cNvSpPr/>
                        </a:nvSpPr>
                        <a:spPr>
                          <a:xfrm>
                            <a:off x="2555776" y="2060848"/>
                            <a:ext cx="142875" cy="142875"/>
                          </a:xfrm>
                          <a:prstGeom prst="ellipse">
                            <a:avLst/>
                          </a:prstGeom>
                          <a:solidFill>
                            <a:srgbClr val="92D050"/>
                          </a:solidFill>
                          <a:ln>
                            <a:solidFill>
                              <a:schemeClr val="bg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82" name="Rounded Rectangle 81"/>
                        <a:cNvSpPr/>
                      </a:nvSpPr>
                      <a:spPr>
                        <a:xfrm>
                          <a:off x="417761" y="5437188"/>
                          <a:ext cx="8208912" cy="1214437"/>
                        </a:xfrm>
                        <a:prstGeom prst="roundRect">
                          <a:avLst/>
                        </a:prstGeom>
                        <a:solidFill>
                          <a:schemeClr val="bg1"/>
                        </a:solidFill>
                      </a:spPr>
                      <a:txSp>
                        <a:txBody>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en-GB" sz="800" b="1" dirty="0">
                                <a:solidFill>
                                  <a:srgbClr val="002060"/>
                                </a:solidFill>
                              </a:rPr>
                              <a:t>Overall assessment of performance</a:t>
                            </a:r>
                            <a:r>
                              <a:rPr lang="en-GB" sz="800" b="1" dirty="0" smtClean="0">
                                <a:solidFill>
                                  <a:srgbClr val="002060"/>
                                </a:solidFill>
                              </a:rPr>
                              <a:t>:</a:t>
                            </a:r>
                          </a:p>
                          <a:p>
                            <a:pPr fontAlgn="auto">
                              <a:spcBef>
                                <a:spcPts val="0"/>
                              </a:spcBef>
                              <a:spcAft>
                                <a:spcPts val="0"/>
                              </a:spcAft>
                              <a:defRPr/>
                            </a:pPr>
                            <a:r>
                              <a:rPr lang="en-GB" sz="800" dirty="0" smtClean="0">
                                <a:solidFill>
                                  <a:srgbClr val="002060"/>
                                </a:solidFill>
                              </a:rPr>
                              <a:t>The performance of the Emergency Department in referring patients within 4 hours was not achieved in February with a percentage of 88.24%.</a:t>
                            </a:r>
                          </a:p>
                          <a:p>
                            <a:pPr fontAlgn="auto">
                              <a:spcBef>
                                <a:spcPts val="0"/>
                              </a:spcBef>
                              <a:spcAft>
                                <a:spcPts val="0"/>
                              </a:spcAft>
                              <a:defRPr/>
                            </a:pPr>
                            <a:endParaRPr lang="en-GB" sz="800" dirty="0" smtClean="0">
                              <a:solidFill>
                                <a:srgbClr val="002060"/>
                              </a:solidFill>
                            </a:endParaRPr>
                          </a:p>
                          <a:p>
                            <a:pPr fontAlgn="auto">
                              <a:spcBef>
                                <a:spcPts val="0"/>
                              </a:spcBef>
                              <a:spcAft>
                                <a:spcPts val="0"/>
                              </a:spcAft>
                              <a:defRPr/>
                            </a:pPr>
                            <a:r>
                              <a:rPr lang="en-GB" sz="800" dirty="0" smtClean="0">
                                <a:solidFill>
                                  <a:srgbClr val="002060"/>
                                </a:solidFill>
                              </a:rPr>
                              <a:t>The Emergency Department had 3,723 Type 1 attendances in February against a contracted plan of 4,270.  This is a decrease against contract of 12.81%.</a:t>
                            </a:r>
                          </a:p>
                          <a:p>
                            <a:pPr fontAlgn="auto">
                              <a:spcBef>
                                <a:spcPts val="0"/>
                              </a:spcBef>
                              <a:spcAft>
                                <a:spcPts val="0"/>
                              </a:spcAft>
                              <a:defRPr/>
                            </a:pPr>
                            <a:endParaRPr lang="en-GB" sz="800" dirty="0" smtClean="0">
                              <a:solidFill>
                                <a:srgbClr val="002060"/>
                              </a:solidFill>
                            </a:endParaRPr>
                          </a:p>
                          <a:p>
                            <a:pPr fontAlgn="auto">
                              <a:spcBef>
                                <a:spcPts val="0"/>
                              </a:spcBef>
                              <a:spcAft>
                                <a:spcPts val="0"/>
                              </a:spcAft>
                              <a:defRPr/>
                            </a:pPr>
                            <a:r>
                              <a:rPr lang="en-GB" sz="800" dirty="0" smtClean="0">
                                <a:solidFill>
                                  <a:srgbClr val="002060"/>
                                </a:solidFill>
                              </a:rPr>
                              <a:t>The acuity of patients remains high with a conversion rate from attendance to admission of 22.25% in February.</a:t>
                            </a:r>
                          </a:p>
                          <a:p>
                            <a:pPr fontAlgn="auto">
                              <a:spcBef>
                                <a:spcPts val="0"/>
                              </a:spcBef>
                              <a:spcAft>
                                <a:spcPts val="0"/>
                              </a:spcAft>
                              <a:defRPr/>
                            </a:pPr>
                            <a:endParaRPr lang="en-GB" sz="800" dirty="0">
                              <a:solidFill>
                                <a:srgbClr val="002060"/>
                              </a:solidFill>
                            </a:endParaRPr>
                          </a:p>
                          <a:p>
                            <a:pPr fontAlgn="auto">
                              <a:spcBef>
                                <a:spcPts val="0"/>
                              </a:spcBef>
                              <a:spcAft>
                                <a:spcPts val="0"/>
                              </a:spcAft>
                              <a:defRPr/>
                            </a:pPr>
                            <a:endParaRPr lang="en-GB" sz="800" b="1" dirty="0" smtClean="0">
                              <a:solidFill>
                                <a:schemeClr val="tx1"/>
                              </a:solidFill>
                            </a:endParaRPr>
                          </a:p>
                          <a:p>
                            <a:r>
                              <a:rPr lang="en-GB" sz="800" dirty="0" smtClean="0">
                                <a:solidFill>
                                  <a:schemeClr val="tx1"/>
                                </a:solidFill>
                              </a:rPr>
                              <a:t> </a:t>
                            </a:r>
                          </a:p>
                          <a:p>
                            <a:pPr fontAlgn="auto">
                              <a:spcBef>
                                <a:spcPts val="0"/>
                              </a:spcBef>
                              <a:spcAft>
                                <a:spcPts val="0"/>
                              </a:spcAft>
                              <a:defRPr/>
                            </a:pPr>
                            <a:r>
                              <a:rPr lang="en-GB" sz="800" dirty="0" smtClean="0">
                                <a:solidFill>
                                  <a:schemeClr val="tx1"/>
                                </a:solidFill>
                              </a:rPr>
                              <a:t>  </a:t>
                            </a:r>
                          </a:p>
                          <a:p>
                            <a:pPr fontAlgn="auto">
                              <a:spcBef>
                                <a:spcPts val="0"/>
                              </a:spcBef>
                              <a:spcAft>
                                <a:spcPts val="0"/>
                              </a:spcAft>
                              <a:defRPr/>
                            </a:pPr>
                            <a:endParaRPr lang="en-GB" sz="8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152CF9" w:rsidRDefault="00152CF9" w:rsidP="0016714D"/>
    <w:p w:rsidR="00152CF9" w:rsidRPr="0016714D" w:rsidRDefault="00152CF9" w:rsidP="0016714D">
      <w:pPr>
        <w:sectPr w:rsidR="00152CF9" w:rsidRPr="0016714D" w:rsidSect="00DC2362">
          <w:pgSz w:w="16838" w:h="11906" w:orient="landscape"/>
          <w:pgMar w:top="720" w:right="720" w:bottom="720" w:left="720" w:header="708" w:footer="708" w:gutter="0"/>
          <w:cols w:space="708"/>
          <w:docGrid w:linePitch="360"/>
        </w:sectPr>
      </w:pPr>
      <w:r w:rsidRPr="00152CF9">
        <w:rPr>
          <w:noProof/>
        </w:rPr>
        <w:drawing>
          <wp:inline distT="0" distB="0" distL="0" distR="0">
            <wp:extent cx="9582150" cy="5572125"/>
            <wp:effectExtent l="0" t="0" r="0" b="0"/>
            <wp:docPr id="5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02725" cy="6651625"/>
                      <a:chOff x="41275" y="0"/>
                      <a:chExt cx="9102725" cy="6651625"/>
                    </a:xfrm>
                  </a:grpSpPr>
                  <a:grpSp>
                    <a:nvGrpSpPr>
                      <a:cNvPr id="83" name="Group 82"/>
                      <a:cNvGrpSpPr/>
                    </a:nvGrpSpPr>
                    <a:grpSpPr>
                      <a:xfrm>
                        <a:off x="41275" y="0"/>
                        <a:ext cx="9102725" cy="6651625"/>
                        <a:chOff x="19050" y="0"/>
                        <a:chExt cx="9102725" cy="6651625"/>
                      </a:xfrm>
                    </a:grpSpPr>
                    <a:grpSp>
                      <a:nvGrpSpPr>
                        <a:cNvPr id="3" name="Group 69"/>
                        <a:cNvGrpSpPr/>
                      </a:nvGrpSpPr>
                      <a:grpSpPr>
                        <a:xfrm>
                          <a:off x="19050" y="0"/>
                          <a:ext cx="9102725" cy="6651625"/>
                          <a:chOff x="19050" y="0"/>
                          <a:chExt cx="9102725" cy="6651625"/>
                        </a:xfrm>
                      </a:grpSpPr>
                      <a:grpSp>
                        <a:nvGrpSpPr>
                          <a:cNvPr id="5" name="Group 64"/>
                          <a:cNvGrpSpPr/>
                        </a:nvGrpSpPr>
                        <a:grpSpPr>
                          <a:xfrm>
                            <a:off x="19050" y="0"/>
                            <a:ext cx="9102725" cy="6651625"/>
                            <a:chOff x="19050" y="63500"/>
                            <a:chExt cx="9102725" cy="6651625"/>
                          </a:xfrm>
                        </a:grpSpPr>
                        <a:pic>
                          <a:nvPicPr>
                            <a:cNvPr id="13313" name="Picture 2" descr="Weston Area Health NHS Trust logo - link to home page"/>
                            <a:cNvPicPr>
                              <a:picLocks noChangeAspect="1" noChangeArrowheads="1"/>
                            </a:cNvPicPr>
                          </a:nvPicPr>
                          <a:blipFill>
                            <a:blip r:embed="rId49" cstate="print"/>
                            <a:srcRect/>
                            <a:stretch>
                              <a:fillRect/>
                            </a:stretch>
                          </a:blipFill>
                          <a:spPr bwMode="auto">
                            <a:xfrm>
                              <a:off x="6483350" y="34925"/>
                              <a:ext cx="2638425" cy="447675"/>
                            </a:xfrm>
                            <a:prstGeom prst="rect">
                              <a:avLst/>
                            </a:prstGeom>
                            <a:noFill/>
                            <a:ln w="9525">
                              <a:noFill/>
                              <a:miter lim="800000"/>
                              <a:headEnd/>
                              <a:tailEnd/>
                            </a:ln>
                          </a:spPr>
                        </a:pic>
                        <a:sp>
                          <a:nvSpPr>
                            <a:cNvPr id="13315" name="TextBox 9"/>
                            <a:cNvSpPr txBox="1">
                              <a:spLocks noChangeArrowheads="1"/>
                            </a:cNvSpPr>
                          </a:nvSpPr>
                          <a:spPr bwMode="auto">
                            <a:xfrm>
                              <a:off x="19050" y="1498600"/>
                              <a:ext cx="1071563"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a:latin typeface="Calibri" pitchFamily="34" charset="0"/>
                                  </a:rPr>
                                  <a:t>Patient arrives via ambulance</a:t>
                                </a:r>
                              </a:p>
                            </a:txBody>
                            <a:useSpRect/>
                          </a:txSp>
                        </a:sp>
                        <a:sp>
                          <a:nvSpPr>
                            <a:cNvPr id="13319" name="TextBox 19"/>
                            <a:cNvSpPr txBox="1">
                              <a:spLocks noChangeArrowheads="1"/>
                            </a:cNvSpPr>
                          </a:nvSpPr>
                          <a:spPr bwMode="auto">
                            <a:xfrm>
                              <a:off x="107504" y="2556396"/>
                              <a:ext cx="1071563" cy="55399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dirty="0">
                                    <a:latin typeface="Calibri" pitchFamily="34" charset="0"/>
                                  </a:rPr>
                                  <a:t>Patient arrives at </a:t>
                                </a:r>
                                <a:r>
                                  <a:rPr lang="en-GB" sz="1000" b="1" dirty="0" smtClean="0">
                                    <a:latin typeface="Calibri" pitchFamily="34" charset="0"/>
                                  </a:rPr>
                                  <a:t>Emergency Department</a:t>
                                </a:r>
                                <a:endParaRPr lang="en-GB" sz="1000" b="1" dirty="0">
                                  <a:latin typeface="Calibri" pitchFamily="34" charset="0"/>
                                </a:endParaRPr>
                              </a:p>
                            </a:txBody>
                            <a:useSpRect/>
                          </a:txSp>
                        </a:sp>
                        <a:grpSp>
                          <a:nvGrpSpPr>
                            <a:cNvPr id="10" name="Group 61"/>
                            <a:cNvGrpSpPr/>
                          </a:nvGrpSpPr>
                          <a:grpSpPr>
                            <a:xfrm>
                              <a:off x="142875" y="63500"/>
                              <a:ext cx="8551266" cy="6651625"/>
                              <a:chOff x="142875" y="63500"/>
                              <a:chExt cx="8551266" cy="6651625"/>
                            </a:xfrm>
                          </a:grpSpPr>
                          <a:sp>
                            <a:nvSpPr>
                              <a:cNvPr id="13314" name="TextBox 4"/>
                              <a:cNvSpPr txBox="1">
                                <a:spLocks noChangeArrowheads="1"/>
                              </a:cNvSpPr>
                            </a:nvSpPr>
                            <a:spPr bwMode="auto">
                              <a:xfrm>
                                <a:off x="142875" y="63500"/>
                                <a:ext cx="6215063"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GB" sz="2000" b="1" dirty="0" smtClean="0">
                                      <a:latin typeface="Calibri" pitchFamily="34" charset="0"/>
                                    </a:rPr>
                                    <a:t>ED </a:t>
                                  </a:r>
                                  <a:r>
                                    <a:rPr lang="en-GB" sz="2000" b="1" dirty="0">
                                      <a:latin typeface="Calibri" pitchFamily="34" charset="0"/>
                                    </a:rPr>
                                    <a:t>clinical quality indicators </a:t>
                                  </a:r>
                                  <a:r>
                                    <a:rPr lang="en-GB" sz="2000" b="1" dirty="0" smtClean="0">
                                      <a:latin typeface="Calibri" pitchFamily="34" charset="0"/>
                                    </a:rPr>
                                    <a:t>– March</a:t>
                                  </a:r>
                                  <a:r>
                                    <a:rPr lang="en-GB" sz="2000" b="1" dirty="0" smtClean="0">
                                      <a:latin typeface="Calibri" pitchFamily="34" charset="0"/>
                                    </a:rPr>
                                    <a:t> 2015</a:t>
                                  </a:r>
                                  <a:endParaRPr lang="en-GB" sz="2000" b="1" dirty="0">
                                    <a:latin typeface="Calibri" pitchFamily="34" charset="0"/>
                                  </a:endParaRPr>
                                </a:p>
                              </a:txBody>
                              <a:useSpRect/>
                            </a:txSp>
                          </a:sp>
                          <a:sp>
                            <a:nvSpPr>
                              <a:cNvPr id="13316" name="TextBox 10"/>
                              <a:cNvSpPr txBox="1">
                                <a:spLocks noChangeArrowheads="1"/>
                              </a:cNvSpPr>
                            </a:nvSpPr>
                            <a:spPr bwMode="auto">
                              <a:xfrm>
                                <a:off x="1475656" y="908720"/>
                                <a:ext cx="1285875"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a:latin typeface="Calibri" pitchFamily="34" charset="0"/>
                                    </a:rPr>
                                    <a:t>Time to initial assessment</a:t>
                                  </a:r>
                                </a:p>
                              </a:txBody>
                              <a:useSpRect/>
                            </a:txSp>
                          </a:sp>
                          <a:sp>
                            <a:nvSpPr>
                              <a:cNvPr id="12" name="Rounded Rectangle 11"/>
                              <a:cNvSpPr/>
                            </a:nvSpPr>
                            <a:spPr>
                              <a:xfrm>
                                <a:off x="1475656" y="1340768"/>
                                <a:ext cx="1296144" cy="999604"/>
                              </a:xfrm>
                              <a:prstGeom prst="round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smtClean="0">
                                      <a:solidFill>
                                        <a:srgbClr val="002060"/>
                                      </a:solidFill>
                                    </a:rPr>
                                    <a:t>97.65% </a:t>
                                  </a:r>
                                  <a:r>
                                    <a:rPr lang="en-GB" sz="800" dirty="0" smtClean="0">
                                      <a:solidFill>
                                        <a:srgbClr val="002060"/>
                                      </a:solidFill>
                                    </a:rPr>
                                    <a:t>of Ambulance arrivals were assessed within 60 minutes against a target of </a:t>
                                  </a:r>
                                </a:p>
                                <a:p>
                                  <a:pPr algn="ctr" fontAlgn="auto">
                                    <a:spcBef>
                                      <a:spcPts val="0"/>
                                    </a:spcBef>
                                    <a:spcAft>
                                      <a:spcPts val="0"/>
                                    </a:spcAft>
                                    <a:defRPr/>
                                  </a:pPr>
                                  <a:r>
                                    <a:rPr lang="en-GB" sz="800" dirty="0" smtClean="0">
                                      <a:solidFill>
                                        <a:srgbClr val="002060"/>
                                      </a:solidFill>
                                    </a:rPr>
                                    <a:t> 95%</a:t>
                                  </a:r>
                                  <a:endParaRPr lang="en-GB" sz="8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Chevron 18"/>
                              <a:cNvSpPr/>
                            </a:nvSpPr>
                            <a:spPr>
                              <a:xfrm>
                                <a:off x="2928938" y="2571750"/>
                                <a:ext cx="255587"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320" name="TextBox 20"/>
                              <a:cNvSpPr txBox="1">
                                <a:spLocks noChangeArrowheads="1"/>
                              </a:cNvSpPr>
                            </a:nvSpPr>
                            <a:spPr bwMode="auto">
                              <a:xfrm>
                                <a:off x="3286125" y="857250"/>
                                <a:ext cx="1285875" cy="2460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a:latin typeface="Calibri" pitchFamily="34" charset="0"/>
                                    </a:rPr>
                                    <a:t>Time to treatment</a:t>
                                  </a:r>
                                </a:p>
                              </a:txBody>
                              <a:useSpRect/>
                            </a:txSp>
                          </a:sp>
                          <a:sp>
                            <a:nvSpPr>
                              <a:cNvPr id="23" name="Rounded Rectangle 22"/>
                              <a:cNvSpPr/>
                            </a:nvSpPr>
                            <a:spPr>
                              <a:xfrm>
                                <a:off x="3286125" y="1143000"/>
                                <a:ext cx="1285875" cy="2502024"/>
                              </a:xfrm>
                              <a:prstGeom prst="round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a:solidFill>
                                        <a:srgbClr val="002060"/>
                                      </a:solidFill>
                                    </a:rPr>
                                    <a:t>On average, patients </a:t>
                                  </a:r>
                                  <a:r>
                                    <a:rPr lang="en-GB" sz="800" dirty="0" smtClean="0">
                                      <a:solidFill>
                                        <a:srgbClr val="002060"/>
                                      </a:solidFill>
                                    </a:rPr>
                                    <a:t>stayed </a:t>
                                  </a:r>
                                  <a:r>
                                    <a:rPr lang="en-GB" sz="800" dirty="0" smtClean="0">
                                      <a:solidFill>
                                        <a:srgbClr val="002060"/>
                                      </a:solidFill>
                                    </a:rPr>
                                    <a:t>54</a:t>
                                  </a:r>
                                  <a:r>
                                    <a:rPr lang="en-GB" sz="800" dirty="0" smtClean="0">
                                      <a:solidFill>
                                        <a:srgbClr val="002060"/>
                                      </a:solidFill>
                                    </a:rPr>
                                    <a:t> </a:t>
                                  </a:r>
                                  <a:r>
                                    <a:rPr lang="en-GB" sz="800" dirty="0" smtClean="0">
                                      <a:solidFill>
                                        <a:srgbClr val="002060"/>
                                      </a:solidFill>
                                    </a:rPr>
                                    <a:t>minutes </a:t>
                                  </a:r>
                                  <a:r>
                                    <a:rPr lang="en-GB" sz="800" dirty="0">
                                      <a:solidFill>
                                        <a:srgbClr val="002060"/>
                                      </a:solidFill>
                                    </a:rPr>
                                    <a:t>from arrival to </a:t>
                                  </a:r>
                                  <a:r>
                                    <a:rPr lang="en-GB" sz="800" dirty="0" smtClean="0">
                                      <a:solidFill>
                                        <a:srgbClr val="002060"/>
                                      </a:solidFill>
                                    </a:rPr>
                                    <a:t>treatment against a target of 60 minutes</a:t>
                                  </a:r>
                                  <a:endParaRPr lang="en-GB" sz="800" dirty="0">
                                    <a:solidFill>
                                      <a:srgbClr val="002060"/>
                                    </a:solidFill>
                                  </a:endParaRPr>
                                </a:p>
                                <a:p>
                                  <a:pPr algn="ctr" fontAlgn="auto">
                                    <a:spcBef>
                                      <a:spcPts val="0"/>
                                    </a:spcBef>
                                    <a:spcAft>
                                      <a:spcPts val="0"/>
                                    </a:spcAft>
                                    <a:defRPr/>
                                  </a:pPr>
                                  <a:endParaRPr lang="en-GB" sz="8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322" name="TextBox 25"/>
                              <a:cNvSpPr txBox="1">
                                <a:spLocks noChangeArrowheads="1"/>
                              </a:cNvSpPr>
                            </a:nvSpPr>
                            <a:spPr bwMode="auto">
                              <a:xfrm>
                                <a:off x="5220072" y="692696"/>
                                <a:ext cx="3060700" cy="2460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dirty="0">
                                      <a:latin typeface="Calibri" pitchFamily="34" charset="0"/>
                                    </a:rPr>
                                    <a:t>Total time in A&amp;E</a:t>
                                  </a:r>
                                </a:p>
                              </a:txBody>
                              <a:useSpRect/>
                            </a:txSp>
                          </a:sp>
                          <a:sp>
                            <a:nvSpPr>
                              <a:cNvPr id="27" name="Rounded Rectangle 26"/>
                              <a:cNvSpPr/>
                            </a:nvSpPr>
                            <a:spPr>
                              <a:xfrm>
                                <a:off x="4929188" y="1052736"/>
                                <a:ext cx="3703637" cy="927596"/>
                              </a:xfrm>
                              <a:prstGeom prst="round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a:solidFill>
                                        <a:srgbClr val="002060"/>
                                      </a:solidFill>
                                    </a:rPr>
                                    <a:t>On average, patients </a:t>
                                  </a:r>
                                  <a:r>
                                    <a:rPr lang="en-GB" sz="800" dirty="0" smtClean="0">
                                      <a:solidFill>
                                        <a:srgbClr val="002060"/>
                                      </a:solidFill>
                                    </a:rPr>
                                    <a:t>stayed </a:t>
                                  </a:r>
                                  <a:r>
                                    <a:rPr lang="en-GB" sz="800" dirty="0">
                                      <a:solidFill>
                                        <a:srgbClr val="002060"/>
                                      </a:solidFill>
                                    </a:rPr>
                                    <a:t>2</a:t>
                                  </a:r>
                                  <a:r>
                                    <a:rPr lang="en-GB" sz="800" dirty="0" smtClean="0">
                                      <a:solidFill>
                                        <a:srgbClr val="002060"/>
                                      </a:solidFill>
                                    </a:rPr>
                                    <a:t> hours </a:t>
                                  </a:r>
                                  <a:r>
                                    <a:rPr lang="en-GB" sz="800" dirty="0">
                                      <a:solidFill>
                                        <a:srgbClr val="002060"/>
                                      </a:solidFill>
                                    </a:rPr>
                                    <a:t>and </a:t>
                                  </a:r>
                                  <a:r>
                                    <a:rPr lang="en-GB" sz="800" dirty="0" smtClean="0">
                                      <a:solidFill>
                                        <a:srgbClr val="002060"/>
                                      </a:solidFill>
                                    </a:rPr>
                                    <a:t>41</a:t>
                                  </a:r>
                                  <a:r>
                                    <a:rPr lang="en-GB" sz="800" dirty="0" smtClean="0">
                                      <a:solidFill>
                                        <a:srgbClr val="002060"/>
                                      </a:solidFill>
                                    </a:rPr>
                                    <a:t> </a:t>
                                  </a:r>
                                  <a:r>
                                    <a:rPr lang="en-GB" sz="800" dirty="0" smtClean="0">
                                      <a:solidFill>
                                        <a:srgbClr val="002060"/>
                                      </a:solidFill>
                                    </a:rPr>
                                    <a:t>minutes </a:t>
                                  </a:r>
                                  <a:r>
                                    <a:rPr lang="en-GB" sz="800" dirty="0">
                                      <a:solidFill>
                                        <a:srgbClr val="002060"/>
                                      </a:solidFill>
                                    </a:rPr>
                                    <a:t>from arrival to departure</a:t>
                                  </a:r>
                                </a:p>
                                <a:p>
                                  <a:pPr algn="ctr" fontAlgn="auto">
                                    <a:spcBef>
                                      <a:spcPts val="0"/>
                                    </a:spcBef>
                                    <a:spcAft>
                                      <a:spcPts val="0"/>
                                    </a:spcAft>
                                    <a:defRPr/>
                                  </a:pPr>
                                  <a:endParaRPr lang="en-GB" sz="800" dirty="0">
                                    <a:solidFill>
                                      <a:srgbClr val="002060"/>
                                    </a:solidFill>
                                  </a:endParaRPr>
                                </a:p>
                                <a:p>
                                  <a:pPr algn="ctr" fontAlgn="auto">
                                    <a:spcBef>
                                      <a:spcPts val="0"/>
                                    </a:spcBef>
                                    <a:spcAft>
                                      <a:spcPts val="0"/>
                                    </a:spcAft>
                                    <a:defRPr/>
                                  </a:pPr>
                                  <a:r>
                                    <a:rPr lang="en-GB" sz="800" dirty="0" smtClean="0">
                                      <a:solidFill>
                                        <a:srgbClr val="002060"/>
                                      </a:solidFill>
                                    </a:rPr>
                                    <a:t>90.51% </a:t>
                                  </a:r>
                                  <a:r>
                                    <a:rPr lang="en-GB" sz="800" dirty="0">
                                      <a:solidFill>
                                        <a:srgbClr val="002060"/>
                                      </a:solidFill>
                                    </a:rPr>
                                    <a:t>of patients </a:t>
                                  </a:r>
                                  <a:r>
                                    <a:rPr lang="en-GB" sz="800" dirty="0" smtClean="0">
                                      <a:solidFill>
                                        <a:srgbClr val="002060"/>
                                      </a:solidFill>
                                    </a:rPr>
                                    <a:t>stayed less than 4 hours</a:t>
                                  </a:r>
                                  <a:endParaRPr lang="en-GB" sz="800" dirty="0">
                                    <a:solidFill>
                                      <a:srgbClr val="002060"/>
                                    </a:solidFill>
                                  </a:endParaRPr>
                                </a:p>
                                <a:p>
                                  <a:pPr algn="ctr" fontAlgn="auto">
                                    <a:spcBef>
                                      <a:spcPts val="0"/>
                                    </a:spcBef>
                                    <a:spcAft>
                                      <a:spcPts val="0"/>
                                    </a:spcAft>
                                    <a:defRPr/>
                                  </a:pPr>
                                  <a:endParaRPr lang="en-GB" sz="800" dirty="0">
                                    <a:solidFill>
                                      <a:srgbClr val="002060"/>
                                    </a:solidFill>
                                  </a:endParaRPr>
                                </a:p>
                                <a:p>
                                  <a:pPr algn="ctr" fontAlgn="auto">
                                    <a:spcBef>
                                      <a:spcPts val="0"/>
                                    </a:spcBef>
                                    <a:spcAft>
                                      <a:spcPts val="0"/>
                                    </a:spcAft>
                                    <a:defRPr/>
                                  </a:pPr>
                                  <a:r>
                                    <a:rPr lang="en-GB" sz="800" dirty="0" smtClean="0">
                                      <a:solidFill>
                                        <a:srgbClr val="002060"/>
                                      </a:solidFill>
                                    </a:rPr>
                                    <a:t>414</a:t>
                                  </a:r>
                                  <a:r>
                                    <a:rPr lang="en-GB" sz="800" dirty="0" smtClean="0">
                                      <a:solidFill>
                                        <a:srgbClr val="002060"/>
                                      </a:solidFill>
                                    </a:rPr>
                                    <a:t> </a:t>
                                  </a:r>
                                  <a:r>
                                    <a:rPr lang="en-GB" sz="800" dirty="0" smtClean="0">
                                      <a:solidFill>
                                        <a:srgbClr val="002060"/>
                                      </a:solidFill>
                                    </a:rPr>
                                    <a:t>patients out of  </a:t>
                                  </a:r>
                                  <a:r>
                                    <a:rPr lang="en-GB" sz="800" dirty="0" smtClean="0">
                                      <a:solidFill>
                                        <a:srgbClr val="002060"/>
                                      </a:solidFill>
                                    </a:rPr>
                                    <a:t>4,364  </a:t>
                                  </a:r>
                                  <a:r>
                                    <a:rPr lang="en-GB" sz="800" dirty="0" smtClean="0">
                                      <a:solidFill>
                                        <a:srgbClr val="002060"/>
                                      </a:solidFill>
                                    </a:rPr>
                                    <a:t>ED patients </a:t>
                                  </a:r>
                                  <a:r>
                                    <a:rPr lang="en-GB" sz="800" dirty="0" smtClean="0">
                                      <a:solidFill>
                                        <a:srgbClr val="002060"/>
                                      </a:solidFill>
                                    </a:rPr>
                                    <a:t>waited </a:t>
                                  </a:r>
                                  <a:r>
                                    <a:rPr lang="en-GB" sz="800" dirty="0" smtClean="0">
                                      <a:solidFill>
                                        <a:srgbClr val="002060"/>
                                      </a:solidFill>
                                    </a:rPr>
                                    <a:t>longer than 4 hours</a:t>
                                  </a:r>
                                  <a:endParaRPr lang="en-GB" sz="8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ounded Rectangle 27"/>
                              <a:cNvSpPr/>
                            </a:nvSpPr>
                            <a:spPr>
                              <a:xfrm>
                                <a:off x="6804248" y="2412380"/>
                                <a:ext cx="1889893" cy="1440160"/>
                              </a:xfrm>
                              <a:prstGeom prst="round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a:solidFill>
                                        <a:srgbClr val="002060"/>
                                      </a:solidFill>
                                    </a:rPr>
                                    <a:t>The average </a:t>
                                  </a:r>
                                  <a:r>
                                    <a:rPr lang="en-GB" sz="800" dirty="0" smtClean="0">
                                      <a:solidFill>
                                        <a:srgbClr val="002060"/>
                                      </a:solidFill>
                                    </a:rPr>
                                    <a:t>stay </a:t>
                                  </a:r>
                                  <a:r>
                                    <a:rPr lang="en-GB" sz="800" dirty="0">
                                      <a:solidFill>
                                        <a:srgbClr val="002060"/>
                                      </a:solidFill>
                                    </a:rPr>
                                    <a:t>for patients not requiring admission to hospital was </a:t>
                                  </a:r>
                                  <a:r>
                                    <a:rPr lang="en-GB" sz="800" dirty="0" smtClean="0">
                                      <a:solidFill>
                                        <a:srgbClr val="002060"/>
                                      </a:solidFill>
                                    </a:rPr>
                                    <a:t> 2 hours and </a:t>
                                  </a:r>
                                  <a:r>
                                    <a:rPr lang="en-GB" sz="800" dirty="0" smtClean="0">
                                      <a:solidFill>
                                        <a:srgbClr val="002060"/>
                                      </a:solidFill>
                                    </a:rPr>
                                    <a:t>15 </a:t>
                                  </a:r>
                                  <a:r>
                                    <a:rPr lang="en-GB" sz="800" dirty="0" smtClean="0">
                                      <a:solidFill>
                                        <a:srgbClr val="002060"/>
                                      </a:solidFill>
                                    </a:rPr>
                                    <a:t>minutes</a:t>
                                  </a:r>
                                  <a:endParaRPr lang="en-GB" sz="800" dirty="0">
                                    <a:solidFill>
                                      <a:srgbClr val="002060"/>
                                    </a:solidFill>
                                  </a:endParaRPr>
                                </a:p>
                                <a:p>
                                  <a:pPr algn="ctr" fontAlgn="auto">
                                    <a:spcBef>
                                      <a:spcPts val="0"/>
                                    </a:spcBef>
                                    <a:spcAft>
                                      <a:spcPts val="0"/>
                                    </a:spcAft>
                                    <a:defRPr/>
                                  </a:pPr>
                                  <a:endParaRPr lang="en-GB" sz="600" dirty="0">
                                    <a:solidFill>
                                      <a:srgbClr val="002060"/>
                                    </a:solidFill>
                                  </a:endParaRPr>
                                </a:p>
                                <a:p>
                                  <a:pPr algn="ctr" fontAlgn="auto">
                                    <a:spcBef>
                                      <a:spcPts val="0"/>
                                    </a:spcBef>
                                    <a:spcAft>
                                      <a:spcPts val="0"/>
                                    </a:spcAft>
                                    <a:defRPr/>
                                  </a:pPr>
                                  <a:r>
                                    <a:rPr lang="en-GB" sz="800" dirty="0">
                                      <a:solidFill>
                                        <a:srgbClr val="002060"/>
                                      </a:solidFill>
                                    </a:rPr>
                                    <a:t>95% </a:t>
                                  </a:r>
                                  <a:r>
                                    <a:rPr lang="en-GB" sz="800" dirty="0" smtClean="0">
                                      <a:solidFill>
                                        <a:srgbClr val="002060"/>
                                      </a:solidFill>
                                    </a:rPr>
                                    <a:t>stayed less </a:t>
                                  </a:r>
                                  <a:r>
                                    <a:rPr lang="en-GB" sz="800" dirty="0">
                                      <a:solidFill>
                                        <a:srgbClr val="002060"/>
                                      </a:solidFill>
                                    </a:rPr>
                                    <a:t>than </a:t>
                                  </a:r>
                                  <a:r>
                                    <a:rPr lang="en-GB" sz="800" dirty="0" smtClean="0">
                                      <a:solidFill>
                                        <a:srgbClr val="002060"/>
                                      </a:solidFill>
                                    </a:rPr>
                                    <a:t>12hours </a:t>
                                  </a:r>
                                  <a:r>
                                    <a:rPr lang="en-GB" sz="800" dirty="0" smtClean="0">
                                      <a:solidFill>
                                        <a:srgbClr val="002060"/>
                                      </a:solidFill>
                                    </a:rPr>
                                    <a:t>and </a:t>
                                  </a:r>
                                  <a:r>
                                    <a:rPr lang="en-GB" sz="800" dirty="0" smtClean="0">
                                      <a:solidFill>
                                        <a:srgbClr val="002060"/>
                                      </a:solidFill>
                                    </a:rPr>
                                    <a:t>44 </a:t>
                                  </a:r>
                                  <a:r>
                                    <a:rPr lang="en-GB" sz="800" dirty="0" smtClean="0">
                                      <a:solidFill>
                                        <a:srgbClr val="002060"/>
                                      </a:solidFill>
                                    </a:rPr>
                                    <a:t>minutes against a target of 4 hours</a:t>
                                  </a:r>
                                </a:p>
                                <a:p>
                                  <a:pPr algn="ctr" fontAlgn="auto">
                                    <a:spcBef>
                                      <a:spcPts val="0"/>
                                    </a:spcBef>
                                    <a:spcAft>
                                      <a:spcPts val="0"/>
                                    </a:spcAft>
                                    <a:defRPr/>
                                  </a:pPr>
                                  <a:endParaRPr lang="en-GB" sz="6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ounded Rectangle 28"/>
                              <a:cNvSpPr/>
                            </a:nvSpPr>
                            <a:spPr>
                              <a:xfrm>
                                <a:off x="4860032" y="2412380"/>
                                <a:ext cx="1872208" cy="1440160"/>
                              </a:xfrm>
                              <a:prstGeom prst="roundRect">
                                <a:avLst/>
                              </a:prstGeom>
                              <a:solidFill>
                                <a:schemeClr val="bg1"/>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a:solidFill>
                                        <a:srgbClr val="002060"/>
                                      </a:solidFill>
                                    </a:rPr>
                                    <a:t>The average wait for patients who needed to be admitted to hospital was </a:t>
                                  </a:r>
                                  <a:r>
                                    <a:rPr lang="en-GB" sz="800" dirty="0" smtClean="0">
                                      <a:solidFill>
                                        <a:srgbClr val="002060"/>
                                      </a:solidFill>
                                    </a:rPr>
                                    <a:t>3 </a:t>
                                  </a:r>
                                  <a:r>
                                    <a:rPr lang="en-GB" sz="800" dirty="0">
                                      <a:solidFill>
                                        <a:srgbClr val="002060"/>
                                      </a:solidFill>
                                    </a:rPr>
                                    <a:t>hours and </a:t>
                                  </a:r>
                                  <a:r>
                                    <a:rPr lang="en-GB" sz="800" dirty="0" smtClean="0">
                                      <a:solidFill>
                                        <a:srgbClr val="002060"/>
                                      </a:solidFill>
                                    </a:rPr>
                                    <a:t>54minutes</a:t>
                                  </a:r>
                                  <a:endParaRPr lang="en-GB" sz="800" dirty="0">
                                    <a:solidFill>
                                      <a:srgbClr val="002060"/>
                                    </a:solidFill>
                                  </a:endParaRPr>
                                </a:p>
                                <a:p>
                                  <a:pPr algn="ctr" fontAlgn="auto">
                                    <a:spcBef>
                                      <a:spcPts val="0"/>
                                    </a:spcBef>
                                    <a:spcAft>
                                      <a:spcPts val="0"/>
                                    </a:spcAft>
                                    <a:defRPr/>
                                  </a:pPr>
                                  <a:endParaRPr lang="en-GB" sz="600" dirty="0">
                                    <a:solidFill>
                                      <a:srgbClr val="002060"/>
                                    </a:solidFill>
                                  </a:endParaRPr>
                                </a:p>
                                <a:p>
                                  <a:pPr algn="ctr" fontAlgn="auto">
                                    <a:spcBef>
                                      <a:spcPts val="0"/>
                                    </a:spcBef>
                                    <a:spcAft>
                                      <a:spcPts val="0"/>
                                    </a:spcAft>
                                    <a:defRPr/>
                                  </a:pPr>
                                  <a:r>
                                    <a:rPr lang="en-GB" sz="800" dirty="0">
                                      <a:solidFill>
                                        <a:srgbClr val="002060"/>
                                      </a:solidFill>
                                    </a:rPr>
                                    <a:t>95% waited less than </a:t>
                                  </a:r>
                                  <a:r>
                                    <a:rPr lang="en-GB" sz="800" dirty="0" smtClean="0">
                                      <a:solidFill>
                                        <a:srgbClr val="002060"/>
                                      </a:solidFill>
                                    </a:rPr>
                                    <a:t> </a:t>
                                  </a:r>
                                  <a:r>
                                    <a:rPr lang="en-GB" sz="800" dirty="0" smtClean="0">
                                      <a:solidFill>
                                        <a:srgbClr val="002060"/>
                                      </a:solidFill>
                                    </a:rPr>
                                    <a:t>12 </a:t>
                                  </a:r>
                                  <a:r>
                                    <a:rPr lang="en-GB" sz="800" dirty="0" smtClean="0">
                                      <a:solidFill>
                                        <a:srgbClr val="002060"/>
                                      </a:solidFill>
                                    </a:rPr>
                                    <a:t>hours </a:t>
                                  </a:r>
                                  <a:r>
                                    <a:rPr lang="en-GB" sz="800" dirty="0" smtClean="0">
                                      <a:solidFill>
                                        <a:srgbClr val="002060"/>
                                      </a:solidFill>
                                    </a:rPr>
                                    <a:t>15</a:t>
                                  </a:r>
                                  <a:r>
                                    <a:rPr lang="en-GB" sz="800" dirty="0" smtClean="0">
                                      <a:solidFill>
                                        <a:srgbClr val="002060"/>
                                      </a:solidFill>
                                    </a:rPr>
                                    <a:t> </a:t>
                                  </a:r>
                                  <a:r>
                                    <a:rPr lang="en-GB" sz="800" dirty="0" smtClean="0">
                                      <a:solidFill>
                                        <a:srgbClr val="002060"/>
                                      </a:solidFill>
                                    </a:rPr>
                                    <a:t>minutes </a:t>
                                  </a:r>
                                  <a:r>
                                    <a:rPr lang="en-GB" sz="800" dirty="0" smtClean="0">
                                      <a:solidFill>
                                        <a:srgbClr val="002060"/>
                                      </a:solidFill>
                                    </a:rPr>
                                    <a:t>against a target of 4 </a:t>
                                  </a:r>
                                  <a:r>
                                    <a:rPr lang="en-GB" sz="800" dirty="0" smtClean="0">
                                      <a:solidFill>
                                        <a:srgbClr val="002060"/>
                                      </a:solidFill>
                                    </a:rPr>
                                    <a:t>hours</a:t>
                                  </a:r>
                                  <a:endParaRPr lang="en-GB" sz="8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Chevron 29"/>
                              <a:cNvSpPr/>
                            </a:nvSpPr>
                            <a:spPr>
                              <a:xfrm>
                                <a:off x="1115616" y="1556792"/>
                                <a:ext cx="255588"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Chevron 30"/>
                              <a:cNvSpPr/>
                            </a:nvSpPr>
                            <a:spPr>
                              <a:xfrm>
                                <a:off x="1143000" y="2571750"/>
                                <a:ext cx="255588"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Chevron 31"/>
                              <a:cNvSpPr/>
                            </a:nvSpPr>
                            <a:spPr>
                              <a:xfrm>
                                <a:off x="1500188" y="2571750"/>
                                <a:ext cx="255587"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Chevron 32"/>
                              <a:cNvSpPr/>
                            </a:nvSpPr>
                            <a:spPr>
                              <a:xfrm>
                                <a:off x="1857375" y="2571750"/>
                                <a:ext cx="255588"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Chevron 33"/>
                              <a:cNvSpPr/>
                            </a:nvSpPr>
                            <a:spPr>
                              <a:xfrm>
                                <a:off x="2214563" y="2571750"/>
                                <a:ext cx="255587"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Chevron 34"/>
                              <a:cNvSpPr/>
                            </a:nvSpPr>
                            <a:spPr>
                              <a:xfrm>
                                <a:off x="2571750" y="2571750"/>
                                <a:ext cx="255588" cy="357188"/>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Chevron 36"/>
                              <a:cNvSpPr/>
                            </a:nvSpPr>
                            <a:spPr>
                              <a:xfrm>
                                <a:off x="2906713" y="1525588"/>
                                <a:ext cx="255587" cy="357187"/>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333" name="TextBox 37"/>
                              <a:cNvSpPr txBox="1">
                                <a:spLocks noChangeArrowheads="1"/>
                              </a:cNvSpPr>
                            </a:nvSpPr>
                            <a:spPr bwMode="auto">
                              <a:xfrm>
                                <a:off x="1475656" y="3348484"/>
                                <a:ext cx="1285875"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dirty="0">
                                      <a:latin typeface="Calibri" pitchFamily="34" charset="0"/>
                                    </a:rPr>
                                    <a:t>Left without being seen</a:t>
                                  </a:r>
                                </a:p>
                              </a:txBody>
                              <a:useSpRect/>
                            </a:txSp>
                          </a:sp>
                          <a:sp>
                            <a:nvSpPr>
                              <a:cNvPr id="39" name="Rounded Rectangle 38"/>
                              <a:cNvSpPr/>
                            </a:nvSpPr>
                            <a:spPr>
                              <a:xfrm>
                                <a:off x="3491880" y="4428604"/>
                                <a:ext cx="1440160" cy="864096"/>
                              </a:xfrm>
                              <a:prstGeom prst="roundRect">
                                <a:avLst/>
                              </a:prstGeom>
                              <a:solidFill>
                                <a:schemeClr val="bg1"/>
                              </a:solidFill>
                              <a:ln>
                                <a:solidFill>
                                  <a:schemeClr val="bg1">
                                    <a:lumMod val="6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smtClean="0">
                                      <a:solidFill>
                                        <a:srgbClr val="002060"/>
                                      </a:solidFill>
                                    </a:rPr>
                                    <a:t>7.77</a:t>
                                  </a:r>
                                  <a:r>
                                    <a:rPr lang="en-GB" sz="800" dirty="0" smtClean="0">
                                      <a:solidFill>
                                        <a:srgbClr val="002060"/>
                                      </a:solidFill>
                                    </a:rPr>
                                    <a:t>% </a:t>
                                  </a:r>
                                  <a:r>
                                    <a:rPr lang="en-GB" sz="800" dirty="0">
                                      <a:solidFill>
                                        <a:srgbClr val="002060"/>
                                      </a:solidFill>
                                    </a:rPr>
                                    <a:t>of patients re-attended A&amp;E within </a:t>
                                  </a:r>
                                  <a:r>
                                    <a:rPr lang="en-GB" sz="800" dirty="0" smtClean="0">
                                      <a:solidFill>
                                        <a:srgbClr val="002060"/>
                                      </a:solidFill>
                                    </a:rPr>
                                    <a:t>7 </a:t>
                                  </a:r>
                                  <a:r>
                                    <a:rPr lang="en-GB" sz="800" dirty="0">
                                      <a:solidFill>
                                        <a:srgbClr val="002060"/>
                                      </a:solidFill>
                                    </a:rPr>
                                    <a:t>days of their original </a:t>
                                  </a:r>
                                  <a:r>
                                    <a:rPr lang="en-GB" sz="800" dirty="0" smtClean="0">
                                      <a:solidFill>
                                        <a:srgbClr val="002060"/>
                                      </a:solidFill>
                                    </a:rPr>
                                    <a:t>attendance against a target of 5%</a:t>
                                  </a:r>
                                  <a:endParaRPr lang="en-GB" sz="8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335" name="TextBox 39"/>
                              <a:cNvSpPr txBox="1">
                                <a:spLocks noChangeArrowheads="1"/>
                              </a:cNvSpPr>
                            </a:nvSpPr>
                            <a:spPr bwMode="auto">
                              <a:xfrm>
                                <a:off x="5220072" y="836712"/>
                                <a:ext cx="3060700" cy="2460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i="1" dirty="0">
                                      <a:latin typeface="Calibri" pitchFamily="34" charset="0"/>
                                    </a:rPr>
                                    <a:t>For all patients</a:t>
                                  </a:r>
                                </a:p>
                              </a:txBody>
                              <a:useSpRect/>
                            </a:txSp>
                          </a:sp>
                          <a:sp>
                            <a:nvSpPr>
                              <a:cNvPr id="13336" name="TextBox 40"/>
                              <a:cNvSpPr txBox="1">
                                <a:spLocks noChangeArrowheads="1"/>
                              </a:cNvSpPr>
                            </a:nvSpPr>
                            <a:spPr bwMode="auto">
                              <a:xfrm>
                                <a:off x="4857750" y="2000250"/>
                                <a:ext cx="1857375"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i="1">
                                      <a:latin typeface="Calibri" pitchFamily="34" charset="0"/>
                                    </a:rPr>
                                    <a:t>For patients admitted to hospital</a:t>
                                  </a:r>
                                </a:p>
                              </a:txBody>
                              <a:useSpRect/>
                            </a:txSp>
                          </a:sp>
                          <a:sp>
                            <a:nvSpPr>
                              <a:cNvPr id="13337" name="TextBox 41"/>
                              <a:cNvSpPr txBox="1">
                                <a:spLocks noChangeArrowheads="1"/>
                              </a:cNvSpPr>
                            </a:nvSpPr>
                            <a:spPr bwMode="auto">
                              <a:xfrm>
                                <a:off x="6715125" y="2000250"/>
                                <a:ext cx="1857375"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i="1">
                                      <a:latin typeface="Calibri" pitchFamily="34" charset="0"/>
                                    </a:rPr>
                                    <a:t>For patients not admitted to hospital</a:t>
                                  </a:r>
                                </a:p>
                              </a:txBody>
                              <a:useSpRect/>
                            </a:txSp>
                          </a:sp>
                          <a:sp>
                            <a:nvSpPr>
                              <a:cNvPr id="43" name="Chevron 42"/>
                              <a:cNvSpPr/>
                            </a:nvSpPr>
                            <a:spPr>
                              <a:xfrm rot="5400000">
                                <a:off x="2000250" y="3000376"/>
                                <a:ext cx="249237" cy="392112"/>
                              </a:xfrm>
                              <a:prstGeom prst="chevron">
                                <a:avLst/>
                              </a:prstGeom>
                              <a:solidFill>
                                <a:schemeClr val="bg1">
                                  <a:lumMod val="85000"/>
                                </a:schemeClr>
                              </a:solidFill>
                              <a:ln>
                                <a:solidFill>
                                  <a:schemeClr val="bg1">
                                    <a:lumMod val="50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ounded Rectangle 43"/>
                              <a:cNvSpPr/>
                            </a:nvSpPr>
                            <a:spPr>
                              <a:xfrm>
                                <a:off x="1285875" y="3714750"/>
                                <a:ext cx="1785938" cy="713854"/>
                              </a:xfrm>
                              <a:prstGeom prst="roundRect">
                                <a:avLst/>
                              </a:prstGeom>
                              <a:solidFill>
                                <a:schemeClr val="bg1"/>
                              </a:solidFill>
                              <a:ln>
                                <a:solidFill>
                                  <a:schemeClr val="bg1">
                                    <a:lumMod val="6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800" dirty="0" smtClean="0">
                                      <a:solidFill>
                                        <a:srgbClr val="002060"/>
                                      </a:solidFill>
                                    </a:rPr>
                                    <a:t>3.20</a:t>
                                  </a:r>
                                  <a:r>
                                    <a:rPr lang="en-GB" sz="800" dirty="0" smtClean="0">
                                      <a:solidFill>
                                        <a:srgbClr val="002060"/>
                                      </a:solidFill>
                                    </a:rPr>
                                    <a:t>% </a:t>
                                  </a:r>
                                  <a:r>
                                    <a:rPr lang="en-GB" sz="800" dirty="0">
                                      <a:solidFill>
                                        <a:srgbClr val="002060"/>
                                      </a:solidFill>
                                    </a:rPr>
                                    <a:t>of attendances this month left the department without being </a:t>
                                  </a:r>
                                  <a:r>
                                    <a:rPr lang="en-GB" sz="800" dirty="0" smtClean="0">
                                      <a:solidFill>
                                        <a:srgbClr val="002060"/>
                                      </a:solidFill>
                                    </a:rPr>
                                    <a:t>seen against a target of 5%</a:t>
                                  </a:r>
                                  <a:endParaRPr lang="en-GB" sz="800" dirty="0">
                                    <a:solidFill>
                                      <a:srgbClr val="00206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Chevron 45"/>
                              <a:cNvSpPr/>
                            </a:nvSpPr>
                            <a:spPr>
                              <a:xfrm rot="5400000">
                                <a:off x="6587653" y="4149651"/>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Chevron 46"/>
                              <a:cNvSpPr/>
                            </a:nvSpPr>
                            <a:spPr>
                              <a:xfrm rot="7489106">
                                <a:off x="6400801" y="4454525"/>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Chevron 47"/>
                              <a:cNvSpPr/>
                            </a:nvSpPr>
                            <a:spPr>
                              <a:xfrm rot="10800000">
                                <a:off x="6000750"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Chevron 48"/>
                              <a:cNvSpPr/>
                            </a:nvSpPr>
                            <a:spPr>
                              <a:xfrm rot="10800000">
                                <a:off x="5643563"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Chevron 49"/>
                              <a:cNvSpPr/>
                            </a:nvSpPr>
                            <a:spPr>
                              <a:xfrm rot="10800000">
                                <a:off x="5286375"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Chevron 50"/>
                              <a:cNvSpPr/>
                            </a:nvSpPr>
                            <a:spPr>
                              <a:xfrm rot="10800000">
                                <a:off x="4929188"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Chevron 51"/>
                              <a:cNvSpPr/>
                            </a:nvSpPr>
                            <a:spPr>
                              <a:xfrm rot="10800000">
                                <a:off x="3143250"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Chevron 52"/>
                              <a:cNvSpPr/>
                            </a:nvSpPr>
                            <a:spPr>
                              <a:xfrm rot="10800000">
                                <a:off x="2786063"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Chevron 53"/>
                              <a:cNvSpPr/>
                            </a:nvSpPr>
                            <a:spPr>
                              <a:xfrm rot="10800000">
                                <a:off x="2428875"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Chevron 54"/>
                              <a:cNvSpPr/>
                            </a:nvSpPr>
                            <a:spPr>
                              <a:xfrm rot="10800000">
                                <a:off x="2071688"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Chevron 55"/>
                              <a:cNvSpPr/>
                            </a:nvSpPr>
                            <a:spPr>
                              <a:xfrm rot="10800000">
                                <a:off x="1714500"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Chevron 56"/>
                              <a:cNvSpPr/>
                            </a:nvSpPr>
                            <a:spPr>
                              <a:xfrm rot="10800000">
                                <a:off x="1357313"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Chevron 57"/>
                              <a:cNvSpPr/>
                            </a:nvSpPr>
                            <a:spPr>
                              <a:xfrm rot="10800000">
                                <a:off x="1000125" y="464343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Chevron 58"/>
                              <a:cNvSpPr/>
                            </a:nvSpPr>
                            <a:spPr>
                              <a:xfrm rot="13068703">
                                <a:off x="601663" y="4471988"/>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Chevron 59"/>
                              <a:cNvSpPr/>
                            </a:nvSpPr>
                            <a:spPr>
                              <a:xfrm rot="16200000">
                                <a:off x="500063" y="4071937"/>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Chevron 60"/>
                              <a:cNvSpPr/>
                            </a:nvSpPr>
                            <a:spPr>
                              <a:xfrm rot="16200000">
                                <a:off x="500063" y="3714750"/>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357" name="TextBox 61"/>
                              <a:cNvSpPr txBox="1">
                                <a:spLocks noChangeArrowheads="1"/>
                              </a:cNvSpPr>
                            </a:nvSpPr>
                            <a:spPr bwMode="auto">
                              <a:xfrm>
                                <a:off x="3563888" y="3996556"/>
                                <a:ext cx="1285875"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GB" sz="1000" b="1" dirty="0">
                                      <a:latin typeface="Calibri" pitchFamily="34" charset="0"/>
                                    </a:rPr>
                                    <a:t>Unplanned re-attendances</a:t>
                                  </a:r>
                                </a:p>
                              </a:txBody>
                              <a:useSpRect/>
                            </a:txSp>
                          </a:sp>
                          <a:cxnSp>
                            <a:nvCxnSpPr>
                              <a:cNvPr id="64" name="Straight Connector 63"/>
                              <a:cNvCxnSpPr/>
                            </a:nvCxnSpPr>
                            <a:spPr>
                              <a:xfrm>
                                <a:off x="357188" y="5357813"/>
                                <a:ext cx="8215312" cy="0"/>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66" name="Rounded Rectangle 65"/>
                              <a:cNvSpPr/>
                            </a:nvSpPr>
                            <a:spPr>
                              <a:xfrm>
                                <a:off x="395536" y="5500688"/>
                                <a:ext cx="8208912" cy="1214437"/>
                              </a:xfrm>
                              <a:prstGeom prst="roundRect">
                                <a:avLst/>
                              </a:prstGeom>
                              <a:solidFill>
                                <a:schemeClr val="bg1"/>
                              </a:solidFill>
                            </a:spPr>
                            <a:txSp>
                              <a:txBody>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en-GB" sz="800" b="1" dirty="0">
                                      <a:solidFill>
                                        <a:srgbClr val="002060"/>
                                      </a:solidFill>
                                    </a:rPr>
                                    <a:t>Overall assessment of performance</a:t>
                                  </a:r>
                                  <a:r>
                                    <a:rPr lang="en-GB" sz="800" b="1" dirty="0" smtClean="0">
                                      <a:solidFill>
                                        <a:srgbClr val="002060"/>
                                      </a:solidFill>
                                    </a:rPr>
                                    <a:t>:</a:t>
                                  </a:r>
                                  <a:endParaRPr lang="en-GB" sz="8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Oval 70"/>
                              <a:cNvSpPr/>
                            </a:nvSpPr>
                            <a:spPr>
                              <a:xfrm>
                                <a:off x="6391250" y="3564508"/>
                                <a:ext cx="142875" cy="142875"/>
                              </a:xfrm>
                              <a:prstGeom prst="ellipse">
                                <a:avLst/>
                              </a:prstGeom>
                              <a:solidFill>
                                <a:srgbClr val="FF0000"/>
                              </a:solidFill>
                              <a:ln>
                                <a:solidFill>
                                  <a:schemeClr val="bg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Oval 71"/>
                              <a:cNvSpPr/>
                            </a:nvSpPr>
                            <a:spPr>
                              <a:xfrm>
                                <a:off x="8388424" y="3564508"/>
                                <a:ext cx="142875" cy="142875"/>
                              </a:xfrm>
                              <a:prstGeom prst="ellipse">
                                <a:avLst/>
                              </a:prstGeom>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p>
                              </a:txBody>
                              <a:useSpRect/>
                            </a:txSp>
                            <a:style>
                              <a:lnRef idx="3">
                                <a:schemeClr val="lt1"/>
                              </a:lnRef>
                              <a:fillRef idx="1">
                                <a:schemeClr val="accent2"/>
                              </a:fillRef>
                              <a:effectRef idx="1">
                                <a:schemeClr val="accent2"/>
                              </a:effectRef>
                              <a:fontRef idx="minor">
                                <a:schemeClr val="lt1"/>
                              </a:fontRef>
                            </a:style>
                          </a:sp>
                          <a:sp>
                            <a:nvSpPr>
                              <a:cNvPr id="73" name="Oval 72"/>
                              <a:cNvSpPr/>
                            </a:nvSpPr>
                            <a:spPr>
                              <a:xfrm>
                                <a:off x="2843808" y="4212580"/>
                                <a:ext cx="142875" cy="142875"/>
                              </a:xfrm>
                              <a:prstGeom prst="ellipse">
                                <a:avLst/>
                              </a:prstGeom>
                              <a:solidFill>
                                <a:srgbClr val="92D050"/>
                              </a:solidFill>
                              <a:ln>
                                <a:solidFill>
                                  <a:schemeClr val="bg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3" name="Straight Connector 62"/>
                              <a:cNvCxnSpPr/>
                            </a:nvCxnSpPr>
                            <a:spPr>
                              <a:xfrm>
                                <a:off x="428625" y="642938"/>
                                <a:ext cx="8215313" cy="0"/>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75" name="Chevron 74"/>
                              <a:cNvSpPr/>
                            </a:nvSpPr>
                            <a:spPr>
                              <a:xfrm rot="16200000">
                                <a:off x="500063" y="3357562"/>
                                <a:ext cx="285750" cy="428625"/>
                              </a:xfrm>
                              <a:prstGeom prst="chevron">
                                <a:avLst/>
                              </a:prstGeom>
                              <a:solidFill>
                                <a:schemeClr val="bg1">
                                  <a:lumMod val="95000"/>
                                </a:schemeClr>
                              </a:solidFill>
                              <a:ln>
                                <a:solidFill>
                                  <a:schemeClr val="bg1">
                                    <a:lumMod val="8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Oval 75"/>
                              <a:cNvSpPr/>
                            </a:nvSpPr>
                            <a:spPr>
                              <a:xfrm flipH="1">
                                <a:off x="8460432" y="1620292"/>
                                <a:ext cx="45719" cy="72008"/>
                              </a:xfrm>
                              <a:prstGeom prst="ellipse">
                                <a:avLst/>
                              </a:prstGeom>
                              <a:ln/>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en-GB"/>
                                </a:p>
                              </a:txBody>
                              <a:useSpRect/>
                            </a:txSp>
                            <a:style>
                              <a:lnRef idx="2">
                                <a:schemeClr val="accent2"/>
                              </a:lnRef>
                              <a:fillRef idx="1">
                                <a:schemeClr val="lt1"/>
                              </a:fillRef>
                              <a:effectRef idx="0">
                                <a:schemeClr val="accent2"/>
                              </a:effectRef>
                              <a:fontRef idx="minor">
                                <a:schemeClr val="dk1"/>
                              </a:fontRef>
                            </a:style>
                          </a:sp>
                          <a:sp>
                            <a:nvSpPr>
                              <a:cNvPr id="77" name="Oval 76"/>
                              <a:cNvSpPr/>
                            </a:nvSpPr>
                            <a:spPr>
                              <a:xfrm>
                                <a:off x="4283968" y="3420492"/>
                                <a:ext cx="142875" cy="142875"/>
                              </a:xfrm>
                              <a:prstGeom prst="ellipse">
                                <a:avLst/>
                              </a:prstGeom>
                              <a:solidFill>
                                <a:srgbClr val="92D050"/>
                              </a:solidFill>
                              <a:ln>
                                <a:solidFill>
                                  <a:schemeClr val="bg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Oval 78"/>
                              <a:cNvSpPr/>
                            </a:nvSpPr>
                            <a:spPr>
                              <a:xfrm>
                                <a:off x="4644008" y="5076676"/>
                                <a:ext cx="142875" cy="142875"/>
                              </a:xfrm>
                              <a:prstGeom prst="ellipse">
                                <a:avLst/>
                              </a:prstGeom>
                              <a:solidFill>
                                <a:srgbClr val="FF0000"/>
                              </a:solidFill>
                              <a:ln>
                                <a:solidFill>
                                  <a:schemeClr val="bg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Chevron 80"/>
                              <a:cNvSpPr/>
                            </a:nvSpPr>
                            <a:spPr>
                              <a:xfrm>
                                <a:off x="4643438" y="2071688"/>
                                <a:ext cx="255587" cy="357187"/>
                              </a:xfrm>
                              <a:prstGeom prst="chevron">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69" name="Oval 68"/>
                          <a:cNvSpPr/>
                        </a:nvSpPr>
                        <a:spPr>
                          <a:xfrm>
                            <a:off x="2555776" y="2060848"/>
                            <a:ext cx="142875" cy="142875"/>
                          </a:xfrm>
                          <a:prstGeom prst="ellipse">
                            <a:avLst/>
                          </a:prstGeom>
                          <a:solidFill>
                            <a:srgbClr val="92D050"/>
                          </a:solidFill>
                          <a:ln>
                            <a:solidFill>
                              <a:schemeClr val="bg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82" name="Rounded Rectangle 81"/>
                        <a:cNvSpPr/>
                      </a:nvSpPr>
                      <a:spPr>
                        <a:xfrm>
                          <a:off x="417761" y="5437188"/>
                          <a:ext cx="8208912" cy="1214437"/>
                        </a:xfrm>
                        <a:prstGeom prst="roundRect">
                          <a:avLst/>
                        </a:prstGeom>
                        <a:solidFill>
                          <a:schemeClr val="bg1"/>
                        </a:solidFill>
                      </a:spPr>
                      <a:txSp>
                        <a:txBody>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en-GB" sz="800" b="1" dirty="0">
                                <a:solidFill>
                                  <a:srgbClr val="002060"/>
                                </a:solidFill>
                              </a:rPr>
                              <a:t>Overall assessment of performance</a:t>
                            </a:r>
                            <a:r>
                              <a:rPr lang="en-GB" sz="800" b="1" dirty="0" smtClean="0">
                                <a:solidFill>
                                  <a:srgbClr val="002060"/>
                                </a:solidFill>
                              </a:rPr>
                              <a:t>:</a:t>
                            </a:r>
                          </a:p>
                          <a:p>
                            <a:pPr fontAlgn="auto">
                              <a:spcBef>
                                <a:spcPts val="0"/>
                              </a:spcBef>
                              <a:spcAft>
                                <a:spcPts val="0"/>
                              </a:spcAft>
                              <a:defRPr/>
                            </a:pPr>
                            <a:r>
                              <a:rPr lang="en-GB" sz="800" dirty="0" smtClean="0">
                                <a:solidFill>
                                  <a:srgbClr val="002060"/>
                                </a:solidFill>
                              </a:rPr>
                              <a:t>The performance of the Emergency Department in referring patients within 4 hours was </a:t>
                            </a:r>
                            <a:r>
                              <a:rPr lang="en-GB" sz="800" dirty="0" smtClean="0">
                                <a:solidFill>
                                  <a:srgbClr val="002060"/>
                                </a:solidFill>
                              </a:rPr>
                              <a:t>not achieved </a:t>
                            </a:r>
                            <a:r>
                              <a:rPr lang="en-GB" sz="800" dirty="0" smtClean="0">
                                <a:solidFill>
                                  <a:srgbClr val="002060"/>
                                </a:solidFill>
                              </a:rPr>
                              <a:t>in </a:t>
                            </a:r>
                            <a:r>
                              <a:rPr lang="en-GB" sz="800" dirty="0" smtClean="0">
                                <a:solidFill>
                                  <a:srgbClr val="002060"/>
                                </a:solidFill>
                              </a:rPr>
                              <a:t>March </a:t>
                            </a:r>
                            <a:r>
                              <a:rPr lang="en-GB" sz="800" dirty="0" smtClean="0">
                                <a:solidFill>
                                  <a:srgbClr val="002060"/>
                                </a:solidFill>
                              </a:rPr>
                              <a:t>with a percentage of </a:t>
                            </a:r>
                            <a:r>
                              <a:rPr lang="en-GB" sz="800" dirty="0" smtClean="0">
                                <a:solidFill>
                                  <a:srgbClr val="002060"/>
                                </a:solidFill>
                              </a:rPr>
                              <a:t>90.51%.</a:t>
                            </a:r>
                            <a:endParaRPr lang="en-GB" sz="800" dirty="0" smtClean="0">
                              <a:solidFill>
                                <a:srgbClr val="002060"/>
                              </a:solidFill>
                            </a:endParaRPr>
                          </a:p>
                          <a:p>
                            <a:pPr fontAlgn="auto">
                              <a:spcBef>
                                <a:spcPts val="0"/>
                              </a:spcBef>
                              <a:spcAft>
                                <a:spcPts val="0"/>
                              </a:spcAft>
                              <a:defRPr/>
                            </a:pPr>
                            <a:endParaRPr lang="en-GB" sz="800" dirty="0" smtClean="0">
                              <a:solidFill>
                                <a:srgbClr val="002060"/>
                              </a:solidFill>
                            </a:endParaRPr>
                          </a:p>
                          <a:p>
                            <a:pPr fontAlgn="auto">
                              <a:spcBef>
                                <a:spcPts val="0"/>
                              </a:spcBef>
                              <a:spcAft>
                                <a:spcPts val="0"/>
                              </a:spcAft>
                              <a:defRPr/>
                            </a:pPr>
                            <a:r>
                              <a:rPr lang="en-GB" sz="800" dirty="0" smtClean="0">
                                <a:solidFill>
                                  <a:srgbClr val="002060"/>
                                </a:solidFill>
                              </a:rPr>
                              <a:t>The Emergency Department had </a:t>
                            </a:r>
                            <a:r>
                              <a:rPr lang="en-GB" sz="800" dirty="0" smtClean="0">
                                <a:solidFill>
                                  <a:srgbClr val="002060"/>
                                </a:solidFill>
                              </a:rPr>
                              <a:t>4,364 </a:t>
                            </a:r>
                            <a:r>
                              <a:rPr lang="en-GB" sz="800" dirty="0" smtClean="0">
                                <a:solidFill>
                                  <a:srgbClr val="002060"/>
                                </a:solidFill>
                              </a:rPr>
                              <a:t>Type 1 attendances in </a:t>
                            </a:r>
                            <a:r>
                              <a:rPr lang="en-GB" sz="800" dirty="0" smtClean="0">
                                <a:solidFill>
                                  <a:srgbClr val="002060"/>
                                </a:solidFill>
                              </a:rPr>
                              <a:t>February</a:t>
                            </a:r>
                            <a:r>
                              <a:rPr lang="en-GB" sz="800" dirty="0" smtClean="0">
                                <a:solidFill>
                                  <a:srgbClr val="002060"/>
                                </a:solidFill>
                              </a:rPr>
                              <a:t> </a:t>
                            </a:r>
                            <a:r>
                              <a:rPr lang="en-GB" sz="800" dirty="0" smtClean="0">
                                <a:solidFill>
                                  <a:srgbClr val="002060"/>
                                </a:solidFill>
                              </a:rPr>
                              <a:t>against a contracted plan of </a:t>
                            </a:r>
                            <a:r>
                              <a:rPr lang="en-GB" sz="800" dirty="0" smtClean="0">
                                <a:solidFill>
                                  <a:srgbClr val="002060"/>
                                </a:solidFill>
                              </a:rPr>
                              <a:t>5,018.  </a:t>
                            </a:r>
                            <a:r>
                              <a:rPr lang="en-GB" sz="800" dirty="0" smtClean="0">
                                <a:solidFill>
                                  <a:srgbClr val="002060"/>
                                </a:solidFill>
                              </a:rPr>
                              <a:t>This is a decrease against contract of </a:t>
                            </a:r>
                            <a:r>
                              <a:rPr lang="en-GB" sz="800" dirty="0" smtClean="0">
                                <a:solidFill>
                                  <a:srgbClr val="002060"/>
                                </a:solidFill>
                              </a:rPr>
                              <a:t>13.03</a:t>
                            </a:r>
                            <a:r>
                              <a:rPr lang="en-GB" sz="800" dirty="0" smtClean="0">
                                <a:solidFill>
                                  <a:srgbClr val="002060"/>
                                </a:solidFill>
                              </a:rPr>
                              <a:t>%.</a:t>
                            </a:r>
                            <a:endParaRPr lang="en-GB" sz="800" dirty="0" smtClean="0">
                              <a:solidFill>
                                <a:srgbClr val="002060"/>
                              </a:solidFill>
                            </a:endParaRPr>
                          </a:p>
                          <a:p>
                            <a:pPr fontAlgn="auto">
                              <a:spcBef>
                                <a:spcPts val="0"/>
                              </a:spcBef>
                              <a:spcAft>
                                <a:spcPts val="0"/>
                              </a:spcAft>
                              <a:defRPr/>
                            </a:pPr>
                            <a:endParaRPr lang="en-GB" sz="800" dirty="0" smtClean="0">
                              <a:solidFill>
                                <a:srgbClr val="002060"/>
                              </a:solidFill>
                            </a:endParaRPr>
                          </a:p>
                          <a:p>
                            <a:pPr fontAlgn="auto">
                              <a:spcBef>
                                <a:spcPts val="0"/>
                              </a:spcBef>
                              <a:spcAft>
                                <a:spcPts val="0"/>
                              </a:spcAft>
                              <a:defRPr/>
                            </a:pPr>
                            <a:r>
                              <a:rPr lang="en-GB" sz="800" dirty="0" smtClean="0">
                                <a:solidFill>
                                  <a:srgbClr val="002060"/>
                                </a:solidFill>
                              </a:rPr>
                              <a:t>The acuity of patients remains high with a conversion rate from attendance to admission of </a:t>
                            </a:r>
                            <a:r>
                              <a:rPr lang="en-GB" sz="800" dirty="0" smtClean="0">
                                <a:solidFill>
                                  <a:srgbClr val="002060"/>
                                </a:solidFill>
                              </a:rPr>
                              <a:t>20.04</a:t>
                            </a:r>
                            <a:r>
                              <a:rPr lang="en-GB" sz="800" dirty="0" smtClean="0">
                                <a:solidFill>
                                  <a:srgbClr val="002060"/>
                                </a:solidFill>
                              </a:rPr>
                              <a:t>% </a:t>
                            </a:r>
                            <a:r>
                              <a:rPr lang="en-GB" sz="800" dirty="0" smtClean="0">
                                <a:solidFill>
                                  <a:srgbClr val="002060"/>
                                </a:solidFill>
                              </a:rPr>
                              <a:t>in </a:t>
                            </a:r>
                            <a:r>
                              <a:rPr lang="en-GB" sz="800" dirty="0" smtClean="0">
                                <a:solidFill>
                                  <a:srgbClr val="002060"/>
                                </a:solidFill>
                              </a:rPr>
                              <a:t>February</a:t>
                            </a:r>
                            <a:r>
                              <a:rPr lang="en-GB" sz="800" dirty="0" smtClean="0">
                                <a:solidFill>
                                  <a:srgbClr val="002060"/>
                                </a:solidFill>
                              </a:rPr>
                              <a:t>.</a:t>
                            </a:r>
                            <a:endParaRPr lang="en-GB" sz="800" dirty="0" smtClean="0">
                              <a:solidFill>
                                <a:srgbClr val="002060"/>
                              </a:solidFill>
                            </a:endParaRPr>
                          </a:p>
                          <a:p>
                            <a:pPr fontAlgn="auto">
                              <a:spcBef>
                                <a:spcPts val="0"/>
                              </a:spcBef>
                              <a:spcAft>
                                <a:spcPts val="0"/>
                              </a:spcAft>
                              <a:defRPr/>
                            </a:pPr>
                            <a:endParaRPr lang="en-GB" sz="800" dirty="0">
                              <a:solidFill>
                                <a:srgbClr val="002060"/>
                              </a:solidFill>
                            </a:endParaRPr>
                          </a:p>
                          <a:p>
                            <a:pPr fontAlgn="auto">
                              <a:spcBef>
                                <a:spcPts val="0"/>
                              </a:spcBef>
                              <a:spcAft>
                                <a:spcPts val="0"/>
                              </a:spcAft>
                              <a:defRPr/>
                            </a:pPr>
                            <a:endParaRPr lang="en-GB" sz="800" b="1" dirty="0" smtClean="0">
                              <a:solidFill>
                                <a:schemeClr val="tx1"/>
                              </a:solidFill>
                            </a:endParaRPr>
                          </a:p>
                          <a:p>
                            <a:r>
                              <a:rPr lang="en-GB" sz="800" dirty="0" smtClean="0">
                                <a:solidFill>
                                  <a:schemeClr val="tx1"/>
                                </a:solidFill>
                              </a:rPr>
                              <a:t> </a:t>
                            </a:r>
                          </a:p>
                          <a:p>
                            <a:pPr fontAlgn="auto">
                              <a:spcBef>
                                <a:spcPts val="0"/>
                              </a:spcBef>
                              <a:spcAft>
                                <a:spcPts val="0"/>
                              </a:spcAft>
                              <a:defRPr/>
                            </a:pPr>
                            <a:r>
                              <a:rPr lang="en-GB" sz="800" dirty="0" smtClean="0">
                                <a:solidFill>
                                  <a:schemeClr val="tx1"/>
                                </a:solidFill>
                              </a:rPr>
                              <a:t>  </a:t>
                            </a:r>
                          </a:p>
                          <a:p>
                            <a:pPr fontAlgn="auto">
                              <a:spcBef>
                                <a:spcPts val="0"/>
                              </a:spcBef>
                              <a:spcAft>
                                <a:spcPts val="0"/>
                              </a:spcAft>
                              <a:defRPr/>
                            </a:pPr>
                            <a:endParaRPr lang="en-GB" sz="8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A2389" w:rsidRPr="00CD7EE3" w:rsidRDefault="003A2389" w:rsidP="003A2389">
      <w:pPr>
        <w:pStyle w:val="Heading3"/>
        <w:rPr>
          <w:sz w:val="24"/>
        </w:rPr>
      </w:pPr>
      <w:bookmarkStart w:id="27" w:name="_Toc381084880"/>
      <w:r w:rsidRPr="00CD7EE3">
        <w:rPr>
          <w:sz w:val="24"/>
        </w:rPr>
        <w:t>3.5.1 Emergency Department (ED) Performance</w:t>
      </w:r>
      <w:bookmarkEnd w:id="27"/>
    </w:p>
    <w:p w:rsidR="003A2389" w:rsidRDefault="003A2389" w:rsidP="003A2389">
      <w:pPr>
        <w:jc w:val="both"/>
        <w:rPr>
          <w:rFonts w:cs="Arial"/>
          <w:sz w:val="24"/>
        </w:rPr>
      </w:pPr>
      <w:r w:rsidRPr="00CD7EE3">
        <w:rPr>
          <w:rFonts w:cs="Arial"/>
          <w:sz w:val="24"/>
        </w:rPr>
        <w:t xml:space="preserve">The NHS constitution set the national standard wherein 95% of all patients attending NHS Emergency Department’s spend a maximum of four hours in the department before being discharged, referred/transferred to other services or admitted to the hospital and transferred to an inpatient bed.  The target was </w:t>
      </w:r>
      <w:r w:rsidR="00152CF9">
        <w:rPr>
          <w:rFonts w:cs="Arial"/>
          <w:sz w:val="24"/>
        </w:rPr>
        <w:t>not achieved in February (88.24%) or in March (90.51</w:t>
      </w:r>
      <w:r>
        <w:rPr>
          <w:rFonts w:cs="Arial"/>
          <w:sz w:val="24"/>
        </w:rPr>
        <w:t xml:space="preserve">%) as illustrated in </w:t>
      </w:r>
      <w:r>
        <w:rPr>
          <w:rFonts w:cs="Arial"/>
          <w:i/>
          <w:sz w:val="24"/>
        </w:rPr>
        <w:t>Figure 1</w:t>
      </w:r>
      <w:r w:rsidR="006F5C49">
        <w:rPr>
          <w:rFonts w:cs="Arial"/>
          <w:i/>
          <w:sz w:val="24"/>
        </w:rPr>
        <w:t>7</w:t>
      </w:r>
      <w:r w:rsidRPr="00CD7EE3">
        <w:rPr>
          <w:rFonts w:cs="Arial"/>
          <w:sz w:val="24"/>
        </w:rPr>
        <w:t>.</w:t>
      </w:r>
      <w:r>
        <w:rPr>
          <w:rFonts w:cs="Arial"/>
          <w:sz w:val="24"/>
        </w:rPr>
        <w:t xml:space="preserve">  This as a result of two key factors:</w:t>
      </w:r>
    </w:p>
    <w:p w:rsidR="003A2389" w:rsidRPr="000F5895" w:rsidRDefault="003A2389" w:rsidP="003A2389">
      <w:pPr>
        <w:pStyle w:val="ListParagraph"/>
        <w:numPr>
          <w:ilvl w:val="0"/>
          <w:numId w:val="14"/>
        </w:numPr>
        <w:jc w:val="both"/>
        <w:rPr>
          <w:sz w:val="24"/>
        </w:rPr>
      </w:pPr>
      <w:r>
        <w:rPr>
          <w:rFonts w:cs="Arial"/>
          <w:sz w:val="24"/>
        </w:rPr>
        <w:t>Outbreaks of Norovirus and increased length of stays</w:t>
      </w:r>
      <w:r w:rsidR="00152CF9">
        <w:rPr>
          <w:rFonts w:cs="Arial"/>
          <w:sz w:val="24"/>
        </w:rPr>
        <w:t xml:space="preserve"> for patients over 80 years old</w:t>
      </w:r>
      <w:r>
        <w:rPr>
          <w:rFonts w:cs="Arial"/>
          <w:sz w:val="24"/>
        </w:rPr>
        <w:t xml:space="preserve"> causing issues with patient flow </w:t>
      </w:r>
      <w:r w:rsidR="00880C1A">
        <w:rPr>
          <w:rFonts w:cs="Arial"/>
          <w:sz w:val="24"/>
        </w:rPr>
        <w:t>throughout the</w:t>
      </w:r>
      <w:r>
        <w:rPr>
          <w:rFonts w:cs="Arial"/>
          <w:sz w:val="24"/>
        </w:rPr>
        <w:t xml:space="preserve"> Trust.</w:t>
      </w:r>
    </w:p>
    <w:p w:rsidR="003A2389" w:rsidRPr="000F5895" w:rsidRDefault="003A2389" w:rsidP="003A2389">
      <w:pPr>
        <w:pStyle w:val="ListParagraph"/>
        <w:numPr>
          <w:ilvl w:val="0"/>
          <w:numId w:val="14"/>
        </w:numPr>
        <w:jc w:val="both"/>
        <w:rPr>
          <w:sz w:val="24"/>
        </w:rPr>
      </w:pPr>
      <w:r>
        <w:rPr>
          <w:sz w:val="24"/>
        </w:rPr>
        <w:t>Through</w:t>
      </w:r>
      <w:r w:rsidR="00152CF9">
        <w:rPr>
          <w:sz w:val="24"/>
        </w:rPr>
        <w:t>out February and March</w:t>
      </w:r>
      <w:r>
        <w:rPr>
          <w:sz w:val="24"/>
        </w:rPr>
        <w:t xml:space="preserve"> the Trust has been experiencing not only an increase in activity out of hours but a pattern of activity arriving together causing peaks, which put significant pressure on the Emergency Department.  This activity is a mixture of both walk-in patients and ambulance arrivals.     </w:t>
      </w:r>
    </w:p>
    <w:p w:rsidR="003A2389" w:rsidRPr="00C773F5" w:rsidRDefault="006F5C49" w:rsidP="003A2389">
      <w:pPr>
        <w:jc w:val="both"/>
        <w:rPr>
          <w:b/>
        </w:rPr>
      </w:pPr>
      <w:r>
        <w:rPr>
          <w:b/>
        </w:rPr>
        <w:t>Figure 17</w:t>
      </w:r>
      <w:r w:rsidR="003A2389" w:rsidRPr="00C773F5">
        <w:rPr>
          <w:b/>
        </w:rPr>
        <w:t>:</w:t>
      </w:r>
    </w:p>
    <w:p w:rsidR="003A2389" w:rsidRDefault="00152CF9" w:rsidP="003A2389">
      <w:pPr>
        <w:jc w:val="center"/>
        <w:rPr>
          <w:sz w:val="20"/>
        </w:rPr>
      </w:pPr>
      <w:r w:rsidRPr="00152CF9">
        <w:rPr>
          <w:noProof/>
        </w:rPr>
        <w:drawing>
          <wp:inline distT="0" distB="0" distL="0" distR="0">
            <wp:extent cx="5495238" cy="3390476"/>
            <wp:effectExtent l="19050" t="0" r="0" b="0"/>
            <wp:docPr id="5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495238" cy="3390476"/>
                    </a:xfrm>
                    <a:prstGeom prst="rect">
                      <a:avLst/>
                    </a:prstGeom>
                  </pic:spPr>
                </pic:pic>
              </a:graphicData>
            </a:graphic>
          </wp:inline>
        </w:drawing>
      </w:r>
    </w:p>
    <w:p w:rsidR="003A2389" w:rsidRDefault="003A2389" w:rsidP="003A2389">
      <w:pPr>
        <w:jc w:val="both"/>
        <w:rPr>
          <w:rFonts w:cs="Arial"/>
          <w:b/>
          <w:sz w:val="24"/>
        </w:rPr>
      </w:pPr>
    </w:p>
    <w:p w:rsidR="003A2389" w:rsidRDefault="003A2389" w:rsidP="003A2389">
      <w:pPr>
        <w:jc w:val="both"/>
        <w:rPr>
          <w:rFonts w:cs="Arial"/>
          <w:b/>
          <w:sz w:val="24"/>
        </w:rPr>
      </w:pPr>
    </w:p>
    <w:p w:rsidR="008D2C29" w:rsidRDefault="008D2C29" w:rsidP="003A2389">
      <w:pPr>
        <w:jc w:val="both"/>
        <w:rPr>
          <w:rFonts w:cs="Arial"/>
          <w:b/>
          <w:sz w:val="24"/>
        </w:rPr>
      </w:pPr>
    </w:p>
    <w:p w:rsidR="003A2389" w:rsidRPr="00FF2E65" w:rsidRDefault="003A2389" w:rsidP="003A2389">
      <w:pPr>
        <w:jc w:val="both"/>
        <w:rPr>
          <w:rFonts w:cs="Arial"/>
          <w:b/>
          <w:sz w:val="24"/>
        </w:rPr>
      </w:pPr>
      <w:r w:rsidRPr="00FF2E65">
        <w:rPr>
          <w:rFonts w:cs="Arial"/>
          <w:b/>
          <w:sz w:val="24"/>
        </w:rPr>
        <w:t>Trust Action:</w:t>
      </w:r>
    </w:p>
    <w:p w:rsidR="0056122A" w:rsidRDefault="009D3D94" w:rsidP="0056122A">
      <w:pPr>
        <w:pStyle w:val="ListParagraph"/>
        <w:numPr>
          <w:ilvl w:val="0"/>
          <w:numId w:val="15"/>
        </w:numPr>
        <w:jc w:val="both"/>
        <w:rPr>
          <w:rFonts w:cs="Arial"/>
          <w:sz w:val="24"/>
        </w:rPr>
      </w:pPr>
      <w:r>
        <w:rPr>
          <w:rFonts w:cs="Arial"/>
          <w:sz w:val="24"/>
        </w:rPr>
        <w:t>A</w:t>
      </w:r>
      <w:r w:rsidR="003A2389">
        <w:rPr>
          <w:rFonts w:cs="Arial"/>
          <w:sz w:val="24"/>
        </w:rPr>
        <w:t xml:space="preserve"> detailed review of </w:t>
      </w:r>
      <w:r w:rsidR="003A2389" w:rsidRPr="00FF2E65">
        <w:rPr>
          <w:rFonts w:cs="Arial"/>
          <w:sz w:val="24"/>
        </w:rPr>
        <w:t xml:space="preserve">internal and external </w:t>
      </w:r>
      <w:r w:rsidR="003A2389">
        <w:rPr>
          <w:rFonts w:cs="Arial"/>
          <w:sz w:val="24"/>
        </w:rPr>
        <w:t xml:space="preserve">performance and activity data </w:t>
      </w:r>
      <w:r>
        <w:rPr>
          <w:rFonts w:cs="Arial"/>
          <w:sz w:val="24"/>
        </w:rPr>
        <w:t xml:space="preserve">has been </w:t>
      </w:r>
      <w:r w:rsidR="002E14FA">
        <w:rPr>
          <w:rFonts w:cs="Arial"/>
          <w:sz w:val="24"/>
        </w:rPr>
        <w:t>completed</w:t>
      </w:r>
      <w:r>
        <w:rPr>
          <w:rFonts w:cs="Arial"/>
          <w:sz w:val="24"/>
        </w:rPr>
        <w:t xml:space="preserve"> </w:t>
      </w:r>
      <w:r w:rsidR="003A2389">
        <w:rPr>
          <w:rFonts w:cs="Arial"/>
          <w:sz w:val="24"/>
        </w:rPr>
        <w:t>to understand the causes behind the sudden drop in performance</w:t>
      </w:r>
      <w:r>
        <w:rPr>
          <w:rFonts w:cs="Arial"/>
          <w:sz w:val="24"/>
        </w:rPr>
        <w:t>, this</w:t>
      </w:r>
      <w:r w:rsidR="003A2389">
        <w:rPr>
          <w:rFonts w:cs="Arial"/>
          <w:sz w:val="24"/>
        </w:rPr>
        <w:t xml:space="preserve"> has been shared with key staff to support the development and implementation of </w:t>
      </w:r>
      <w:r>
        <w:rPr>
          <w:rFonts w:cs="Arial"/>
          <w:sz w:val="24"/>
        </w:rPr>
        <w:t xml:space="preserve">an </w:t>
      </w:r>
      <w:r w:rsidR="003A2389">
        <w:rPr>
          <w:rFonts w:cs="Arial"/>
          <w:sz w:val="24"/>
        </w:rPr>
        <w:t>action</w:t>
      </w:r>
      <w:r>
        <w:rPr>
          <w:rFonts w:cs="Arial"/>
          <w:sz w:val="24"/>
        </w:rPr>
        <w:t xml:space="preserve"> plan.  </w:t>
      </w:r>
      <w:r w:rsidR="003A2389">
        <w:rPr>
          <w:rFonts w:cs="Arial"/>
          <w:sz w:val="24"/>
        </w:rPr>
        <w:t xml:space="preserve"> </w:t>
      </w:r>
    </w:p>
    <w:p w:rsidR="0056122A" w:rsidRDefault="0056122A" w:rsidP="0056122A">
      <w:pPr>
        <w:pStyle w:val="ListParagraph"/>
        <w:jc w:val="both"/>
        <w:rPr>
          <w:rFonts w:cs="Arial"/>
          <w:sz w:val="24"/>
        </w:rPr>
      </w:pPr>
    </w:p>
    <w:p w:rsidR="0056122A" w:rsidRPr="0056122A" w:rsidRDefault="0056122A" w:rsidP="0056122A">
      <w:pPr>
        <w:pStyle w:val="ListParagraph"/>
        <w:numPr>
          <w:ilvl w:val="0"/>
          <w:numId w:val="15"/>
        </w:numPr>
        <w:jc w:val="both"/>
        <w:rPr>
          <w:rFonts w:cs="Arial"/>
          <w:sz w:val="24"/>
        </w:rPr>
      </w:pPr>
      <w:r>
        <w:rPr>
          <w:rFonts w:cs="Arial"/>
          <w:sz w:val="24"/>
        </w:rPr>
        <w:t>Transformation event planned for week commencing 06</w:t>
      </w:r>
      <w:r w:rsidRPr="0056122A">
        <w:rPr>
          <w:rFonts w:cs="Arial"/>
          <w:sz w:val="24"/>
          <w:vertAlign w:val="superscript"/>
        </w:rPr>
        <w:t>th</w:t>
      </w:r>
      <w:r>
        <w:rPr>
          <w:rFonts w:cs="Arial"/>
          <w:sz w:val="24"/>
        </w:rPr>
        <w:t xml:space="preserve"> May 2015 – “Bouncing Back to Green”; a focus on patient flow and unblocking bottlenecks by the whole Trust – introduction of Ward Liaison Officers as part of the week.</w:t>
      </w:r>
    </w:p>
    <w:p w:rsidR="003A2389" w:rsidRDefault="003A2389" w:rsidP="003A2389">
      <w:pPr>
        <w:pStyle w:val="ListParagraph"/>
        <w:jc w:val="both"/>
        <w:rPr>
          <w:rFonts w:cs="Arial"/>
          <w:sz w:val="24"/>
        </w:rPr>
      </w:pPr>
    </w:p>
    <w:p w:rsidR="003A2389" w:rsidRPr="00F1145A" w:rsidRDefault="009D3D94" w:rsidP="003A2389">
      <w:pPr>
        <w:pStyle w:val="ListParagraph"/>
        <w:numPr>
          <w:ilvl w:val="0"/>
          <w:numId w:val="15"/>
        </w:numPr>
        <w:jc w:val="both"/>
        <w:rPr>
          <w:rFonts w:cs="Arial"/>
          <w:sz w:val="24"/>
        </w:rPr>
      </w:pPr>
      <w:r>
        <w:rPr>
          <w:rFonts w:cs="Arial"/>
          <w:sz w:val="24"/>
        </w:rPr>
        <w:t>D</w:t>
      </w:r>
      <w:r w:rsidR="003A2389" w:rsidRPr="00F1145A">
        <w:rPr>
          <w:rFonts w:cs="Arial"/>
          <w:sz w:val="24"/>
        </w:rPr>
        <w:t xml:space="preserve">aily </w:t>
      </w:r>
      <w:r>
        <w:rPr>
          <w:rFonts w:cs="Arial"/>
          <w:sz w:val="24"/>
        </w:rPr>
        <w:t xml:space="preserve">North Somerset System Escalation </w:t>
      </w:r>
      <w:r w:rsidR="003A2389" w:rsidRPr="00F1145A">
        <w:rPr>
          <w:rFonts w:cs="Arial"/>
          <w:sz w:val="24"/>
        </w:rPr>
        <w:t xml:space="preserve">calls to ensure that performance across the health and social care system is reviewed in detail to ensure all capacity is maximised to manage patients the most effective and caring manner.  </w:t>
      </w:r>
    </w:p>
    <w:p w:rsidR="003A2389" w:rsidRPr="00F1145A" w:rsidRDefault="003A2389" w:rsidP="003A2389">
      <w:pPr>
        <w:pStyle w:val="ListParagraph"/>
        <w:jc w:val="both"/>
        <w:rPr>
          <w:rFonts w:cs="Arial"/>
          <w:sz w:val="24"/>
        </w:rPr>
      </w:pPr>
    </w:p>
    <w:p w:rsidR="003A2389" w:rsidRDefault="003A2389" w:rsidP="003A2389">
      <w:pPr>
        <w:pStyle w:val="ListParagraph"/>
        <w:numPr>
          <w:ilvl w:val="0"/>
          <w:numId w:val="15"/>
        </w:numPr>
        <w:jc w:val="both"/>
        <w:rPr>
          <w:rFonts w:cs="Arial"/>
          <w:sz w:val="24"/>
        </w:rPr>
      </w:pPr>
      <w:r>
        <w:rPr>
          <w:rFonts w:cs="Arial"/>
          <w:sz w:val="24"/>
        </w:rPr>
        <w:t>A programme of work within the Emergency Department to bring about closer working with colleagues in Acute Medicine to support the department together with the introduction of Rapid Assessment and Treatment.</w:t>
      </w:r>
    </w:p>
    <w:p w:rsidR="003A2389" w:rsidRPr="0041328E" w:rsidRDefault="003A2389" w:rsidP="003A2389">
      <w:pPr>
        <w:pStyle w:val="ListParagraph"/>
        <w:rPr>
          <w:rFonts w:cs="Arial"/>
          <w:sz w:val="24"/>
        </w:rPr>
      </w:pPr>
    </w:p>
    <w:p w:rsidR="003A2389" w:rsidRDefault="003A2389" w:rsidP="003A2389">
      <w:pPr>
        <w:pStyle w:val="ListParagraph"/>
        <w:numPr>
          <w:ilvl w:val="0"/>
          <w:numId w:val="15"/>
        </w:numPr>
        <w:jc w:val="both"/>
        <w:rPr>
          <w:rFonts w:cs="Arial"/>
          <w:sz w:val="24"/>
        </w:rPr>
      </w:pPr>
      <w:r>
        <w:rPr>
          <w:rFonts w:cs="Arial"/>
          <w:sz w:val="24"/>
        </w:rPr>
        <w:t>Opening hours of the Ambulatory Emergency Centre have been extended to help assist with peaks in demand.</w:t>
      </w:r>
    </w:p>
    <w:p w:rsidR="008D2C29" w:rsidRPr="008D2C29" w:rsidRDefault="008D2C29" w:rsidP="008D2C29">
      <w:pPr>
        <w:pStyle w:val="ListParagraph"/>
        <w:rPr>
          <w:rFonts w:cs="Arial"/>
          <w:sz w:val="24"/>
        </w:rPr>
      </w:pPr>
    </w:p>
    <w:p w:rsidR="008D2C29" w:rsidRDefault="008D2C29" w:rsidP="003A2389">
      <w:pPr>
        <w:pStyle w:val="ListParagraph"/>
        <w:numPr>
          <w:ilvl w:val="0"/>
          <w:numId w:val="15"/>
        </w:numPr>
        <w:jc w:val="both"/>
        <w:rPr>
          <w:rFonts w:cs="Arial"/>
          <w:sz w:val="24"/>
        </w:rPr>
      </w:pPr>
      <w:r>
        <w:rPr>
          <w:rFonts w:cs="Arial"/>
          <w:sz w:val="24"/>
        </w:rPr>
        <w:t>Daily Leadership Briefings take place within the Department daily, this provides an overview of the previous 24 hours, progressing any actions to resolve problems encountered together with a forward view on staffin</w:t>
      </w:r>
      <w:r w:rsidR="009D3D94">
        <w:rPr>
          <w:rFonts w:cs="Arial"/>
          <w:sz w:val="24"/>
        </w:rPr>
        <w:t>g and potential risks.  Participants include medical, nursing and management leads to ensure ownership within the department.</w:t>
      </w:r>
    </w:p>
    <w:p w:rsidR="009D3D94" w:rsidRPr="009D3D94" w:rsidRDefault="009D3D94" w:rsidP="009D3D94">
      <w:pPr>
        <w:pStyle w:val="ListParagraph"/>
        <w:rPr>
          <w:rFonts w:cs="Arial"/>
          <w:sz w:val="24"/>
        </w:rPr>
      </w:pPr>
    </w:p>
    <w:p w:rsidR="009D3D94" w:rsidRPr="008D2C29" w:rsidRDefault="009D3D94" w:rsidP="009D3D94">
      <w:pPr>
        <w:pStyle w:val="ListParagraph"/>
        <w:jc w:val="both"/>
        <w:rPr>
          <w:rFonts w:cs="Arial"/>
          <w:sz w:val="24"/>
        </w:rPr>
      </w:pPr>
      <w:r>
        <w:rPr>
          <w:rFonts w:cs="Arial"/>
          <w:sz w:val="24"/>
        </w:rPr>
        <w:t>A number of quality metrics are reviewed at this meeting, including time to triage and time to assessment to assure of clinical safety of patients within the department at all times of pressure.</w:t>
      </w:r>
    </w:p>
    <w:p w:rsidR="003A2389" w:rsidRPr="006516C3" w:rsidRDefault="003A2389" w:rsidP="003A2389">
      <w:pPr>
        <w:pStyle w:val="NoSpacing"/>
        <w:rPr>
          <w:b/>
          <w:color w:val="21798E" w:themeColor="accent1" w:themeShade="BF"/>
        </w:rPr>
      </w:pPr>
      <w:bookmarkStart w:id="28" w:name="_Toc381084881"/>
      <w:r w:rsidRPr="006516C3">
        <w:rPr>
          <w:b/>
          <w:color w:val="21798E" w:themeColor="accent1" w:themeShade="BF"/>
          <w:sz w:val="26"/>
          <w:szCs w:val="26"/>
        </w:rPr>
        <w:t>3.6 Elective Access</w:t>
      </w:r>
      <w:bookmarkEnd w:id="28"/>
    </w:p>
    <w:p w:rsidR="003A2389" w:rsidRPr="00327EA5" w:rsidRDefault="003A2389" w:rsidP="003A2389">
      <w:pPr>
        <w:jc w:val="both"/>
        <w:rPr>
          <w:rFonts w:cs="Arial"/>
          <w:i/>
          <w:sz w:val="24"/>
          <w:szCs w:val="24"/>
        </w:rPr>
      </w:pPr>
      <w:r w:rsidRPr="00327EA5">
        <w:rPr>
          <w:rFonts w:cs="Arial"/>
          <w:i/>
          <w:sz w:val="24"/>
          <w:szCs w:val="24"/>
        </w:rPr>
        <w:t xml:space="preserve">This section reviews the key elective access targets to understand the effectiveness and the quality of care throughout the elective care pathways. </w:t>
      </w:r>
    </w:p>
    <w:p w:rsidR="003A2389" w:rsidRPr="00327EA5" w:rsidRDefault="003A2389" w:rsidP="003A2389">
      <w:pPr>
        <w:pStyle w:val="Heading3"/>
        <w:rPr>
          <w:sz w:val="24"/>
          <w:szCs w:val="24"/>
        </w:rPr>
      </w:pPr>
      <w:bookmarkStart w:id="29" w:name="_Toc381084882"/>
      <w:r w:rsidRPr="00327EA5">
        <w:rPr>
          <w:sz w:val="24"/>
          <w:szCs w:val="24"/>
        </w:rPr>
        <w:t>3.6.1 Referral to Treatment (RTT)</w:t>
      </w:r>
      <w:bookmarkEnd w:id="29"/>
    </w:p>
    <w:p w:rsidR="003A2389" w:rsidRPr="00327EA5" w:rsidRDefault="003A2389" w:rsidP="003A2389">
      <w:pPr>
        <w:jc w:val="both"/>
        <w:rPr>
          <w:iCs/>
          <w:sz w:val="24"/>
          <w:szCs w:val="24"/>
        </w:rPr>
      </w:pPr>
      <w:r w:rsidRPr="00327EA5">
        <w:rPr>
          <w:iCs/>
          <w:sz w:val="24"/>
          <w:szCs w:val="24"/>
        </w:rPr>
        <w:t xml:space="preserve">The NHS constitution states that patients have the legal right to start their NHS consultant-led treatment within a maximum of 18 weeks from referral, unless the patient chooses to wait longer or it is clinically appropriate to wait longer.  For the months of </w:t>
      </w:r>
      <w:r w:rsidR="006E6096">
        <w:rPr>
          <w:iCs/>
          <w:sz w:val="24"/>
          <w:szCs w:val="24"/>
        </w:rPr>
        <w:t>February and March</w:t>
      </w:r>
      <w:r w:rsidRPr="00327EA5">
        <w:rPr>
          <w:iCs/>
          <w:sz w:val="24"/>
          <w:szCs w:val="24"/>
        </w:rPr>
        <w:t xml:space="preserve"> the following sub-sections will review the Trust performance against the three national 18 week targets. </w:t>
      </w:r>
    </w:p>
    <w:p w:rsidR="003A2389" w:rsidRPr="00327EA5" w:rsidRDefault="003A2389" w:rsidP="003A2389">
      <w:pPr>
        <w:pStyle w:val="Heading3"/>
        <w:rPr>
          <w:sz w:val="24"/>
          <w:szCs w:val="24"/>
        </w:rPr>
      </w:pPr>
      <w:bookmarkStart w:id="30" w:name="_Toc381084883"/>
      <w:r w:rsidRPr="00327EA5">
        <w:rPr>
          <w:sz w:val="24"/>
          <w:szCs w:val="24"/>
        </w:rPr>
        <w:t>3.6.2 Referral to Treatment (RTT) Admitted</w:t>
      </w:r>
      <w:bookmarkEnd w:id="30"/>
    </w:p>
    <w:p w:rsidR="003A2389" w:rsidRPr="00327EA5" w:rsidRDefault="003A2389" w:rsidP="003A2389">
      <w:pPr>
        <w:pStyle w:val="NoSpacing"/>
        <w:jc w:val="both"/>
      </w:pPr>
      <w:r>
        <w:rPr>
          <w:rFonts w:eastAsiaTheme="minorHAnsi" w:cstheme="minorBidi"/>
          <w:iCs/>
          <w:color w:val="auto"/>
          <w:lang w:eastAsia="en-US"/>
        </w:rPr>
        <w:t xml:space="preserve">The Trust </w:t>
      </w:r>
      <w:r w:rsidRPr="00327EA5">
        <w:rPr>
          <w:rFonts w:eastAsiaTheme="minorHAnsi" w:cstheme="minorBidi"/>
          <w:iCs/>
          <w:color w:val="auto"/>
          <w:lang w:eastAsia="en-US"/>
        </w:rPr>
        <w:t>achieve</w:t>
      </w:r>
      <w:r>
        <w:rPr>
          <w:rFonts w:eastAsiaTheme="minorHAnsi" w:cstheme="minorBidi"/>
          <w:iCs/>
          <w:color w:val="auto"/>
          <w:lang w:eastAsia="en-US"/>
        </w:rPr>
        <w:t>d</w:t>
      </w:r>
      <w:r w:rsidRPr="00327EA5">
        <w:rPr>
          <w:rFonts w:eastAsiaTheme="minorHAnsi" w:cstheme="minorBidi"/>
          <w:iCs/>
          <w:color w:val="auto"/>
          <w:lang w:eastAsia="en-US"/>
        </w:rPr>
        <w:t xml:space="preserve"> the admitted</w:t>
      </w:r>
      <w:r>
        <w:rPr>
          <w:rFonts w:eastAsiaTheme="minorHAnsi" w:cstheme="minorBidi"/>
          <w:iCs/>
          <w:color w:val="auto"/>
          <w:lang w:eastAsia="en-US"/>
        </w:rPr>
        <w:t xml:space="preserve"> 18 wee</w:t>
      </w:r>
      <w:r w:rsidR="006E6096">
        <w:rPr>
          <w:rFonts w:eastAsiaTheme="minorHAnsi" w:cstheme="minorBidi"/>
          <w:iCs/>
          <w:color w:val="auto"/>
          <w:lang w:eastAsia="en-US"/>
        </w:rPr>
        <w:t>k target in February and March</w:t>
      </w:r>
      <w:r w:rsidR="0055263E">
        <w:rPr>
          <w:rFonts w:eastAsiaTheme="minorHAnsi" w:cstheme="minorBidi"/>
          <w:iCs/>
          <w:color w:val="auto"/>
          <w:lang w:eastAsia="en-US"/>
        </w:rPr>
        <w:t xml:space="preserve"> at 90.83% and </w:t>
      </w:r>
      <w:r w:rsidR="007A0291">
        <w:rPr>
          <w:rFonts w:eastAsiaTheme="minorHAnsi" w:cstheme="minorBidi"/>
          <w:iCs/>
          <w:color w:val="000000" w:themeColor="text1"/>
          <w:lang w:eastAsia="en-US"/>
        </w:rPr>
        <w:t>90.07</w:t>
      </w:r>
      <w:r>
        <w:rPr>
          <w:rFonts w:eastAsiaTheme="minorHAnsi" w:cstheme="minorBidi"/>
          <w:iCs/>
          <w:color w:val="auto"/>
          <w:lang w:eastAsia="en-US"/>
        </w:rPr>
        <w:t>%.</w:t>
      </w:r>
    </w:p>
    <w:p w:rsidR="003A2389" w:rsidRDefault="003A2389" w:rsidP="003A2389">
      <w:pPr>
        <w:pStyle w:val="NoSpacing"/>
        <w:jc w:val="both"/>
      </w:pPr>
    </w:p>
    <w:p w:rsidR="003A2389" w:rsidRPr="00C773F5" w:rsidRDefault="006F5C49" w:rsidP="003A2389">
      <w:pPr>
        <w:pStyle w:val="NoSpacing"/>
        <w:jc w:val="both"/>
        <w:rPr>
          <w:b/>
          <w:sz w:val="22"/>
          <w:szCs w:val="22"/>
        </w:rPr>
      </w:pPr>
      <w:r>
        <w:rPr>
          <w:b/>
          <w:sz w:val="22"/>
          <w:szCs w:val="22"/>
        </w:rPr>
        <w:t>Figure 18</w:t>
      </w:r>
      <w:r w:rsidR="003A2389" w:rsidRPr="00C773F5">
        <w:rPr>
          <w:b/>
          <w:sz w:val="22"/>
          <w:szCs w:val="22"/>
        </w:rPr>
        <w:t>:</w:t>
      </w:r>
    </w:p>
    <w:p w:rsidR="003A2389" w:rsidRPr="00F1145A" w:rsidRDefault="003A2389" w:rsidP="003A2389">
      <w:pPr>
        <w:pStyle w:val="NoSpacing"/>
        <w:jc w:val="both"/>
        <w:rPr>
          <w:b/>
          <w:sz w:val="14"/>
          <w:highlight w:val="yellow"/>
        </w:rPr>
      </w:pPr>
    </w:p>
    <w:p w:rsidR="003A2389" w:rsidRPr="00F1145A" w:rsidRDefault="007A0291" w:rsidP="003A2389">
      <w:pPr>
        <w:pStyle w:val="NoSpacing"/>
        <w:jc w:val="center"/>
        <w:rPr>
          <w:highlight w:val="yellow"/>
        </w:rPr>
      </w:pPr>
      <w:r w:rsidRPr="007A0291">
        <w:rPr>
          <w:noProof/>
        </w:rPr>
        <w:drawing>
          <wp:inline distT="0" distB="0" distL="0" distR="0">
            <wp:extent cx="5391150" cy="34004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srcRect/>
                    <a:stretch>
                      <a:fillRect/>
                    </a:stretch>
                  </pic:blipFill>
                  <pic:spPr bwMode="auto">
                    <a:xfrm>
                      <a:off x="0" y="0"/>
                      <a:ext cx="5391150" cy="3400425"/>
                    </a:xfrm>
                    <a:prstGeom prst="rect">
                      <a:avLst/>
                    </a:prstGeom>
                    <a:noFill/>
                    <a:ln w="9525">
                      <a:noFill/>
                      <a:miter lim="800000"/>
                      <a:headEnd/>
                      <a:tailEnd/>
                    </a:ln>
                  </pic:spPr>
                </pic:pic>
              </a:graphicData>
            </a:graphic>
          </wp:inline>
        </w:drawing>
      </w:r>
    </w:p>
    <w:p w:rsidR="003A2389" w:rsidRPr="00327EA5" w:rsidRDefault="003A2389" w:rsidP="003A2389">
      <w:pPr>
        <w:spacing w:before="240"/>
        <w:jc w:val="both"/>
        <w:rPr>
          <w:b/>
          <w:sz w:val="24"/>
        </w:rPr>
      </w:pPr>
      <w:r w:rsidRPr="00327EA5">
        <w:rPr>
          <w:b/>
          <w:sz w:val="24"/>
        </w:rPr>
        <w:t>Trust Action:</w:t>
      </w:r>
    </w:p>
    <w:p w:rsidR="003A2389" w:rsidRPr="00454DFE" w:rsidRDefault="003A2389" w:rsidP="003A2389">
      <w:pPr>
        <w:pStyle w:val="NoSpacing"/>
        <w:jc w:val="both"/>
        <w:rPr>
          <w:szCs w:val="22"/>
        </w:rPr>
      </w:pPr>
      <w:r w:rsidRPr="00327EA5">
        <w:rPr>
          <w:szCs w:val="22"/>
        </w:rPr>
        <w:t>The Trust continues to undertake weekly waiting list forward planning meetings where the waiting list for each specialty and the theatre timetab</w:t>
      </w:r>
      <w:r>
        <w:rPr>
          <w:szCs w:val="22"/>
        </w:rPr>
        <w:t>le is reviewed by the</w:t>
      </w:r>
      <w:r w:rsidRPr="00327EA5">
        <w:rPr>
          <w:szCs w:val="22"/>
        </w:rPr>
        <w:t xml:space="preserve"> Di</w:t>
      </w:r>
      <w:r w:rsidR="00EB694B">
        <w:rPr>
          <w:szCs w:val="22"/>
        </w:rPr>
        <w:t>rectorate Manager for Surgery</w:t>
      </w:r>
      <w:r w:rsidRPr="00327EA5">
        <w:rPr>
          <w:szCs w:val="22"/>
        </w:rPr>
        <w:t>, Access Manager and Theatre Manager with the Director of Operations in attendance.</w:t>
      </w:r>
      <w:r>
        <w:rPr>
          <w:szCs w:val="22"/>
        </w:rPr>
        <w:t xml:space="preserve">  </w:t>
      </w:r>
      <w:bookmarkStart w:id="31" w:name="_Toc381084884"/>
      <w:r>
        <w:rPr>
          <w:szCs w:val="22"/>
        </w:rPr>
        <w:t xml:space="preserve">  </w:t>
      </w:r>
    </w:p>
    <w:p w:rsidR="003A2389" w:rsidRPr="00F45957" w:rsidRDefault="003A2389" w:rsidP="003A2389">
      <w:pPr>
        <w:pStyle w:val="Heading3"/>
        <w:rPr>
          <w:sz w:val="24"/>
          <w:szCs w:val="24"/>
        </w:rPr>
      </w:pPr>
      <w:r w:rsidRPr="00F45957">
        <w:rPr>
          <w:sz w:val="24"/>
          <w:szCs w:val="24"/>
        </w:rPr>
        <w:t>3.6.3 Referral to Treatment (RTT) Non-Admitted</w:t>
      </w:r>
      <w:bookmarkEnd w:id="31"/>
    </w:p>
    <w:p w:rsidR="003A2389" w:rsidRPr="00F45957" w:rsidRDefault="003A2389" w:rsidP="003A2389">
      <w:pPr>
        <w:pStyle w:val="NoSpacing"/>
        <w:jc w:val="both"/>
      </w:pPr>
      <w:r w:rsidRPr="00F45957">
        <w:t xml:space="preserve">The Trust continued to achieve the non-admitted target in </w:t>
      </w:r>
      <w:r w:rsidR="00EB694B">
        <w:t>February and March</w:t>
      </w:r>
      <w:r w:rsidRPr="00F45957">
        <w:t xml:space="preserve"> as illustrated in </w:t>
      </w:r>
      <w:r w:rsidR="006F5C49">
        <w:rPr>
          <w:i/>
        </w:rPr>
        <w:t>Figure 19</w:t>
      </w:r>
      <w:r w:rsidRPr="00F45957">
        <w:rPr>
          <w:i/>
        </w:rPr>
        <w:t>.</w:t>
      </w:r>
      <w:r w:rsidRPr="00F45957">
        <w:t xml:space="preserve">  </w:t>
      </w:r>
    </w:p>
    <w:p w:rsidR="003A2389" w:rsidRPr="00F45957" w:rsidRDefault="003A2389" w:rsidP="003A2389">
      <w:pPr>
        <w:pStyle w:val="NoSpacing"/>
        <w:rPr>
          <w:sz w:val="12"/>
        </w:rPr>
      </w:pPr>
    </w:p>
    <w:p w:rsidR="003A2389" w:rsidRPr="00F45957" w:rsidRDefault="006F5C49" w:rsidP="003A2389">
      <w:pPr>
        <w:pStyle w:val="NoSpacing"/>
        <w:jc w:val="both"/>
        <w:rPr>
          <w:b/>
          <w:sz w:val="22"/>
        </w:rPr>
      </w:pPr>
      <w:r>
        <w:rPr>
          <w:b/>
          <w:sz w:val="22"/>
        </w:rPr>
        <w:t>Figure 19</w:t>
      </w:r>
      <w:r w:rsidR="003A2389" w:rsidRPr="00F45957">
        <w:rPr>
          <w:b/>
          <w:sz w:val="22"/>
        </w:rPr>
        <w:t>:</w:t>
      </w:r>
    </w:p>
    <w:p w:rsidR="003A2389" w:rsidRPr="00F1145A" w:rsidRDefault="003A2389" w:rsidP="003A2389">
      <w:pPr>
        <w:pStyle w:val="NoSpacing"/>
        <w:jc w:val="both"/>
        <w:rPr>
          <w:b/>
          <w:sz w:val="8"/>
          <w:highlight w:val="yellow"/>
        </w:rPr>
      </w:pPr>
    </w:p>
    <w:p w:rsidR="003A2389" w:rsidRPr="00F1145A" w:rsidRDefault="007A0291" w:rsidP="003A2389">
      <w:pPr>
        <w:pStyle w:val="NoSpacing"/>
        <w:jc w:val="center"/>
        <w:rPr>
          <w:highlight w:val="yellow"/>
        </w:rPr>
      </w:pPr>
      <w:r w:rsidRPr="007A0291">
        <w:rPr>
          <w:noProof/>
        </w:rPr>
        <w:drawing>
          <wp:inline distT="0" distB="0" distL="0" distR="0">
            <wp:extent cx="5581650" cy="3390900"/>
            <wp:effectExtent l="19050" t="0" r="0" b="0"/>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5581650" cy="3390900"/>
                    </a:xfrm>
                    <a:prstGeom prst="rect">
                      <a:avLst/>
                    </a:prstGeom>
                    <a:noFill/>
                    <a:ln w="9525">
                      <a:noFill/>
                      <a:miter lim="800000"/>
                      <a:headEnd/>
                      <a:tailEnd/>
                    </a:ln>
                  </pic:spPr>
                </pic:pic>
              </a:graphicData>
            </a:graphic>
          </wp:inline>
        </w:drawing>
      </w:r>
    </w:p>
    <w:p w:rsidR="003A2389" w:rsidRPr="00454DFE" w:rsidRDefault="003A2389" w:rsidP="003A2389">
      <w:pPr>
        <w:spacing w:before="240"/>
        <w:jc w:val="both"/>
        <w:rPr>
          <w:b/>
          <w:sz w:val="2"/>
          <w:szCs w:val="24"/>
        </w:rPr>
      </w:pPr>
    </w:p>
    <w:p w:rsidR="003A2389" w:rsidRPr="009F31B6" w:rsidRDefault="003A2389" w:rsidP="003A2389">
      <w:pPr>
        <w:spacing w:before="240"/>
        <w:jc w:val="both"/>
        <w:rPr>
          <w:b/>
          <w:sz w:val="18"/>
          <w:szCs w:val="24"/>
        </w:rPr>
      </w:pPr>
      <w:r w:rsidRPr="00DC136A">
        <w:rPr>
          <w:b/>
          <w:sz w:val="24"/>
          <w:szCs w:val="24"/>
        </w:rPr>
        <w:t>Trust Action:</w:t>
      </w:r>
    </w:p>
    <w:p w:rsidR="003A2389" w:rsidRDefault="003A2389" w:rsidP="003A2389">
      <w:pPr>
        <w:pStyle w:val="NoSpacing"/>
        <w:jc w:val="both"/>
      </w:pPr>
      <w:r w:rsidRPr="00DC136A">
        <w:t>The Trust will continue to undertake waiting list forward planning meetings where the waiting list for each specialty and the theatre timetable is reviewed on a</w:t>
      </w:r>
      <w:r>
        <w:t xml:space="preserve"> weekly basis.</w:t>
      </w:r>
    </w:p>
    <w:p w:rsidR="003A2389" w:rsidRPr="009F31B6" w:rsidRDefault="003A2389" w:rsidP="003A2389">
      <w:pPr>
        <w:pStyle w:val="Heading3"/>
        <w:rPr>
          <w:sz w:val="14"/>
          <w:szCs w:val="24"/>
        </w:rPr>
      </w:pPr>
      <w:bookmarkStart w:id="32" w:name="_Toc381084885"/>
      <w:r w:rsidRPr="00DC136A">
        <w:rPr>
          <w:sz w:val="24"/>
          <w:szCs w:val="24"/>
        </w:rPr>
        <w:t>3.6.4 Referral to Treatment (RTT) Incomplete</w:t>
      </w:r>
      <w:bookmarkEnd w:id="32"/>
    </w:p>
    <w:p w:rsidR="003A2389" w:rsidRPr="009F31B6" w:rsidRDefault="003A2389" w:rsidP="003A2389">
      <w:pPr>
        <w:pStyle w:val="NoSpacing"/>
        <w:jc w:val="both"/>
        <w:rPr>
          <w:sz w:val="20"/>
        </w:rPr>
      </w:pPr>
      <w:r w:rsidRPr="00DC136A">
        <w:t>The 92% target was</w:t>
      </w:r>
      <w:r>
        <w:t xml:space="preserve"> a</w:t>
      </w:r>
      <w:r w:rsidR="007A0291">
        <w:t>chieved for February and March</w:t>
      </w:r>
      <w:r w:rsidRPr="00DC136A">
        <w:t xml:space="preserve"> as illustrated in </w:t>
      </w:r>
      <w:r w:rsidRPr="00DC136A">
        <w:rPr>
          <w:i/>
        </w:rPr>
        <w:t xml:space="preserve">Figure </w:t>
      </w:r>
      <w:r w:rsidR="00913B53">
        <w:rPr>
          <w:i/>
        </w:rPr>
        <w:t>2</w:t>
      </w:r>
      <w:r w:rsidR="006F5C49">
        <w:rPr>
          <w:i/>
        </w:rPr>
        <w:t>0</w:t>
      </w:r>
      <w:r>
        <w:t>. This was expected according to plan.  The Trust has undertaken a rigorous validation of its waiting list supported by a team from the Trust Development Authority, this has driven new algorithms to be put in place to ensure the current validated waiting list position maintains at a manageable level on an ongoing basis.</w:t>
      </w:r>
    </w:p>
    <w:p w:rsidR="003A2389" w:rsidRPr="009F31B6" w:rsidRDefault="003A2389" w:rsidP="003A2389">
      <w:pPr>
        <w:pStyle w:val="NoSpacing"/>
        <w:jc w:val="both"/>
        <w:rPr>
          <w:sz w:val="4"/>
          <w:szCs w:val="22"/>
        </w:rPr>
      </w:pPr>
    </w:p>
    <w:p w:rsidR="009D3D94" w:rsidRDefault="009D3D94" w:rsidP="003A2389">
      <w:pPr>
        <w:pStyle w:val="NoSpacing"/>
        <w:jc w:val="both"/>
        <w:rPr>
          <w:b/>
          <w:sz w:val="22"/>
          <w:szCs w:val="22"/>
        </w:rPr>
      </w:pPr>
    </w:p>
    <w:p w:rsidR="003A2389" w:rsidRDefault="006F5C49" w:rsidP="003A2389">
      <w:pPr>
        <w:pStyle w:val="NoSpacing"/>
        <w:jc w:val="both"/>
        <w:rPr>
          <w:b/>
          <w:sz w:val="22"/>
          <w:szCs w:val="22"/>
        </w:rPr>
      </w:pPr>
      <w:r>
        <w:rPr>
          <w:b/>
          <w:sz w:val="22"/>
          <w:szCs w:val="22"/>
        </w:rPr>
        <w:t>Figure 20</w:t>
      </w:r>
      <w:r w:rsidR="003A2389" w:rsidRPr="00C773F5">
        <w:rPr>
          <w:b/>
          <w:sz w:val="22"/>
          <w:szCs w:val="22"/>
        </w:rPr>
        <w:t>:</w:t>
      </w:r>
    </w:p>
    <w:p w:rsidR="007A0291" w:rsidRPr="00C773F5" w:rsidRDefault="007A0291" w:rsidP="003A2389">
      <w:pPr>
        <w:pStyle w:val="NoSpacing"/>
        <w:jc w:val="both"/>
        <w:rPr>
          <w:b/>
          <w:sz w:val="22"/>
          <w:szCs w:val="22"/>
        </w:rPr>
      </w:pPr>
    </w:p>
    <w:p w:rsidR="003A2389" w:rsidRPr="00F1145A" w:rsidRDefault="007A0291" w:rsidP="003A2389">
      <w:pPr>
        <w:pStyle w:val="NoSpacing"/>
        <w:jc w:val="center"/>
        <w:rPr>
          <w:b/>
          <w:sz w:val="22"/>
          <w:szCs w:val="22"/>
          <w:highlight w:val="yellow"/>
        </w:rPr>
      </w:pPr>
      <w:r w:rsidRPr="007A0291">
        <w:rPr>
          <w:noProof/>
        </w:rPr>
        <w:drawing>
          <wp:inline distT="0" distB="0" distL="0" distR="0">
            <wp:extent cx="5410200" cy="3524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srcRect/>
                    <a:stretch>
                      <a:fillRect/>
                    </a:stretch>
                  </pic:blipFill>
                  <pic:spPr bwMode="auto">
                    <a:xfrm>
                      <a:off x="0" y="0"/>
                      <a:ext cx="5410200" cy="3524250"/>
                    </a:xfrm>
                    <a:prstGeom prst="rect">
                      <a:avLst/>
                    </a:prstGeom>
                    <a:noFill/>
                    <a:ln w="9525">
                      <a:noFill/>
                      <a:miter lim="800000"/>
                      <a:headEnd/>
                      <a:tailEnd/>
                    </a:ln>
                  </pic:spPr>
                </pic:pic>
              </a:graphicData>
            </a:graphic>
          </wp:inline>
        </w:drawing>
      </w:r>
    </w:p>
    <w:p w:rsidR="003A2389" w:rsidRPr="00DC136A" w:rsidRDefault="003A2389" w:rsidP="003A2389">
      <w:pPr>
        <w:spacing w:before="240"/>
        <w:jc w:val="both"/>
        <w:rPr>
          <w:b/>
        </w:rPr>
      </w:pPr>
      <w:r w:rsidRPr="00DC136A">
        <w:rPr>
          <w:b/>
        </w:rPr>
        <w:t>Trust Action:</w:t>
      </w:r>
    </w:p>
    <w:p w:rsidR="003A2389" w:rsidRPr="00DF27D9" w:rsidRDefault="003A2389" w:rsidP="00DF27D9">
      <w:pPr>
        <w:pStyle w:val="NoSpacing"/>
        <w:jc w:val="both"/>
      </w:pPr>
      <w:r w:rsidRPr="00DC136A">
        <w:t xml:space="preserve">The Trust will continue to undertake waiting list forward planning meetings where the waiting list for each specialty and the theatre timetable is reviewed on a </w:t>
      </w:r>
      <w:r>
        <w:t>weekly basis</w:t>
      </w:r>
      <w:r w:rsidRPr="00DC136A">
        <w:t>.</w:t>
      </w:r>
      <w:bookmarkStart w:id="33" w:name="_Toc381084886"/>
      <w:r w:rsidR="00DF27D9">
        <w:t xml:space="preserve"> </w:t>
      </w:r>
    </w:p>
    <w:p w:rsidR="00DF27D9" w:rsidRDefault="00DF27D9" w:rsidP="003A2389">
      <w:pPr>
        <w:rPr>
          <w:b/>
          <w:color w:val="21798E" w:themeColor="accent1" w:themeShade="BF"/>
          <w:sz w:val="24"/>
        </w:rPr>
      </w:pPr>
    </w:p>
    <w:p w:rsidR="009D3D94" w:rsidRDefault="009D3D94">
      <w:pPr>
        <w:rPr>
          <w:b/>
          <w:color w:val="21798E" w:themeColor="accent1" w:themeShade="BF"/>
          <w:sz w:val="24"/>
        </w:rPr>
      </w:pPr>
      <w:r>
        <w:rPr>
          <w:b/>
          <w:color w:val="21798E" w:themeColor="accent1" w:themeShade="BF"/>
          <w:sz w:val="24"/>
        </w:rPr>
        <w:br w:type="page"/>
      </w:r>
    </w:p>
    <w:p w:rsidR="003A2389" w:rsidRPr="009F31B6" w:rsidRDefault="003A2389" w:rsidP="003A2389">
      <w:pPr>
        <w:rPr>
          <w:rFonts w:asciiTheme="majorHAnsi" w:eastAsiaTheme="majorEastAsia" w:hAnsiTheme="majorHAnsi" w:cstheme="majorBidi"/>
          <w:b/>
          <w:bCs/>
          <w:color w:val="21798E" w:themeColor="accent1" w:themeShade="BF"/>
          <w:sz w:val="24"/>
        </w:rPr>
      </w:pPr>
      <w:r w:rsidRPr="009F31B6">
        <w:rPr>
          <w:b/>
          <w:color w:val="21798E" w:themeColor="accent1" w:themeShade="BF"/>
          <w:sz w:val="24"/>
        </w:rPr>
        <w:t>3.6.5 Choose and Book</w:t>
      </w:r>
      <w:bookmarkEnd w:id="33"/>
    </w:p>
    <w:p w:rsidR="003A2389" w:rsidRDefault="003A2389" w:rsidP="003A2389">
      <w:pPr>
        <w:pStyle w:val="NoSpacing"/>
        <w:jc w:val="both"/>
      </w:pPr>
      <w:r>
        <w:t xml:space="preserve">The Trust </w:t>
      </w:r>
      <w:r w:rsidR="00DF27D9">
        <w:t>missed</w:t>
      </w:r>
      <w:r w:rsidRPr="00E87913">
        <w:t xml:space="preserve"> the 96% National target for Choose and Book slot</w:t>
      </w:r>
      <w:r w:rsidR="00DF27D9">
        <w:t>s in February and March</w:t>
      </w:r>
      <w:r w:rsidR="009D3D94">
        <w:t xml:space="preserve">, this is disappointing given the considerable improvement seen earlier in the year and is a result of absence of consultants within </w:t>
      </w:r>
      <w:r w:rsidR="00D115D6">
        <w:t>a small number of specialities</w:t>
      </w:r>
      <w:r>
        <w:t>.  This is</w:t>
      </w:r>
      <w:r w:rsidRPr="00E87913">
        <w:t xml:space="preserve"> depicted in </w:t>
      </w:r>
      <w:r w:rsidRPr="00E87913">
        <w:rPr>
          <w:i/>
        </w:rPr>
        <w:t>Fi</w:t>
      </w:r>
      <w:r w:rsidR="006F5C49">
        <w:rPr>
          <w:i/>
        </w:rPr>
        <w:t>gure 21</w:t>
      </w:r>
      <w:r w:rsidRPr="00E87913">
        <w:rPr>
          <w:i/>
        </w:rPr>
        <w:t>.</w:t>
      </w:r>
      <w:r w:rsidRPr="00E87913">
        <w:t xml:space="preserve">  </w:t>
      </w:r>
    </w:p>
    <w:p w:rsidR="00DF27D9" w:rsidRDefault="00DF27D9" w:rsidP="003A2389">
      <w:pPr>
        <w:pStyle w:val="NoSpacing"/>
        <w:rPr>
          <w:b/>
          <w:sz w:val="22"/>
          <w:szCs w:val="22"/>
        </w:rPr>
      </w:pPr>
    </w:p>
    <w:p w:rsidR="003A2389" w:rsidRPr="00C773F5" w:rsidRDefault="006F5C49" w:rsidP="003A2389">
      <w:pPr>
        <w:pStyle w:val="NoSpacing"/>
        <w:rPr>
          <w:b/>
          <w:sz w:val="22"/>
          <w:szCs w:val="22"/>
        </w:rPr>
      </w:pPr>
      <w:r>
        <w:rPr>
          <w:b/>
          <w:sz w:val="22"/>
          <w:szCs w:val="22"/>
        </w:rPr>
        <w:t>Figure 21</w:t>
      </w:r>
      <w:r w:rsidR="003A2389" w:rsidRPr="00C773F5">
        <w:rPr>
          <w:b/>
          <w:sz w:val="22"/>
          <w:szCs w:val="22"/>
        </w:rPr>
        <w:t>:</w:t>
      </w:r>
    </w:p>
    <w:p w:rsidR="003A2389" w:rsidRPr="008346DA" w:rsidRDefault="00DF27D9" w:rsidP="003A2389">
      <w:pPr>
        <w:jc w:val="center"/>
        <w:rPr>
          <w:highlight w:val="yellow"/>
        </w:rPr>
      </w:pPr>
      <w:r w:rsidRPr="00DF27D9">
        <w:rPr>
          <w:noProof/>
        </w:rPr>
        <w:drawing>
          <wp:inline distT="0" distB="0" distL="0" distR="0">
            <wp:extent cx="5590477" cy="3523810"/>
            <wp:effectExtent l="19050" t="0" r="0" b="0"/>
            <wp:docPr id="6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590477" cy="3523810"/>
                    </a:xfrm>
                    <a:prstGeom prst="rect">
                      <a:avLst/>
                    </a:prstGeom>
                  </pic:spPr>
                </pic:pic>
              </a:graphicData>
            </a:graphic>
          </wp:inline>
        </w:drawing>
      </w:r>
    </w:p>
    <w:p w:rsidR="003A2389" w:rsidRPr="00E87913" w:rsidRDefault="003A2389" w:rsidP="003A2389">
      <w:pPr>
        <w:spacing w:before="240"/>
        <w:jc w:val="both"/>
        <w:rPr>
          <w:b/>
          <w:sz w:val="24"/>
          <w:szCs w:val="24"/>
        </w:rPr>
      </w:pPr>
      <w:r w:rsidRPr="00E87913">
        <w:rPr>
          <w:b/>
          <w:sz w:val="24"/>
          <w:szCs w:val="24"/>
        </w:rPr>
        <w:t>Trust Action:</w:t>
      </w:r>
    </w:p>
    <w:p w:rsidR="003A2389" w:rsidRDefault="009D3D94" w:rsidP="003A2389">
      <w:pPr>
        <w:pStyle w:val="NoSpacing"/>
        <w:jc w:val="both"/>
      </w:pPr>
      <w:r>
        <w:t xml:space="preserve">This </w:t>
      </w:r>
      <w:r w:rsidR="003A2389">
        <w:t>Work is</w:t>
      </w:r>
      <w:r w:rsidR="00DF27D9">
        <w:t xml:space="preserve"> ongoing to improve and meet</w:t>
      </w:r>
      <w:r w:rsidR="003A2389">
        <w:t xml:space="preserve"> the 96% requirement by</w:t>
      </w:r>
      <w:r w:rsidR="003A2389" w:rsidRPr="00E87913">
        <w:t>:</w:t>
      </w:r>
    </w:p>
    <w:p w:rsidR="003A2389" w:rsidRDefault="003A2389" w:rsidP="003A2389">
      <w:pPr>
        <w:pStyle w:val="NoSpacing"/>
        <w:jc w:val="both"/>
      </w:pPr>
    </w:p>
    <w:p w:rsidR="003A2389" w:rsidRPr="00E87913" w:rsidRDefault="003A2389" w:rsidP="003A2389">
      <w:pPr>
        <w:pStyle w:val="NoSpacing"/>
        <w:jc w:val="both"/>
      </w:pPr>
      <w:r>
        <w:t>Review of capacity and demand required, particularly as we have</w:t>
      </w:r>
      <w:r w:rsidRPr="00E87913">
        <w:t xml:space="preserve"> experienced a continued increase in two week wait referrals resulting in choose and book slots being used to provide additional urgent appointments</w:t>
      </w:r>
    </w:p>
    <w:p w:rsidR="003A2389" w:rsidRDefault="003A2389" w:rsidP="003A2389">
      <w:pPr>
        <w:pStyle w:val="NoSpacing"/>
        <w:jc w:val="both"/>
      </w:pPr>
    </w:p>
    <w:p w:rsidR="003A2389" w:rsidRDefault="003A2389" w:rsidP="003A2389">
      <w:pPr>
        <w:pStyle w:val="NoSpacing"/>
        <w:jc w:val="both"/>
      </w:pPr>
      <w:r>
        <w:t xml:space="preserve">Work with neighbouring Trusts who provide some visiting services where capacity fails </w:t>
      </w:r>
      <w:r w:rsidRPr="00E87913">
        <w:t xml:space="preserve">to match demand leading to no slots being available for patients.  </w:t>
      </w:r>
    </w:p>
    <w:p w:rsidR="00D115D6" w:rsidRDefault="00D115D6" w:rsidP="003A2389">
      <w:pPr>
        <w:pStyle w:val="NoSpacing"/>
        <w:jc w:val="both"/>
      </w:pPr>
    </w:p>
    <w:p w:rsidR="00D115D6" w:rsidRDefault="00D115D6" w:rsidP="003A2389">
      <w:pPr>
        <w:pStyle w:val="NoSpacing"/>
        <w:jc w:val="both"/>
      </w:pPr>
      <w:r>
        <w:t>Seeking locums or permanent appointments to fill vacant posts or long term absences.</w:t>
      </w:r>
    </w:p>
    <w:p w:rsidR="003A2389" w:rsidRPr="00C40868" w:rsidRDefault="003A2389" w:rsidP="003A2389">
      <w:pPr>
        <w:pStyle w:val="Heading2"/>
      </w:pPr>
      <w:bookmarkStart w:id="34" w:name="_Toc381084889"/>
      <w:r>
        <w:t>3.7</w:t>
      </w:r>
      <w:r w:rsidRPr="00C40868">
        <w:t xml:space="preserve"> Patient Flow</w:t>
      </w:r>
      <w:bookmarkEnd w:id="34"/>
    </w:p>
    <w:p w:rsidR="003A2389" w:rsidRPr="0066113E" w:rsidRDefault="003A2389" w:rsidP="003A2389">
      <w:pPr>
        <w:pStyle w:val="Default"/>
        <w:spacing w:line="276" w:lineRule="auto"/>
        <w:jc w:val="both"/>
        <w:rPr>
          <w:rFonts w:asciiTheme="minorHAnsi" w:hAnsiTheme="minorHAnsi" w:cs="Arial"/>
          <w:i/>
          <w:color w:val="auto"/>
        </w:rPr>
      </w:pPr>
      <w:r w:rsidRPr="0066113E">
        <w:rPr>
          <w:rFonts w:asciiTheme="minorHAnsi" w:hAnsiTheme="minorHAnsi" w:cs="Arial"/>
          <w:i/>
          <w:color w:val="auto"/>
        </w:rPr>
        <w:t xml:space="preserve">To support the delivery of key operational targets, it is vital that the Trust has good patient flow.  An important aspect of ensuring good patient flow is the level of discharges throughout the day and at the weekend.   </w:t>
      </w:r>
    </w:p>
    <w:p w:rsidR="003A2389" w:rsidRPr="00C40868" w:rsidRDefault="003A2389" w:rsidP="003A2389">
      <w:pPr>
        <w:pStyle w:val="Heading3"/>
        <w:rPr>
          <w:sz w:val="24"/>
          <w:szCs w:val="24"/>
        </w:rPr>
      </w:pPr>
      <w:bookmarkStart w:id="35" w:name="_Toc381084890"/>
      <w:r>
        <w:rPr>
          <w:sz w:val="24"/>
          <w:szCs w:val="24"/>
        </w:rPr>
        <w:t>3.7</w:t>
      </w:r>
      <w:r w:rsidRPr="00C40868">
        <w:rPr>
          <w:sz w:val="24"/>
          <w:szCs w:val="24"/>
        </w:rPr>
        <w:t>.1 Delayed Transfer of Care</w:t>
      </w:r>
      <w:bookmarkEnd w:id="35"/>
    </w:p>
    <w:p w:rsidR="003A2389" w:rsidRPr="0066113E" w:rsidRDefault="003A2389" w:rsidP="003A2389">
      <w:pPr>
        <w:autoSpaceDE w:val="0"/>
        <w:autoSpaceDN w:val="0"/>
        <w:adjustRightInd w:val="0"/>
        <w:spacing w:after="0" w:line="240" w:lineRule="auto"/>
        <w:jc w:val="both"/>
        <w:rPr>
          <w:sz w:val="24"/>
        </w:rPr>
      </w:pPr>
      <w:r w:rsidRPr="0066113E">
        <w:rPr>
          <w:sz w:val="24"/>
        </w:rPr>
        <w:t>A delayed transfer of care is defined as when a patient is ready for transfer from acute care, but is still occupying an acute bed.  Patients can be delayed for the following reasons:</w:t>
      </w:r>
    </w:p>
    <w:p w:rsidR="003A2389" w:rsidRPr="00787AA9" w:rsidRDefault="003A2389" w:rsidP="003A2389">
      <w:pPr>
        <w:autoSpaceDE w:val="0"/>
        <w:autoSpaceDN w:val="0"/>
        <w:adjustRightInd w:val="0"/>
        <w:spacing w:after="0" w:line="240" w:lineRule="auto"/>
        <w:jc w:val="both"/>
        <w:rPr>
          <w:sz w:val="8"/>
        </w:rPr>
      </w:pPr>
    </w:p>
    <w:p w:rsidR="003A2389" w:rsidRPr="0066113E" w:rsidRDefault="003A2389" w:rsidP="003A2389">
      <w:pPr>
        <w:pStyle w:val="ListParagraph"/>
        <w:numPr>
          <w:ilvl w:val="0"/>
          <w:numId w:val="8"/>
        </w:numPr>
        <w:autoSpaceDE w:val="0"/>
        <w:autoSpaceDN w:val="0"/>
        <w:adjustRightInd w:val="0"/>
        <w:spacing w:after="0" w:line="240" w:lineRule="auto"/>
        <w:jc w:val="both"/>
        <w:rPr>
          <w:sz w:val="24"/>
        </w:rPr>
      </w:pPr>
      <w:r w:rsidRPr="0066113E">
        <w:rPr>
          <w:sz w:val="24"/>
        </w:rPr>
        <w:t>Further assessment required before their discharge destination can be decided</w:t>
      </w:r>
    </w:p>
    <w:p w:rsidR="003A2389" w:rsidRPr="0066113E" w:rsidRDefault="003A2389" w:rsidP="003A2389">
      <w:pPr>
        <w:pStyle w:val="ListParagraph"/>
        <w:numPr>
          <w:ilvl w:val="0"/>
          <w:numId w:val="8"/>
        </w:numPr>
        <w:autoSpaceDE w:val="0"/>
        <w:autoSpaceDN w:val="0"/>
        <w:adjustRightInd w:val="0"/>
        <w:spacing w:after="0" w:line="240" w:lineRule="auto"/>
        <w:rPr>
          <w:sz w:val="24"/>
        </w:rPr>
      </w:pPr>
      <w:r w:rsidRPr="0066113E">
        <w:rPr>
          <w:sz w:val="24"/>
        </w:rPr>
        <w:t>Lack of capacity in local nursing/residential homes</w:t>
      </w:r>
    </w:p>
    <w:p w:rsidR="003A2389" w:rsidRPr="0066113E" w:rsidRDefault="003A2389" w:rsidP="003A2389">
      <w:pPr>
        <w:pStyle w:val="ListParagraph"/>
        <w:numPr>
          <w:ilvl w:val="0"/>
          <w:numId w:val="8"/>
        </w:numPr>
        <w:autoSpaceDE w:val="0"/>
        <w:autoSpaceDN w:val="0"/>
        <w:adjustRightInd w:val="0"/>
        <w:spacing w:after="0" w:line="240" w:lineRule="auto"/>
        <w:rPr>
          <w:sz w:val="24"/>
        </w:rPr>
      </w:pPr>
      <w:r w:rsidRPr="0066113E">
        <w:rPr>
          <w:sz w:val="24"/>
        </w:rPr>
        <w:t>They may require a specialist placement</w:t>
      </w:r>
    </w:p>
    <w:p w:rsidR="003A2389" w:rsidRPr="0066113E" w:rsidRDefault="003A2389" w:rsidP="003A2389">
      <w:pPr>
        <w:pStyle w:val="ListParagraph"/>
        <w:numPr>
          <w:ilvl w:val="0"/>
          <w:numId w:val="8"/>
        </w:numPr>
        <w:autoSpaceDE w:val="0"/>
        <w:autoSpaceDN w:val="0"/>
        <w:adjustRightInd w:val="0"/>
        <w:spacing w:after="0" w:line="240" w:lineRule="auto"/>
        <w:rPr>
          <w:sz w:val="24"/>
        </w:rPr>
      </w:pPr>
      <w:r w:rsidRPr="0066113E">
        <w:rPr>
          <w:sz w:val="24"/>
        </w:rPr>
        <w:t>Patient or their family/carer needs more time to make a decision about a long-term placement</w:t>
      </w:r>
    </w:p>
    <w:p w:rsidR="003A2389" w:rsidRPr="00787AA9" w:rsidRDefault="003A2389" w:rsidP="003A2389">
      <w:pPr>
        <w:autoSpaceDE w:val="0"/>
        <w:autoSpaceDN w:val="0"/>
        <w:adjustRightInd w:val="0"/>
        <w:spacing w:after="0" w:line="240" w:lineRule="auto"/>
        <w:rPr>
          <w:sz w:val="8"/>
          <w:highlight w:val="yellow"/>
        </w:rPr>
      </w:pPr>
    </w:p>
    <w:p w:rsidR="003A2389" w:rsidRPr="0066113E" w:rsidRDefault="003A2389" w:rsidP="003A2389">
      <w:pPr>
        <w:autoSpaceDE w:val="0"/>
        <w:autoSpaceDN w:val="0"/>
        <w:adjustRightInd w:val="0"/>
        <w:spacing w:after="0" w:line="240" w:lineRule="auto"/>
        <w:jc w:val="both"/>
        <w:rPr>
          <w:sz w:val="24"/>
        </w:rPr>
      </w:pPr>
      <w:r w:rsidRPr="0066113E">
        <w:rPr>
          <w:sz w:val="24"/>
        </w:rPr>
        <w:t xml:space="preserve">The Trust monitors performance daily against delayed transfers of care as high levels can have a big impact on the daily numbers of discharges, causing delays in allocating beds for emergency admissions or planned operations.  Performance in </w:t>
      </w:r>
      <w:r w:rsidR="00564D74">
        <w:rPr>
          <w:sz w:val="24"/>
        </w:rPr>
        <w:t>February and March improved following a spike in January</w:t>
      </w:r>
      <w:r w:rsidRPr="0066113E">
        <w:rPr>
          <w:sz w:val="24"/>
        </w:rPr>
        <w:t xml:space="preserve"> (</w:t>
      </w:r>
      <w:r w:rsidRPr="0066113E">
        <w:rPr>
          <w:i/>
          <w:sz w:val="24"/>
        </w:rPr>
        <w:t xml:space="preserve">Figure </w:t>
      </w:r>
      <w:r w:rsidR="00913B53">
        <w:rPr>
          <w:i/>
          <w:sz w:val="24"/>
        </w:rPr>
        <w:t>2</w:t>
      </w:r>
      <w:r w:rsidR="006F5C49">
        <w:rPr>
          <w:i/>
          <w:sz w:val="24"/>
        </w:rPr>
        <w:t>2</w:t>
      </w:r>
      <w:r w:rsidRPr="0066113E">
        <w:rPr>
          <w:sz w:val="24"/>
        </w:rPr>
        <w:t xml:space="preserve">).  </w:t>
      </w:r>
      <w:r>
        <w:rPr>
          <w:sz w:val="24"/>
        </w:rPr>
        <w:t xml:space="preserve">There is still considerable work to undertaken with partner organisations and the use of the </w:t>
      </w:r>
      <w:r w:rsidRPr="0066113E">
        <w:rPr>
          <w:b/>
          <w:color w:val="00B050"/>
          <w:sz w:val="24"/>
        </w:rPr>
        <w:t>‘Green to Go’</w:t>
      </w:r>
      <w:r>
        <w:rPr>
          <w:b/>
          <w:color w:val="00B050"/>
          <w:sz w:val="24"/>
        </w:rPr>
        <w:t xml:space="preserve"> </w:t>
      </w:r>
      <w:r w:rsidRPr="004E7BAD">
        <w:rPr>
          <w:color w:val="000000" w:themeColor="text1"/>
          <w:sz w:val="24"/>
        </w:rPr>
        <w:t>list</w:t>
      </w:r>
      <w:r w:rsidRPr="004E7BAD">
        <w:rPr>
          <w:sz w:val="24"/>
        </w:rPr>
        <w:t>.</w:t>
      </w:r>
      <w:r w:rsidRPr="0066113E">
        <w:rPr>
          <w:sz w:val="24"/>
        </w:rPr>
        <w:t xml:space="preserve">  </w:t>
      </w:r>
    </w:p>
    <w:p w:rsidR="003A2389" w:rsidRPr="00787AA9" w:rsidRDefault="003A2389" w:rsidP="003A2389">
      <w:pPr>
        <w:autoSpaceDE w:val="0"/>
        <w:autoSpaceDN w:val="0"/>
        <w:adjustRightInd w:val="0"/>
        <w:spacing w:after="0" w:line="240" w:lineRule="auto"/>
        <w:rPr>
          <w:sz w:val="6"/>
        </w:rPr>
      </w:pPr>
    </w:p>
    <w:p w:rsidR="008C31E6" w:rsidRDefault="008C31E6" w:rsidP="003A2389">
      <w:pPr>
        <w:autoSpaceDE w:val="0"/>
        <w:autoSpaceDN w:val="0"/>
        <w:adjustRightInd w:val="0"/>
        <w:spacing w:after="0" w:line="240" w:lineRule="auto"/>
        <w:rPr>
          <w:b/>
          <w:sz w:val="24"/>
        </w:rPr>
      </w:pPr>
    </w:p>
    <w:p w:rsidR="008C31E6" w:rsidRDefault="008C31E6" w:rsidP="003A2389">
      <w:pPr>
        <w:autoSpaceDE w:val="0"/>
        <w:autoSpaceDN w:val="0"/>
        <w:adjustRightInd w:val="0"/>
        <w:spacing w:after="0" w:line="240" w:lineRule="auto"/>
        <w:rPr>
          <w:b/>
          <w:sz w:val="24"/>
        </w:rPr>
      </w:pPr>
    </w:p>
    <w:p w:rsidR="008C31E6" w:rsidRDefault="008C31E6" w:rsidP="003A2389">
      <w:pPr>
        <w:autoSpaceDE w:val="0"/>
        <w:autoSpaceDN w:val="0"/>
        <w:adjustRightInd w:val="0"/>
        <w:spacing w:after="0" w:line="240" w:lineRule="auto"/>
        <w:rPr>
          <w:b/>
          <w:sz w:val="24"/>
        </w:rPr>
      </w:pPr>
    </w:p>
    <w:p w:rsidR="008C31E6" w:rsidRDefault="008C31E6" w:rsidP="003A2389">
      <w:pPr>
        <w:autoSpaceDE w:val="0"/>
        <w:autoSpaceDN w:val="0"/>
        <w:adjustRightInd w:val="0"/>
        <w:spacing w:after="0" w:line="240" w:lineRule="auto"/>
        <w:rPr>
          <w:b/>
          <w:sz w:val="24"/>
        </w:rPr>
      </w:pPr>
    </w:p>
    <w:p w:rsidR="008C31E6" w:rsidRDefault="008C31E6" w:rsidP="003A2389">
      <w:pPr>
        <w:autoSpaceDE w:val="0"/>
        <w:autoSpaceDN w:val="0"/>
        <w:adjustRightInd w:val="0"/>
        <w:spacing w:after="0" w:line="240" w:lineRule="auto"/>
        <w:rPr>
          <w:b/>
          <w:sz w:val="24"/>
        </w:rPr>
      </w:pPr>
    </w:p>
    <w:p w:rsidR="008C31E6" w:rsidRDefault="008C31E6" w:rsidP="003A2389">
      <w:pPr>
        <w:autoSpaceDE w:val="0"/>
        <w:autoSpaceDN w:val="0"/>
        <w:adjustRightInd w:val="0"/>
        <w:spacing w:after="0" w:line="240" w:lineRule="auto"/>
        <w:rPr>
          <w:b/>
          <w:sz w:val="24"/>
        </w:rPr>
      </w:pPr>
    </w:p>
    <w:p w:rsidR="008C31E6" w:rsidRDefault="008C31E6" w:rsidP="003A2389">
      <w:pPr>
        <w:autoSpaceDE w:val="0"/>
        <w:autoSpaceDN w:val="0"/>
        <w:adjustRightInd w:val="0"/>
        <w:spacing w:after="0" w:line="240" w:lineRule="auto"/>
        <w:rPr>
          <w:b/>
          <w:sz w:val="24"/>
        </w:rPr>
      </w:pPr>
    </w:p>
    <w:p w:rsidR="008C31E6" w:rsidRDefault="008C31E6" w:rsidP="003A2389">
      <w:pPr>
        <w:autoSpaceDE w:val="0"/>
        <w:autoSpaceDN w:val="0"/>
        <w:adjustRightInd w:val="0"/>
        <w:spacing w:after="0" w:line="240" w:lineRule="auto"/>
        <w:rPr>
          <w:b/>
          <w:sz w:val="24"/>
        </w:rPr>
      </w:pPr>
    </w:p>
    <w:p w:rsidR="008C31E6" w:rsidRDefault="008C31E6" w:rsidP="003A2389">
      <w:pPr>
        <w:autoSpaceDE w:val="0"/>
        <w:autoSpaceDN w:val="0"/>
        <w:adjustRightInd w:val="0"/>
        <w:spacing w:after="0" w:line="240" w:lineRule="auto"/>
        <w:rPr>
          <w:b/>
          <w:sz w:val="24"/>
        </w:rPr>
      </w:pPr>
    </w:p>
    <w:p w:rsidR="008C31E6" w:rsidRDefault="008C31E6" w:rsidP="003A2389">
      <w:pPr>
        <w:autoSpaceDE w:val="0"/>
        <w:autoSpaceDN w:val="0"/>
        <w:adjustRightInd w:val="0"/>
        <w:spacing w:after="0" w:line="240" w:lineRule="auto"/>
        <w:rPr>
          <w:b/>
          <w:sz w:val="24"/>
        </w:rPr>
      </w:pPr>
    </w:p>
    <w:p w:rsidR="008C31E6" w:rsidRDefault="008C31E6" w:rsidP="003A2389">
      <w:pPr>
        <w:autoSpaceDE w:val="0"/>
        <w:autoSpaceDN w:val="0"/>
        <w:adjustRightInd w:val="0"/>
        <w:spacing w:after="0" w:line="240" w:lineRule="auto"/>
        <w:rPr>
          <w:b/>
          <w:sz w:val="24"/>
        </w:rPr>
      </w:pPr>
    </w:p>
    <w:p w:rsidR="003A2389" w:rsidRDefault="006F5C49" w:rsidP="003A2389">
      <w:pPr>
        <w:autoSpaceDE w:val="0"/>
        <w:autoSpaceDN w:val="0"/>
        <w:adjustRightInd w:val="0"/>
        <w:spacing w:after="0" w:line="240" w:lineRule="auto"/>
        <w:rPr>
          <w:b/>
          <w:sz w:val="24"/>
        </w:rPr>
      </w:pPr>
      <w:r>
        <w:rPr>
          <w:b/>
          <w:sz w:val="24"/>
        </w:rPr>
        <w:t>Figure 22</w:t>
      </w:r>
      <w:r w:rsidR="003A2389" w:rsidRPr="0066113E">
        <w:rPr>
          <w:b/>
          <w:sz w:val="24"/>
        </w:rPr>
        <w:t>:</w:t>
      </w:r>
    </w:p>
    <w:p w:rsidR="003A2389" w:rsidRPr="0066113E" w:rsidRDefault="003A2389" w:rsidP="003A2389">
      <w:pPr>
        <w:autoSpaceDE w:val="0"/>
        <w:autoSpaceDN w:val="0"/>
        <w:adjustRightInd w:val="0"/>
        <w:spacing w:after="0" w:line="240" w:lineRule="auto"/>
        <w:rPr>
          <w:b/>
          <w:sz w:val="24"/>
        </w:rPr>
      </w:pPr>
    </w:p>
    <w:p w:rsidR="003A2389" w:rsidRPr="008346DA" w:rsidRDefault="00564D74" w:rsidP="003A2389">
      <w:pPr>
        <w:autoSpaceDE w:val="0"/>
        <w:autoSpaceDN w:val="0"/>
        <w:adjustRightInd w:val="0"/>
        <w:spacing w:after="0" w:line="240" w:lineRule="auto"/>
        <w:jc w:val="center"/>
        <w:rPr>
          <w:highlight w:val="yellow"/>
        </w:rPr>
      </w:pPr>
      <w:r w:rsidRPr="00564D74">
        <w:rPr>
          <w:noProof/>
        </w:rPr>
        <w:drawing>
          <wp:inline distT="0" distB="0" distL="0" distR="0">
            <wp:extent cx="5731510" cy="2955157"/>
            <wp:effectExtent l="19050" t="0" r="2540" b="0"/>
            <wp:docPr id="6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731510" cy="2955157"/>
                    </a:xfrm>
                    <a:prstGeom prst="rect">
                      <a:avLst/>
                    </a:prstGeom>
                  </pic:spPr>
                </pic:pic>
              </a:graphicData>
            </a:graphic>
          </wp:inline>
        </w:drawing>
      </w:r>
    </w:p>
    <w:p w:rsidR="00D115D6" w:rsidRDefault="00D115D6" w:rsidP="003A2389">
      <w:pPr>
        <w:spacing w:before="240"/>
        <w:jc w:val="both"/>
        <w:rPr>
          <w:b/>
          <w:sz w:val="24"/>
        </w:rPr>
      </w:pPr>
    </w:p>
    <w:p w:rsidR="003A2389" w:rsidRPr="0066113E" w:rsidRDefault="003A2389" w:rsidP="003A2389">
      <w:pPr>
        <w:spacing w:before="240"/>
        <w:jc w:val="both"/>
        <w:rPr>
          <w:b/>
          <w:sz w:val="24"/>
        </w:rPr>
      </w:pPr>
      <w:r w:rsidRPr="0066113E">
        <w:rPr>
          <w:b/>
          <w:sz w:val="24"/>
        </w:rPr>
        <w:t>Trust Action:</w:t>
      </w:r>
    </w:p>
    <w:p w:rsidR="003A2389" w:rsidRDefault="003A2389" w:rsidP="003A2389">
      <w:pPr>
        <w:jc w:val="both"/>
        <w:rPr>
          <w:sz w:val="24"/>
        </w:rPr>
      </w:pPr>
      <w:r w:rsidRPr="0066113E">
        <w:rPr>
          <w:sz w:val="24"/>
        </w:rPr>
        <w:t xml:space="preserve">The Trust continues to work with health and social care partners in North Somerset to manage the </w:t>
      </w:r>
      <w:r w:rsidRPr="0066113E">
        <w:rPr>
          <w:b/>
          <w:color w:val="00B050"/>
          <w:sz w:val="24"/>
        </w:rPr>
        <w:t xml:space="preserve">‘Green to Go’ </w:t>
      </w:r>
      <w:r w:rsidRPr="0066113E">
        <w:rPr>
          <w:sz w:val="24"/>
        </w:rPr>
        <w:t xml:space="preserve">list, and where gaps in services are discovered, work with the Clinical Commissioning Group to identify how future commissioning can be organised to close these gaps, providing higher quality joined up care between all partners.   </w:t>
      </w:r>
      <w:bookmarkStart w:id="36" w:name="_Toc381084891"/>
    </w:p>
    <w:p w:rsidR="003A2389" w:rsidRDefault="003A2389" w:rsidP="003A2389">
      <w:pPr>
        <w:jc w:val="both"/>
        <w:rPr>
          <w:sz w:val="24"/>
        </w:rPr>
      </w:pPr>
      <w:r>
        <w:rPr>
          <w:sz w:val="24"/>
        </w:rPr>
        <w:t>Agencies and other care providers are invited in regularly to assess patients, particularly those who may have complex needs with a view to discharging as soon as possible.</w:t>
      </w:r>
    </w:p>
    <w:p w:rsidR="003A2389" w:rsidRDefault="003A2389" w:rsidP="003A2389">
      <w:pPr>
        <w:jc w:val="both"/>
        <w:rPr>
          <w:sz w:val="24"/>
        </w:rPr>
      </w:pPr>
      <w:r>
        <w:rPr>
          <w:sz w:val="24"/>
        </w:rPr>
        <w:t>Daily Green to Go meetings held</w:t>
      </w:r>
      <w:r w:rsidR="00D115D6">
        <w:rPr>
          <w:sz w:val="24"/>
        </w:rPr>
        <w:t xml:space="preserve"> internally</w:t>
      </w:r>
      <w:r>
        <w:rPr>
          <w:sz w:val="24"/>
        </w:rPr>
        <w:t>.</w:t>
      </w:r>
    </w:p>
    <w:p w:rsidR="003A2389" w:rsidRDefault="003A2389" w:rsidP="003A2389">
      <w:pPr>
        <w:jc w:val="both"/>
        <w:rPr>
          <w:sz w:val="24"/>
        </w:rPr>
      </w:pPr>
      <w:r>
        <w:rPr>
          <w:sz w:val="24"/>
        </w:rPr>
        <w:t>Daily Alamac calls, which includes senior representatives from across the health community, addresses the performance indicators on a daily basis with escalation of particularly challenging areas as necessary.</w:t>
      </w:r>
    </w:p>
    <w:p w:rsidR="00D115D6" w:rsidRDefault="00D115D6" w:rsidP="003A2389">
      <w:pPr>
        <w:jc w:val="both"/>
        <w:rPr>
          <w:sz w:val="24"/>
        </w:rPr>
      </w:pPr>
      <w:r>
        <w:rPr>
          <w:sz w:val="24"/>
        </w:rPr>
        <w:t>A short life working group has been established by the Directorate Manager for Emergency, this group to review the monitoring of the list and ensuring actions and owners are clear for every patient delayed.</w:t>
      </w:r>
    </w:p>
    <w:p w:rsidR="003A2389" w:rsidRDefault="003A2389" w:rsidP="003A2389">
      <w:pPr>
        <w:jc w:val="both"/>
        <w:rPr>
          <w:b/>
          <w:color w:val="21798E" w:themeColor="accent1" w:themeShade="BF"/>
          <w:sz w:val="24"/>
        </w:rPr>
      </w:pPr>
      <w:r>
        <w:rPr>
          <w:b/>
          <w:color w:val="21798E" w:themeColor="accent1" w:themeShade="BF"/>
          <w:sz w:val="24"/>
        </w:rPr>
        <w:t>3.7.2 Bed Stock</w:t>
      </w:r>
    </w:p>
    <w:p w:rsidR="003A2389" w:rsidRDefault="003A2389" w:rsidP="003A2389">
      <w:pPr>
        <w:jc w:val="both"/>
        <w:rPr>
          <w:color w:val="000000" w:themeColor="text1"/>
          <w:sz w:val="24"/>
        </w:rPr>
      </w:pPr>
      <w:r>
        <w:rPr>
          <w:color w:val="000000" w:themeColor="text1"/>
          <w:sz w:val="24"/>
        </w:rPr>
        <w:t>The Trust h</w:t>
      </w:r>
      <w:r w:rsidR="00564D74">
        <w:rPr>
          <w:color w:val="000000" w:themeColor="text1"/>
          <w:sz w:val="24"/>
        </w:rPr>
        <w:t>as a usual funded bed base of 23</w:t>
      </w:r>
      <w:r>
        <w:rPr>
          <w:color w:val="000000" w:themeColor="text1"/>
          <w:sz w:val="24"/>
        </w:rPr>
        <w:t>4.  As part of the winter ORCP, this funded base w</w:t>
      </w:r>
      <w:r w:rsidR="00564D74">
        <w:rPr>
          <w:color w:val="000000" w:themeColor="text1"/>
          <w:sz w:val="24"/>
        </w:rPr>
        <w:t>as increased from October 2014</w:t>
      </w:r>
      <w:r>
        <w:rPr>
          <w:color w:val="000000" w:themeColor="text1"/>
          <w:sz w:val="24"/>
        </w:rPr>
        <w:t xml:space="preserve"> to March 2015 and allows a further 20 inpatient beds, currently located on Cheddar ward.  </w:t>
      </w:r>
      <w:r w:rsidR="00564D74">
        <w:rPr>
          <w:color w:val="000000" w:themeColor="text1"/>
          <w:sz w:val="24"/>
        </w:rPr>
        <w:t xml:space="preserve">A decision was made to keep the additional 20 beds in use over the Easter period until the end of April 2015.  </w:t>
      </w:r>
      <w:r>
        <w:rPr>
          <w:color w:val="000000" w:themeColor="text1"/>
          <w:sz w:val="24"/>
        </w:rPr>
        <w:t xml:space="preserve">There </w:t>
      </w:r>
      <w:bookmarkEnd w:id="36"/>
      <w:r>
        <w:rPr>
          <w:color w:val="000000" w:themeColor="text1"/>
          <w:sz w:val="24"/>
        </w:rPr>
        <w:t>have been six unfunded beds in use consistently on</w:t>
      </w:r>
      <w:r w:rsidR="00564D74">
        <w:rPr>
          <w:color w:val="000000" w:themeColor="text1"/>
          <w:sz w:val="24"/>
        </w:rPr>
        <w:t xml:space="preserve"> the Stroke Unit during February and March</w:t>
      </w:r>
    </w:p>
    <w:p w:rsidR="00D115D6" w:rsidRDefault="00D115D6">
      <w:pPr>
        <w:rPr>
          <w:color w:val="0F5666" w:themeColor="background2" w:themeShade="40"/>
          <w:sz w:val="52"/>
          <w:szCs w:val="52"/>
        </w:rPr>
      </w:pPr>
      <w:r>
        <w:rPr>
          <w:color w:val="0F5666" w:themeColor="background2" w:themeShade="40"/>
          <w:sz w:val="52"/>
          <w:szCs w:val="52"/>
        </w:rPr>
        <w:br w:type="page"/>
      </w:r>
    </w:p>
    <w:p w:rsidR="00873F07" w:rsidRDefault="00873F07" w:rsidP="00873F07">
      <w:pPr>
        <w:jc w:val="both"/>
        <w:rPr>
          <w:color w:val="0F5666" w:themeColor="background2" w:themeShade="40"/>
          <w:sz w:val="52"/>
          <w:szCs w:val="52"/>
        </w:rPr>
      </w:pPr>
      <w:r w:rsidRPr="00DF48EC">
        <w:rPr>
          <w:color w:val="0F5666" w:themeColor="background2" w:themeShade="40"/>
          <w:sz w:val="52"/>
          <w:szCs w:val="52"/>
        </w:rPr>
        <w:t>Section 4 Workforce</w:t>
      </w:r>
    </w:p>
    <w:p w:rsidR="00C033E2" w:rsidRPr="00C033E2" w:rsidRDefault="00690916" w:rsidP="00873F07">
      <w:pPr>
        <w:jc w:val="both"/>
        <w:rPr>
          <w:color w:val="0F5666" w:themeColor="background2" w:themeShade="40"/>
        </w:rPr>
      </w:pPr>
      <w:r w:rsidRPr="00690916">
        <w:rPr>
          <w:noProof/>
          <w:color w:val="0F5666" w:themeColor="background2" w:themeShade="40"/>
          <w:sz w:val="52"/>
          <w:szCs w:val="52"/>
        </w:rPr>
        <w:pict>
          <v:roundrect id="AutoShape 33" o:spid="_x0000_s1044" style="position:absolute;left:0;text-align:left;margin-left:-45.75pt;margin-top:27.3pt;width:537pt;height:207pt;z-index:-251574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" fillcolor="white [3201]" strokecolor="#79cbdf [1940]" strokeweight="1pt">
            <v:fill color2="#a6dcea [1300]" focus="100%" type="gradient"/>
            <v:shadow on="t" color="#16505e [1604]" opacity=".5" offset="1pt"/>
          </v:roundrect>
        </w:pict>
      </w:r>
      <w:r w:rsidR="00C033E2">
        <w:rPr>
          <w:color w:val="0F5666" w:themeColor="background2" w:themeShade="40"/>
        </w:rPr>
        <w:t>Executive Lead – Mrs Sheridan Flavin</w:t>
      </w:r>
    </w:p>
    <w:p w:rsidR="008C31E6" w:rsidRPr="00B944EC" w:rsidRDefault="008C31E6" w:rsidP="008C31E6">
      <w:pPr>
        <w:pStyle w:val="Heading2"/>
        <w:spacing w:after="100" w:afterAutospacing="1"/>
      </w:pPr>
      <w:bookmarkStart w:id="37" w:name="_Toc328574064"/>
      <w:bookmarkStart w:id="38" w:name="_Toc339280279"/>
      <w:r>
        <w:rPr>
          <w:rFonts w:cs="Arial"/>
          <w:sz w:val="22"/>
          <w:szCs w:val="22"/>
        </w:rPr>
        <w:t>4</w:t>
      </w:r>
      <w:r w:rsidRPr="00B944EC">
        <w:rPr>
          <w:rFonts w:cs="Arial"/>
          <w:sz w:val="22"/>
          <w:szCs w:val="22"/>
        </w:rPr>
        <w:t xml:space="preserve">.1 </w:t>
      </w:r>
      <w:bookmarkStart w:id="39" w:name="_Toc321407879"/>
      <w:r>
        <w:rPr>
          <w:rFonts w:cs="Arial"/>
          <w:sz w:val="22"/>
          <w:szCs w:val="22"/>
        </w:rPr>
        <w:tab/>
      </w:r>
      <w:r w:rsidRPr="00B944EC">
        <w:t>Executive Summary Headlines</w:t>
      </w:r>
      <w:bookmarkEnd w:id="37"/>
      <w:bookmarkEnd w:id="38"/>
      <w:r w:rsidRPr="00B944EC">
        <w:t xml:space="preserve"> </w:t>
      </w:r>
    </w:p>
    <w:p w:rsidR="008C31E6" w:rsidRPr="00FD5C3D" w:rsidRDefault="008C31E6" w:rsidP="008C31E6">
      <w:pPr>
        <w:pStyle w:val="ListParagraph"/>
        <w:widowControl w:val="0"/>
        <w:numPr>
          <w:ilvl w:val="0"/>
          <w:numId w:val="3"/>
        </w:numPr>
        <w:autoSpaceDE w:val="0"/>
        <w:autoSpaceDN w:val="0"/>
        <w:adjustRightInd w:val="0"/>
        <w:spacing w:after="240" w:line="240" w:lineRule="auto"/>
        <w:ind w:left="1275" w:hanging="578"/>
        <w:contextualSpacing w:val="0"/>
      </w:pPr>
      <w:r>
        <w:rPr>
          <w:rFonts w:cs="Arial"/>
        </w:rPr>
        <w:t>The temporary staffing costs were 13.52% in February and 16.22% in March of the total pay bill.</w:t>
      </w:r>
    </w:p>
    <w:p w:rsidR="008C31E6" w:rsidRPr="00F40173" w:rsidRDefault="008C31E6" w:rsidP="008C31E6">
      <w:pPr>
        <w:pStyle w:val="ListParagraph"/>
        <w:widowControl w:val="0"/>
        <w:numPr>
          <w:ilvl w:val="0"/>
          <w:numId w:val="3"/>
        </w:numPr>
        <w:autoSpaceDE w:val="0"/>
        <w:autoSpaceDN w:val="0"/>
        <w:adjustRightInd w:val="0"/>
        <w:spacing w:after="240" w:line="240" w:lineRule="auto"/>
        <w:ind w:left="1276" w:hanging="578"/>
        <w:contextualSpacing w:val="0"/>
        <w:rPr>
          <w:rFonts w:cs="Arial"/>
        </w:rPr>
      </w:pPr>
      <w:r>
        <w:rPr>
          <w:rFonts w:cs="Arial"/>
        </w:rPr>
        <w:t xml:space="preserve">Sickness rates were 4.31% in February and 4.46% in March.    </w:t>
      </w:r>
    </w:p>
    <w:p w:rsidR="008C31E6" w:rsidRPr="00C81C8A" w:rsidRDefault="008C31E6" w:rsidP="008C31E6">
      <w:pPr>
        <w:pStyle w:val="ListParagraph"/>
        <w:widowControl w:val="0"/>
        <w:numPr>
          <w:ilvl w:val="0"/>
          <w:numId w:val="3"/>
        </w:numPr>
        <w:autoSpaceDE w:val="0"/>
        <w:autoSpaceDN w:val="0"/>
        <w:adjustRightInd w:val="0"/>
        <w:spacing w:after="240" w:line="240" w:lineRule="auto"/>
        <w:ind w:left="1276" w:hanging="578"/>
        <w:contextualSpacing w:val="0"/>
        <w:rPr>
          <w:rFonts w:cs="Arial"/>
          <w:b/>
        </w:rPr>
      </w:pPr>
      <w:r>
        <w:rPr>
          <w:rFonts w:cs="Arial"/>
        </w:rPr>
        <w:t>The appraisal rate increased to 88.30% in February and was 88.24% in March.</w:t>
      </w:r>
    </w:p>
    <w:p w:rsidR="008C31E6" w:rsidRDefault="008C31E6" w:rsidP="008C31E6">
      <w:pPr>
        <w:pStyle w:val="ListParagraph"/>
        <w:widowControl w:val="0"/>
        <w:numPr>
          <w:ilvl w:val="0"/>
          <w:numId w:val="3"/>
        </w:numPr>
        <w:autoSpaceDE w:val="0"/>
        <w:autoSpaceDN w:val="0"/>
        <w:adjustRightInd w:val="0"/>
        <w:spacing w:after="100" w:afterAutospacing="1" w:line="240" w:lineRule="auto"/>
        <w:ind w:left="1276" w:hanging="578"/>
        <w:contextualSpacing w:val="0"/>
      </w:pPr>
      <w:r w:rsidRPr="0069371E">
        <w:rPr>
          <w:rFonts w:cs="Arial"/>
        </w:rPr>
        <w:t>The training compliance rate</w:t>
      </w:r>
      <w:r>
        <w:rPr>
          <w:rFonts w:cs="Arial"/>
        </w:rPr>
        <w:t xml:space="preserve"> increased to 83.53</w:t>
      </w:r>
      <w:r w:rsidRPr="0069371E">
        <w:rPr>
          <w:rFonts w:cs="Arial"/>
        </w:rPr>
        <w:t xml:space="preserve">% in </w:t>
      </w:r>
      <w:r>
        <w:rPr>
          <w:rFonts w:cs="Arial"/>
        </w:rPr>
        <w:t>February and slightly decreased to 83.26</w:t>
      </w:r>
      <w:r w:rsidRPr="0069371E">
        <w:rPr>
          <w:rFonts w:cs="Arial"/>
        </w:rPr>
        <w:t xml:space="preserve">% in </w:t>
      </w:r>
      <w:bookmarkStart w:id="40" w:name="_Toc328574065"/>
      <w:bookmarkStart w:id="41" w:name="_Toc339280280"/>
      <w:r>
        <w:rPr>
          <w:rFonts w:cs="Arial"/>
        </w:rPr>
        <w:t>March.</w:t>
      </w:r>
      <w:bookmarkStart w:id="42" w:name="_GoBack"/>
      <w:bookmarkEnd w:id="42"/>
    </w:p>
    <w:p w:rsidR="008C31E6" w:rsidRDefault="008C31E6" w:rsidP="008C31E6">
      <w:pPr>
        <w:pStyle w:val="Heading2"/>
        <w:spacing w:after="100" w:afterAutospacing="1"/>
      </w:pPr>
      <w:r>
        <w:t xml:space="preserve">4.2 </w:t>
      </w:r>
      <w:r>
        <w:tab/>
        <w:t>Workforce</w:t>
      </w:r>
      <w:bookmarkEnd w:id="39"/>
      <w:bookmarkEnd w:id="40"/>
      <w:bookmarkEnd w:id="41"/>
    </w:p>
    <w:p w:rsidR="008C31E6" w:rsidRDefault="006F5C49" w:rsidP="008C31E6">
      <w:pPr>
        <w:spacing w:after="100" w:afterAutospacing="1"/>
        <w:rPr>
          <w:rFonts w:cs="Arial"/>
        </w:rPr>
      </w:pPr>
      <w:r>
        <w:rPr>
          <w:rFonts w:cs="Arial"/>
          <w:i/>
        </w:rPr>
        <w:t>Figure 23</w:t>
      </w:r>
      <w:r w:rsidR="008C31E6" w:rsidRPr="008C31E6">
        <w:rPr>
          <w:rFonts w:cs="Arial"/>
          <w:i/>
        </w:rPr>
        <w:t xml:space="preserve"> </w:t>
      </w:r>
      <w:r w:rsidR="008C31E6">
        <w:rPr>
          <w:rFonts w:cs="Arial"/>
        </w:rPr>
        <w:t>below shows the pay expenditure for contracted staff, for agency staff.</w:t>
      </w:r>
    </w:p>
    <w:p w:rsidR="008C31E6" w:rsidRPr="008C31E6" w:rsidRDefault="006F5C49" w:rsidP="008C31E6">
      <w:pPr>
        <w:pStyle w:val="Heading2"/>
        <w:spacing w:after="100" w:afterAutospacing="1"/>
        <w:rPr>
          <w:color w:val="000000" w:themeColor="text1"/>
          <w:sz w:val="22"/>
          <w:szCs w:val="22"/>
        </w:rPr>
      </w:pPr>
      <w:r>
        <w:rPr>
          <w:color w:val="000000" w:themeColor="text1"/>
          <w:sz w:val="22"/>
          <w:szCs w:val="22"/>
        </w:rPr>
        <w:t>Figure 23</w:t>
      </w:r>
      <w:r w:rsidR="008C31E6" w:rsidRPr="008C31E6">
        <w:rPr>
          <w:color w:val="000000" w:themeColor="text1"/>
          <w:sz w:val="22"/>
          <w:szCs w:val="22"/>
        </w:rPr>
        <w:t>:</w:t>
      </w:r>
    </w:p>
    <w:p w:rsidR="008C31E6" w:rsidRDefault="008C31E6" w:rsidP="008C31E6">
      <w:pPr>
        <w:pStyle w:val="Default"/>
        <w:spacing w:after="100" w:afterAutospacing="1"/>
        <w:jc w:val="center"/>
      </w:pPr>
      <w:r w:rsidRPr="00067112">
        <w:rPr>
          <w:noProof/>
        </w:rPr>
        <w:drawing>
          <wp:inline distT="0" distB="0" distL="0" distR="0">
            <wp:extent cx="5731510" cy="3745689"/>
            <wp:effectExtent l="38100" t="19050" r="40640" b="26211"/>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C31E6" w:rsidRDefault="008C31E6" w:rsidP="008C31E6">
      <w:pPr>
        <w:pStyle w:val="Default"/>
        <w:rPr>
          <w:rFonts w:asciiTheme="minorHAnsi" w:hAnsiTheme="minorHAnsi"/>
        </w:rPr>
      </w:pPr>
    </w:p>
    <w:p w:rsidR="008C31E6" w:rsidRPr="008C31E6" w:rsidRDefault="008C31E6" w:rsidP="008C31E6">
      <w:pPr>
        <w:pStyle w:val="Default"/>
        <w:jc w:val="both"/>
        <w:rPr>
          <w:rFonts w:asciiTheme="minorHAnsi" w:hAnsiTheme="minorHAnsi"/>
          <w:sz w:val="22"/>
          <w:szCs w:val="22"/>
        </w:rPr>
      </w:pPr>
      <w:r w:rsidRPr="008C31E6">
        <w:rPr>
          <w:rFonts w:asciiTheme="minorHAnsi" w:hAnsiTheme="minorHAnsi"/>
          <w:i/>
          <w:sz w:val="22"/>
          <w:szCs w:val="22"/>
        </w:rPr>
        <w:t>Figure 2</w:t>
      </w:r>
      <w:r w:rsidR="006F5C49">
        <w:rPr>
          <w:rFonts w:asciiTheme="minorHAnsi" w:hAnsiTheme="minorHAnsi"/>
          <w:i/>
          <w:sz w:val="22"/>
          <w:szCs w:val="22"/>
        </w:rPr>
        <w:t>4</w:t>
      </w:r>
      <w:r w:rsidRPr="008C31E6">
        <w:rPr>
          <w:rFonts w:asciiTheme="minorHAnsi" w:hAnsiTheme="minorHAnsi"/>
          <w:sz w:val="22"/>
          <w:szCs w:val="22"/>
        </w:rPr>
        <w:t>, shows the temporary staffing usage as a month on month comparator.  Cost of temporary staff continues to be high.  The temporary staffing usage for March is higher when compared to last March, whilst much of this is attributed to additional capacity, the additional temporary staff does have an overall impact on the Trust skills mix, with a greater percentage of temporary staff.</w:t>
      </w:r>
    </w:p>
    <w:p w:rsidR="008C31E6" w:rsidRPr="008C31E6" w:rsidRDefault="008C31E6" w:rsidP="008C31E6">
      <w:pPr>
        <w:pStyle w:val="Default"/>
        <w:jc w:val="both"/>
        <w:rPr>
          <w:rFonts w:asciiTheme="minorHAnsi" w:hAnsiTheme="minorHAnsi"/>
          <w:sz w:val="22"/>
          <w:szCs w:val="22"/>
        </w:rPr>
      </w:pPr>
    </w:p>
    <w:p w:rsidR="008C31E6" w:rsidRPr="008C31E6" w:rsidRDefault="008C31E6" w:rsidP="008C31E6">
      <w:pPr>
        <w:pStyle w:val="Default"/>
        <w:jc w:val="both"/>
        <w:rPr>
          <w:rFonts w:asciiTheme="minorHAnsi" w:hAnsiTheme="minorHAnsi"/>
          <w:sz w:val="22"/>
          <w:szCs w:val="22"/>
        </w:rPr>
      </w:pPr>
      <w:r w:rsidRPr="008C31E6">
        <w:rPr>
          <w:rFonts w:asciiTheme="minorHAnsi" w:hAnsiTheme="minorHAnsi"/>
          <w:sz w:val="22"/>
          <w:szCs w:val="22"/>
        </w:rPr>
        <w:t xml:space="preserve">In January the Trust held an open evening, specifically targeting newly qualified nurses and the Trust had a very successful evening by appointing students from University of the West of England (UWE) who will complete their Nursing Degree’s in June and will receive the NMC PINS in September.  It is anticipated that these staff will commence employment in July whilst awaiting their NMC registration. </w:t>
      </w:r>
    </w:p>
    <w:p w:rsidR="008C31E6" w:rsidRPr="008C31E6" w:rsidRDefault="008C31E6" w:rsidP="008C31E6">
      <w:pPr>
        <w:pStyle w:val="Default"/>
        <w:jc w:val="both"/>
        <w:rPr>
          <w:rFonts w:asciiTheme="minorHAnsi" w:hAnsiTheme="minorHAnsi"/>
          <w:sz w:val="22"/>
          <w:szCs w:val="22"/>
        </w:rPr>
      </w:pPr>
    </w:p>
    <w:p w:rsidR="008C31E6" w:rsidRPr="008C31E6" w:rsidRDefault="008C31E6" w:rsidP="008C31E6">
      <w:pPr>
        <w:pStyle w:val="Default"/>
        <w:jc w:val="both"/>
        <w:rPr>
          <w:rFonts w:asciiTheme="minorHAnsi" w:hAnsiTheme="minorHAnsi"/>
          <w:sz w:val="22"/>
          <w:szCs w:val="22"/>
        </w:rPr>
      </w:pPr>
      <w:r w:rsidRPr="008C31E6">
        <w:rPr>
          <w:rFonts w:asciiTheme="minorHAnsi" w:hAnsiTheme="minorHAnsi"/>
          <w:sz w:val="22"/>
          <w:szCs w:val="22"/>
        </w:rPr>
        <w:t xml:space="preserve">Some progress has been made with medical recruitment with NHS appointments being made to two Consultant posts in Orthopaedics, NHS locum appointments having been made in Community paediatrics, Gastroenterology and Histopathology and Speciality Doctor </w:t>
      </w:r>
      <w:r w:rsidR="00EE1F86">
        <w:rPr>
          <w:rFonts w:asciiTheme="minorHAnsi" w:hAnsiTheme="minorHAnsi"/>
          <w:sz w:val="22"/>
          <w:szCs w:val="22"/>
        </w:rPr>
        <w:t>appointments</w:t>
      </w:r>
      <w:r w:rsidRPr="008C31E6">
        <w:rPr>
          <w:rFonts w:asciiTheme="minorHAnsi" w:hAnsiTheme="minorHAnsi"/>
          <w:sz w:val="22"/>
          <w:szCs w:val="22"/>
        </w:rPr>
        <w:t xml:space="preserve"> being made in Community Paediatrics and the Emergency Department.  </w:t>
      </w:r>
    </w:p>
    <w:p w:rsidR="008C31E6" w:rsidRP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r w:rsidRPr="008C31E6">
        <w:rPr>
          <w:rFonts w:asciiTheme="minorHAnsi" w:hAnsiTheme="minorHAnsi"/>
          <w:sz w:val="22"/>
          <w:szCs w:val="22"/>
        </w:rPr>
        <w:t xml:space="preserve">In addition to the appointments made amongst medical staff, during May there are Consultant interviews scheduled in Radiology, Anaesthetics, and Histopathology. </w:t>
      </w: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Default="008C31E6" w:rsidP="008C31E6">
      <w:pPr>
        <w:pStyle w:val="Default"/>
        <w:jc w:val="both"/>
        <w:rPr>
          <w:rFonts w:asciiTheme="minorHAnsi" w:hAnsiTheme="minorHAnsi"/>
          <w:sz w:val="22"/>
          <w:szCs w:val="22"/>
        </w:rPr>
      </w:pPr>
    </w:p>
    <w:p w:rsidR="008C31E6" w:rsidRPr="008C31E6" w:rsidRDefault="008C31E6" w:rsidP="008C31E6">
      <w:pPr>
        <w:pStyle w:val="Default"/>
        <w:jc w:val="both"/>
        <w:rPr>
          <w:rFonts w:asciiTheme="minorHAnsi" w:hAnsiTheme="minorHAnsi"/>
          <w:sz w:val="22"/>
          <w:szCs w:val="22"/>
        </w:rPr>
        <w:sectPr w:rsidR="008C31E6" w:rsidRPr="008C31E6" w:rsidSect="007A0D27">
          <w:pgSz w:w="11906" w:h="16838"/>
          <w:pgMar w:top="1440" w:right="1440" w:bottom="1440" w:left="1440" w:header="709" w:footer="709" w:gutter="0"/>
          <w:cols w:space="708"/>
          <w:docGrid w:linePitch="360"/>
        </w:sectPr>
      </w:pPr>
    </w:p>
    <w:p w:rsidR="008C31E6" w:rsidRDefault="008C31E6" w:rsidP="008C31E6">
      <w:pPr>
        <w:pStyle w:val="Default"/>
      </w:pPr>
    </w:p>
    <w:p w:rsidR="008C31E6" w:rsidRDefault="008C31E6" w:rsidP="008C31E6">
      <w:pPr>
        <w:pStyle w:val="Heading3"/>
        <w:spacing w:before="0" w:after="100" w:afterAutospacing="1"/>
        <w:rPr>
          <w:i/>
        </w:rPr>
        <w:sectPr w:rsidR="008C31E6" w:rsidSect="007A0D27">
          <w:pgSz w:w="16838" w:h="11906" w:orient="landscape"/>
          <w:pgMar w:top="1440" w:right="1440" w:bottom="1440" w:left="1440" w:header="709" w:footer="709" w:gutter="0"/>
          <w:cols w:space="708"/>
          <w:docGrid w:linePitch="360"/>
        </w:sectPr>
      </w:pPr>
      <w:bookmarkStart w:id="43" w:name="_Toc328574066"/>
      <w:bookmarkStart w:id="44" w:name="_Toc339280281"/>
      <w:r w:rsidRPr="000C526A">
        <w:rPr>
          <w:i/>
          <w:noProof/>
        </w:rPr>
        <w:drawing>
          <wp:inline distT="0" distB="0" distL="0" distR="0">
            <wp:extent cx="9105900" cy="5391150"/>
            <wp:effectExtent l="38100" t="19050" r="38100" b="1905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C31E6" w:rsidRPr="001411BC" w:rsidRDefault="008C31E6" w:rsidP="008C31E6">
      <w:pPr>
        <w:pStyle w:val="Heading3"/>
        <w:spacing w:before="0" w:after="100" w:afterAutospacing="1"/>
        <w:rPr>
          <w:i/>
        </w:rPr>
      </w:pPr>
      <w:r w:rsidRPr="001411BC">
        <w:t>4.2.1</w:t>
      </w:r>
      <w:r w:rsidRPr="001411BC">
        <w:tab/>
        <w:t>Sickness</w:t>
      </w:r>
      <w:bookmarkEnd w:id="43"/>
      <w:bookmarkEnd w:id="44"/>
    </w:p>
    <w:p w:rsidR="008C31E6" w:rsidRPr="007A0D27" w:rsidRDefault="008C31E6" w:rsidP="008C31E6">
      <w:pPr>
        <w:pStyle w:val="NoSpacing"/>
        <w:spacing w:after="100" w:afterAutospacing="1"/>
        <w:rPr>
          <w:sz w:val="22"/>
          <w:szCs w:val="22"/>
        </w:rPr>
      </w:pPr>
      <w:r w:rsidRPr="007A0D27">
        <w:rPr>
          <w:sz w:val="22"/>
          <w:szCs w:val="22"/>
        </w:rPr>
        <w:t xml:space="preserve">Sickness remains high in February and March, however the Trust sickness has fallen below the national average for sickness.  As recently reported through the Trust Quality and Governance, the Trust has in place an action plan to reduce sickness absence through effective but supportive management of sickness absence and employee health issues.  </w:t>
      </w:r>
    </w:p>
    <w:p w:rsidR="008C31E6" w:rsidRPr="007A0D27" w:rsidRDefault="006F5C49" w:rsidP="008C31E6">
      <w:pPr>
        <w:pStyle w:val="Heading3"/>
        <w:spacing w:before="0" w:after="100" w:afterAutospacing="1"/>
        <w:rPr>
          <w:i/>
          <w:color w:val="000000" w:themeColor="text1"/>
        </w:rPr>
      </w:pPr>
      <w:r>
        <w:rPr>
          <w:color w:val="000000" w:themeColor="text1"/>
        </w:rPr>
        <w:t>Figure 25</w:t>
      </w:r>
      <w:r w:rsidR="007A0D27" w:rsidRPr="007A0D27">
        <w:rPr>
          <w:color w:val="000000" w:themeColor="text1"/>
        </w:rPr>
        <w:t>:</w:t>
      </w:r>
    </w:p>
    <w:p w:rsidR="008C31E6" w:rsidRDefault="008C31E6" w:rsidP="008C31E6">
      <w:pPr>
        <w:spacing w:after="100" w:afterAutospacing="1"/>
        <w:rPr>
          <w:rFonts w:cs="Arial"/>
        </w:rPr>
      </w:pPr>
      <w:r w:rsidRPr="004C1244">
        <w:rPr>
          <w:rFonts w:cs="Arial"/>
          <w:noProof/>
        </w:rPr>
        <w:drawing>
          <wp:inline distT="0" distB="0" distL="0" distR="0">
            <wp:extent cx="5676900" cy="3714750"/>
            <wp:effectExtent l="38100" t="19050" r="38100" b="1905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C31E6" w:rsidRDefault="008C31E6" w:rsidP="008C31E6">
      <w:pPr>
        <w:pStyle w:val="Default"/>
        <w:spacing w:after="100" w:afterAutospacing="1"/>
        <w:rPr>
          <w:sz w:val="18"/>
        </w:rPr>
      </w:pPr>
      <w:r w:rsidRPr="00EF70D5">
        <w:rPr>
          <w:sz w:val="18"/>
        </w:rPr>
        <w:t xml:space="preserve">* Trust </w:t>
      </w:r>
      <w:r>
        <w:rPr>
          <w:sz w:val="18"/>
        </w:rPr>
        <w:t xml:space="preserve">target </w:t>
      </w:r>
      <w:r w:rsidRPr="0061009E">
        <w:rPr>
          <w:rFonts w:asciiTheme="minorHAnsi" w:hAnsiTheme="minorHAnsi"/>
          <w:sz w:val="18"/>
        </w:rPr>
        <w:t>≤</w:t>
      </w:r>
      <w:r>
        <w:rPr>
          <w:rFonts w:asciiTheme="minorHAnsi" w:hAnsiTheme="minorHAnsi"/>
          <w:sz w:val="18"/>
        </w:rPr>
        <w:t xml:space="preserve"> </w:t>
      </w:r>
      <w:r>
        <w:rPr>
          <w:sz w:val="18"/>
        </w:rPr>
        <w:t>3.0</w:t>
      </w:r>
      <w:r w:rsidRPr="00EF70D5">
        <w:rPr>
          <w:sz w:val="18"/>
        </w:rPr>
        <w:t>%</w:t>
      </w:r>
    </w:p>
    <w:p w:rsidR="008C31E6" w:rsidRPr="001411BC" w:rsidRDefault="008C31E6" w:rsidP="008C31E6">
      <w:pPr>
        <w:pStyle w:val="Heading3"/>
        <w:spacing w:before="0" w:after="100" w:afterAutospacing="1"/>
        <w:rPr>
          <w:i/>
        </w:rPr>
      </w:pPr>
      <w:bookmarkStart w:id="45" w:name="_Toc328574067"/>
      <w:bookmarkStart w:id="46" w:name="_Toc339280282"/>
      <w:r w:rsidRPr="001411BC">
        <w:t xml:space="preserve">4.2.2 </w:t>
      </w:r>
      <w:r w:rsidRPr="001411BC">
        <w:tab/>
        <w:t>Statutory/Mandatory Training</w:t>
      </w:r>
      <w:bookmarkEnd w:id="45"/>
      <w:bookmarkEnd w:id="46"/>
    </w:p>
    <w:p w:rsidR="008C31E6" w:rsidRDefault="008C31E6" w:rsidP="00373936">
      <w:pPr>
        <w:spacing w:after="100" w:afterAutospacing="1"/>
        <w:jc w:val="both"/>
      </w:pPr>
      <w:r>
        <w:rPr>
          <w:rFonts w:cs="Arial"/>
        </w:rPr>
        <w:t>The Trust statutory training compliance was 83.26% in March.  As previously report</w:t>
      </w:r>
      <w:r w:rsidR="00373936">
        <w:rPr>
          <w:rFonts w:cs="Arial"/>
        </w:rPr>
        <w:t>ed</w:t>
      </w:r>
      <w:r>
        <w:rPr>
          <w:rFonts w:cs="Arial"/>
        </w:rPr>
        <w:t xml:space="preserve"> the Trust is taking formal action against staff that are a year or more out of date with one or more of their core training requirements.  Of the 127 staff that this applied to, 109 are now fully compliant and disciplinary action is being taken against the remaining 18 staff members. </w:t>
      </w:r>
    </w:p>
    <w:p w:rsidR="008C31E6" w:rsidRPr="003A7AF1" w:rsidRDefault="008C31E6" w:rsidP="008C31E6">
      <w:pPr>
        <w:spacing w:after="240"/>
        <w:rPr>
          <w:rFonts w:cs="Arial"/>
          <w:vanish/>
          <w:specVanish/>
        </w:rPr>
      </w:pPr>
      <w:r>
        <w:rPr>
          <w:rFonts w:cs="Arial"/>
        </w:rPr>
        <w:t xml:space="preserve"> </w:t>
      </w:r>
    </w:p>
    <w:p w:rsidR="008C31E6" w:rsidRPr="008A114F" w:rsidRDefault="008C31E6" w:rsidP="008C31E6">
      <w:pPr>
        <w:pStyle w:val="Default"/>
        <w:rPr>
          <w:rFonts w:asciiTheme="minorHAnsi" w:hAnsiTheme="minorHAnsi"/>
        </w:rPr>
      </w:pPr>
      <w:r>
        <w:rPr>
          <w:rFonts w:asciiTheme="minorHAnsi" w:hAnsiTheme="minorHAnsi"/>
        </w:rPr>
        <w:t xml:space="preserve"> </w:t>
      </w:r>
    </w:p>
    <w:p w:rsidR="008C31E6" w:rsidRPr="001411BC" w:rsidRDefault="008C31E6" w:rsidP="008C31E6">
      <w:pPr>
        <w:pStyle w:val="Heading3"/>
        <w:widowControl w:val="0"/>
        <w:numPr>
          <w:ilvl w:val="2"/>
          <w:numId w:val="31"/>
        </w:numPr>
        <w:autoSpaceDE w:val="0"/>
        <w:autoSpaceDN w:val="0"/>
        <w:adjustRightInd w:val="0"/>
        <w:spacing w:before="0" w:after="100" w:afterAutospacing="1" w:line="240" w:lineRule="auto"/>
        <w:rPr>
          <w:i/>
        </w:rPr>
      </w:pPr>
      <w:bookmarkStart w:id="47" w:name="_Toc328574068"/>
      <w:bookmarkStart w:id="48" w:name="_Toc339280283"/>
      <w:r w:rsidRPr="001411BC">
        <w:t>Appraisal</w:t>
      </w:r>
      <w:bookmarkEnd w:id="47"/>
      <w:bookmarkEnd w:id="48"/>
    </w:p>
    <w:p w:rsidR="008C31E6" w:rsidRPr="000A3EF2" w:rsidRDefault="008C31E6" w:rsidP="008C31E6">
      <w:pPr>
        <w:spacing w:after="100" w:afterAutospacing="1"/>
      </w:pPr>
      <w:r w:rsidRPr="000A3EF2">
        <w:rPr>
          <w:rFonts w:cs="Arial"/>
        </w:rPr>
        <w:t>The appraisal compliance rate</w:t>
      </w:r>
      <w:r>
        <w:rPr>
          <w:rFonts w:cs="Arial"/>
        </w:rPr>
        <w:t xml:space="preserve"> was 88.24% in March, and the Trust has consistently achieved above the 85% target for the past 10 months.  </w:t>
      </w:r>
    </w:p>
    <w:p w:rsidR="008C31E6" w:rsidRPr="00E15564" w:rsidRDefault="008C31E6" w:rsidP="008C31E6">
      <w:pPr>
        <w:pStyle w:val="Heading3"/>
        <w:spacing w:before="0" w:after="100" w:afterAutospacing="1"/>
        <w:rPr>
          <w:rFonts w:asciiTheme="minorHAnsi" w:hAnsiTheme="minorHAnsi"/>
          <w:i/>
        </w:rPr>
      </w:pPr>
      <w:r>
        <w:t>4.2.4</w:t>
      </w:r>
      <w:r w:rsidRPr="001411BC">
        <w:t xml:space="preserve"> </w:t>
      </w:r>
      <w:r>
        <w:rPr>
          <w:rFonts w:asciiTheme="minorHAnsi" w:hAnsiTheme="minorHAnsi"/>
        </w:rPr>
        <w:t>National Pay Deal</w:t>
      </w:r>
    </w:p>
    <w:p w:rsidR="008C31E6" w:rsidRPr="00373936" w:rsidRDefault="008C31E6" w:rsidP="00373936">
      <w:pPr>
        <w:spacing w:after="0"/>
        <w:jc w:val="both"/>
        <w:rPr>
          <w:rFonts w:cs="Arial"/>
          <w:color w:val="000000"/>
        </w:rPr>
      </w:pPr>
      <w:r w:rsidRPr="00373936">
        <w:rPr>
          <w:rFonts w:cs="Arial"/>
          <w:color w:val="000000"/>
        </w:rPr>
        <w:t>As reported in the last Board Report, the Trade Unions representing employees within the NHS accepted a pay proposal by the Secretary of State, as outlined below:</w:t>
      </w:r>
    </w:p>
    <w:p w:rsidR="008C31E6" w:rsidRPr="00373936" w:rsidRDefault="008C31E6" w:rsidP="00373936">
      <w:pPr>
        <w:spacing w:after="0"/>
        <w:jc w:val="both"/>
        <w:rPr>
          <w:rFonts w:cs="Arial"/>
          <w:color w:val="000000"/>
        </w:rPr>
      </w:pPr>
      <w:r w:rsidRPr="00373936">
        <w:rPr>
          <w:rFonts w:cs="Arial"/>
          <w:color w:val="000000"/>
        </w:rPr>
        <w:t xml:space="preserve"> </w:t>
      </w:r>
    </w:p>
    <w:p w:rsidR="008C31E6" w:rsidRPr="00373936" w:rsidRDefault="008C31E6" w:rsidP="00373936">
      <w:pPr>
        <w:pStyle w:val="Default"/>
        <w:numPr>
          <w:ilvl w:val="0"/>
          <w:numId w:val="30"/>
        </w:numPr>
        <w:ind w:left="720"/>
        <w:jc w:val="both"/>
        <w:rPr>
          <w:rFonts w:asciiTheme="minorHAnsi" w:hAnsiTheme="minorHAnsi"/>
          <w:sz w:val="22"/>
          <w:szCs w:val="22"/>
        </w:rPr>
      </w:pPr>
      <w:r w:rsidRPr="00373936">
        <w:rPr>
          <w:rFonts w:asciiTheme="minorHAnsi" w:hAnsiTheme="minorHAnsi" w:cs="Arial"/>
          <w:sz w:val="22"/>
          <w:szCs w:val="22"/>
        </w:rPr>
        <w:t>Abolition of the bottom point of AfC and increasing pay point 2 to £15,100. This means an increase of 5.6% for staff on point 1 and 3.1% for staff on pay point 2</w:t>
      </w:r>
    </w:p>
    <w:p w:rsidR="008C31E6" w:rsidRPr="00373936" w:rsidRDefault="008C31E6" w:rsidP="00373936">
      <w:pPr>
        <w:pStyle w:val="ListParagraph"/>
        <w:numPr>
          <w:ilvl w:val="0"/>
          <w:numId w:val="30"/>
        </w:numPr>
        <w:spacing w:after="0" w:line="240" w:lineRule="auto"/>
        <w:ind w:left="720"/>
        <w:contextualSpacing w:val="0"/>
        <w:jc w:val="both"/>
        <w:rPr>
          <w:color w:val="000000"/>
        </w:rPr>
      </w:pPr>
      <w:r w:rsidRPr="00373936">
        <w:rPr>
          <w:rFonts w:cs="Arial"/>
          <w:color w:val="000000"/>
        </w:rPr>
        <w:t>1% consolidated pay rise for all staff up to point 42 from April 2015.</w:t>
      </w:r>
    </w:p>
    <w:p w:rsidR="008C31E6" w:rsidRPr="00373936" w:rsidRDefault="008C31E6" w:rsidP="00373936">
      <w:pPr>
        <w:pStyle w:val="ListParagraph"/>
        <w:numPr>
          <w:ilvl w:val="0"/>
          <w:numId w:val="30"/>
        </w:numPr>
        <w:spacing w:after="0" w:line="240" w:lineRule="auto"/>
        <w:ind w:left="720"/>
        <w:contextualSpacing w:val="0"/>
        <w:jc w:val="both"/>
        <w:rPr>
          <w:color w:val="000000"/>
        </w:rPr>
      </w:pPr>
      <w:r w:rsidRPr="00373936">
        <w:rPr>
          <w:rFonts w:cs="Arial"/>
          <w:color w:val="000000"/>
        </w:rPr>
        <w:t>A further consolidated pay rise of an additional £200 for staff on pay points 3-8. This means staff on these pay points will receive an increase between 2.1% and 2.3%</w:t>
      </w:r>
    </w:p>
    <w:p w:rsidR="008C31E6" w:rsidRPr="00373936" w:rsidRDefault="008C31E6" w:rsidP="00373936">
      <w:pPr>
        <w:pStyle w:val="ListParagraph"/>
        <w:numPr>
          <w:ilvl w:val="0"/>
          <w:numId w:val="30"/>
        </w:numPr>
        <w:spacing w:after="0" w:line="240" w:lineRule="auto"/>
        <w:ind w:left="720"/>
        <w:contextualSpacing w:val="0"/>
        <w:jc w:val="both"/>
        <w:rPr>
          <w:color w:val="000000"/>
        </w:rPr>
      </w:pPr>
      <w:r w:rsidRPr="00373936">
        <w:rPr>
          <w:rFonts w:cs="Arial"/>
          <w:color w:val="000000"/>
        </w:rPr>
        <w:t>Staff   on pay points 34 to 54 will not be eligible for incremental pay progression from 1 April 2015 – 31 March 2016.</w:t>
      </w:r>
    </w:p>
    <w:p w:rsidR="008C31E6" w:rsidRPr="00373936" w:rsidRDefault="008C31E6" w:rsidP="00373936">
      <w:pPr>
        <w:pStyle w:val="Default"/>
        <w:jc w:val="both"/>
        <w:rPr>
          <w:rFonts w:asciiTheme="minorHAnsi" w:hAnsiTheme="minorHAnsi"/>
          <w:sz w:val="22"/>
          <w:szCs w:val="22"/>
        </w:rPr>
      </w:pPr>
    </w:p>
    <w:p w:rsidR="008C31E6" w:rsidRPr="00373936" w:rsidRDefault="008C31E6" w:rsidP="00373936">
      <w:pPr>
        <w:pStyle w:val="Default"/>
        <w:jc w:val="both"/>
        <w:rPr>
          <w:rFonts w:asciiTheme="minorHAnsi" w:hAnsiTheme="minorHAnsi"/>
          <w:sz w:val="22"/>
          <w:szCs w:val="22"/>
        </w:rPr>
      </w:pPr>
      <w:r w:rsidRPr="00373936">
        <w:rPr>
          <w:rFonts w:asciiTheme="minorHAnsi" w:hAnsiTheme="minorHAnsi"/>
          <w:sz w:val="22"/>
          <w:szCs w:val="22"/>
        </w:rPr>
        <w:t>These changes have now come into effect from 1</w:t>
      </w:r>
      <w:r w:rsidRPr="00373936">
        <w:rPr>
          <w:rFonts w:asciiTheme="minorHAnsi" w:hAnsiTheme="minorHAnsi"/>
          <w:sz w:val="22"/>
          <w:szCs w:val="22"/>
          <w:vertAlign w:val="superscript"/>
        </w:rPr>
        <w:t>st</w:t>
      </w:r>
      <w:r w:rsidRPr="00373936">
        <w:rPr>
          <w:rFonts w:asciiTheme="minorHAnsi" w:hAnsiTheme="minorHAnsi"/>
          <w:sz w:val="22"/>
          <w:szCs w:val="22"/>
        </w:rPr>
        <w:t xml:space="preserve"> April 2015 and have l been paid to staff in April. </w:t>
      </w:r>
    </w:p>
    <w:p w:rsidR="008C31E6" w:rsidRPr="00332B80" w:rsidRDefault="008C31E6" w:rsidP="008C31E6">
      <w:pPr>
        <w:pStyle w:val="Default"/>
        <w:rPr>
          <w:rFonts w:asciiTheme="minorHAnsi" w:hAnsiTheme="minorHAnsi"/>
        </w:rPr>
      </w:pPr>
    </w:p>
    <w:p w:rsidR="008C31E6" w:rsidRPr="00332B80" w:rsidRDefault="008C31E6" w:rsidP="008C31E6">
      <w:pPr>
        <w:pStyle w:val="Default"/>
        <w:rPr>
          <w:rFonts w:asciiTheme="minorHAnsi" w:hAnsiTheme="minorHAnsi"/>
        </w:rPr>
      </w:pPr>
    </w:p>
    <w:p w:rsidR="008C31E6" w:rsidRDefault="008C31E6" w:rsidP="008C31E6">
      <w:pPr>
        <w:pStyle w:val="Heading3"/>
        <w:widowControl w:val="0"/>
        <w:numPr>
          <w:ilvl w:val="2"/>
          <w:numId w:val="31"/>
        </w:numPr>
        <w:autoSpaceDE w:val="0"/>
        <w:autoSpaceDN w:val="0"/>
        <w:adjustRightInd w:val="0"/>
        <w:spacing w:before="0" w:after="100" w:afterAutospacing="1" w:line="240" w:lineRule="auto"/>
        <w:rPr>
          <w:i/>
        </w:rPr>
      </w:pPr>
      <w:r>
        <w:t xml:space="preserve">Overseas Recruitment (Nursing) </w:t>
      </w:r>
    </w:p>
    <w:p w:rsidR="008C31E6" w:rsidRPr="00325D15" w:rsidRDefault="008C31E6" w:rsidP="00E54133">
      <w:pPr>
        <w:pStyle w:val="ListParagraph"/>
        <w:jc w:val="both"/>
      </w:pPr>
      <w:r w:rsidRPr="00325D15">
        <w:t xml:space="preserve">The following chart </w:t>
      </w:r>
      <w:r>
        <w:t xml:space="preserve">outlines </w:t>
      </w:r>
      <w:r w:rsidRPr="00325D15">
        <w:t>the various overseas recruitment activities</w:t>
      </w:r>
      <w:r>
        <w:t xml:space="preserve"> in the last couple of years and clearly demonstrates </w:t>
      </w:r>
      <w:r w:rsidRPr="00325D15">
        <w:t xml:space="preserve">a higher dropout rate of candidates </w:t>
      </w:r>
      <w:r>
        <w:t xml:space="preserve">in more recent campaigns </w:t>
      </w:r>
      <w:r w:rsidRPr="00325D15">
        <w:t>when compared</w:t>
      </w:r>
      <w:r>
        <w:t xml:space="preserve"> to our successful recruitment campaign in Spain in </w:t>
      </w:r>
      <w:r w:rsidRPr="00325D15">
        <w:t xml:space="preserve">2013.  </w:t>
      </w:r>
    </w:p>
    <w:p w:rsidR="008C31E6" w:rsidRPr="00325D15" w:rsidRDefault="008C31E6" w:rsidP="00E54133">
      <w:pPr>
        <w:pStyle w:val="Default"/>
        <w:jc w:val="both"/>
        <w:rPr>
          <w:rFonts w:asciiTheme="minorHAnsi" w:hAnsiTheme="minorHAnsi"/>
        </w:rPr>
      </w:pPr>
    </w:p>
    <w:p w:rsidR="008C31E6" w:rsidRPr="00E54133" w:rsidRDefault="008C31E6" w:rsidP="00E54133">
      <w:pPr>
        <w:pStyle w:val="Default"/>
        <w:jc w:val="both"/>
        <w:rPr>
          <w:rFonts w:asciiTheme="minorHAnsi" w:hAnsiTheme="minorHAnsi"/>
          <w:sz w:val="22"/>
          <w:szCs w:val="22"/>
        </w:rPr>
      </w:pPr>
      <w:r w:rsidRPr="00E54133">
        <w:rPr>
          <w:rFonts w:asciiTheme="minorHAnsi" w:hAnsiTheme="minorHAnsi"/>
          <w:sz w:val="22"/>
          <w:szCs w:val="22"/>
        </w:rPr>
        <w:t xml:space="preserve">This shows that the market is becoming more competitive, and that therefore the challenge to recruit from the European market is increasingly difficult.  </w:t>
      </w:r>
    </w:p>
    <w:p w:rsidR="008C31E6" w:rsidRDefault="008C31E6" w:rsidP="00E54133">
      <w:pPr>
        <w:pStyle w:val="Default"/>
        <w:jc w:val="both"/>
        <w:rPr>
          <w:rFonts w:asciiTheme="minorHAnsi" w:hAnsiTheme="minorHAnsi"/>
        </w:rPr>
      </w:pPr>
    </w:p>
    <w:p w:rsidR="00373936" w:rsidRDefault="00373936" w:rsidP="008C31E6">
      <w:pPr>
        <w:pStyle w:val="Default"/>
        <w:rPr>
          <w:rFonts w:asciiTheme="minorHAnsi" w:hAnsiTheme="minorHAnsi"/>
        </w:rPr>
      </w:pPr>
    </w:p>
    <w:p w:rsidR="00373936" w:rsidRDefault="00373936" w:rsidP="008C31E6">
      <w:pPr>
        <w:pStyle w:val="Default"/>
        <w:rPr>
          <w:rFonts w:asciiTheme="minorHAnsi" w:hAnsiTheme="minorHAnsi"/>
        </w:rPr>
      </w:pPr>
    </w:p>
    <w:p w:rsidR="00373936" w:rsidRDefault="00373936" w:rsidP="008C31E6">
      <w:pPr>
        <w:pStyle w:val="Default"/>
        <w:rPr>
          <w:rFonts w:asciiTheme="minorHAnsi" w:hAnsiTheme="minorHAnsi"/>
        </w:rPr>
      </w:pPr>
    </w:p>
    <w:p w:rsidR="00373936" w:rsidRDefault="00373936" w:rsidP="008C31E6">
      <w:pPr>
        <w:pStyle w:val="Default"/>
        <w:rPr>
          <w:rFonts w:asciiTheme="minorHAnsi" w:hAnsiTheme="minorHAnsi"/>
        </w:rPr>
      </w:pPr>
    </w:p>
    <w:p w:rsidR="00373936" w:rsidRDefault="00373936" w:rsidP="008C31E6">
      <w:pPr>
        <w:pStyle w:val="Default"/>
        <w:rPr>
          <w:rFonts w:asciiTheme="minorHAnsi" w:hAnsiTheme="minorHAnsi"/>
        </w:rPr>
      </w:pPr>
    </w:p>
    <w:p w:rsidR="00373936" w:rsidRDefault="00373936" w:rsidP="008C31E6">
      <w:pPr>
        <w:pStyle w:val="Default"/>
        <w:rPr>
          <w:rFonts w:asciiTheme="minorHAnsi" w:hAnsiTheme="minorHAnsi"/>
        </w:rPr>
      </w:pPr>
    </w:p>
    <w:p w:rsidR="00373936" w:rsidRPr="00373936" w:rsidRDefault="00373936" w:rsidP="008C31E6">
      <w:pPr>
        <w:pStyle w:val="Default"/>
        <w:rPr>
          <w:rFonts w:asciiTheme="minorHAnsi" w:hAnsiTheme="minorHAnsi"/>
          <w:b/>
        </w:rPr>
      </w:pPr>
      <w:r w:rsidRPr="00373936">
        <w:rPr>
          <w:rFonts w:asciiTheme="minorHAnsi" w:hAnsiTheme="minorHAnsi"/>
          <w:b/>
        </w:rPr>
        <w:t>Figure 27:</w:t>
      </w:r>
    </w:p>
    <w:p w:rsidR="008C31E6" w:rsidRPr="00325D15" w:rsidRDefault="008C31E6" w:rsidP="008C31E6">
      <w:pPr>
        <w:pStyle w:val="Default"/>
      </w:pPr>
    </w:p>
    <w:tbl>
      <w:tblPr>
        <w:tblStyle w:val="TableGrid"/>
        <w:tblW w:w="9096" w:type="dxa"/>
        <w:tblLook w:val="04A0"/>
      </w:tblPr>
      <w:tblGrid>
        <w:gridCol w:w="1189"/>
        <w:gridCol w:w="1460"/>
        <w:gridCol w:w="1471"/>
        <w:gridCol w:w="1704"/>
        <w:gridCol w:w="1636"/>
        <w:gridCol w:w="1636"/>
      </w:tblGrid>
      <w:tr w:rsidR="008C31E6" w:rsidRPr="00325D15" w:rsidTr="007A0D27">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Year</w:t>
            </w:r>
          </w:p>
        </w:tc>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Interview location</w:t>
            </w:r>
          </w:p>
        </w:tc>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Number of candidates booked for interview</w:t>
            </w:r>
          </w:p>
        </w:tc>
        <w:tc>
          <w:tcPr>
            <w:tcW w:w="1757" w:type="dxa"/>
          </w:tcPr>
          <w:p w:rsidR="008C31E6" w:rsidRPr="00325D15" w:rsidRDefault="008C31E6" w:rsidP="007A0D27">
            <w:pPr>
              <w:pStyle w:val="Default"/>
              <w:rPr>
                <w:rFonts w:asciiTheme="minorHAnsi" w:hAnsiTheme="minorHAnsi"/>
              </w:rPr>
            </w:pPr>
            <w:r w:rsidRPr="00325D15">
              <w:rPr>
                <w:rFonts w:asciiTheme="minorHAnsi" w:hAnsiTheme="minorHAnsi"/>
              </w:rPr>
              <w:t>Number of candidates interviewed</w:t>
            </w:r>
          </w:p>
        </w:tc>
        <w:tc>
          <w:tcPr>
            <w:tcW w:w="1694" w:type="dxa"/>
          </w:tcPr>
          <w:p w:rsidR="008C31E6" w:rsidRPr="00325D15" w:rsidRDefault="008C31E6" w:rsidP="007A0D27">
            <w:pPr>
              <w:pStyle w:val="Default"/>
              <w:rPr>
                <w:rFonts w:asciiTheme="minorHAnsi" w:hAnsiTheme="minorHAnsi"/>
              </w:rPr>
            </w:pPr>
            <w:r w:rsidRPr="00325D15">
              <w:rPr>
                <w:rFonts w:asciiTheme="minorHAnsi" w:hAnsiTheme="minorHAnsi"/>
              </w:rPr>
              <w:t xml:space="preserve">Number of candidates offered </w:t>
            </w:r>
          </w:p>
        </w:tc>
        <w:tc>
          <w:tcPr>
            <w:tcW w:w="1694" w:type="dxa"/>
          </w:tcPr>
          <w:p w:rsidR="008C31E6" w:rsidRPr="00325D15" w:rsidRDefault="008C31E6" w:rsidP="007A0D27">
            <w:pPr>
              <w:pStyle w:val="Default"/>
              <w:rPr>
                <w:rFonts w:asciiTheme="minorHAnsi" w:hAnsiTheme="minorHAnsi"/>
              </w:rPr>
            </w:pPr>
            <w:r w:rsidRPr="00325D15">
              <w:rPr>
                <w:rFonts w:asciiTheme="minorHAnsi" w:hAnsiTheme="minorHAnsi"/>
              </w:rPr>
              <w:t>Number of candidates started</w:t>
            </w:r>
          </w:p>
        </w:tc>
      </w:tr>
      <w:tr w:rsidR="008C31E6" w:rsidRPr="00325D15" w:rsidTr="007A0D27">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2013</w:t>
            </w:r>
          </w:p>
        </w:tc>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Spain</w:t>
            </w:r>
          </w:p>
        </w:tc>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105</w:t>
            </w:r>
          </w:p>
        </w:tc>
        <w:tc>
          <w:tcPr>
            <w:tcW w:w="1757" w:type="dxa"/>
          </w:tcPr>
          <w:p w:rsidR="008C31E6" w:rsidRPr="00325D15" w:rsidRDefault="008C31E6" w:rsidP="007A0D27">
            <w:pPr>
              <w:pStyle w:val="Default"/>
              <w:rPr>
                <w:rFonts w:asciiTheme="minorHAnsi" w:hAnsiTheme="minorHAnsi"/>
              </w:rPr>
            </w:pPr>
            <w:r w:rsidRPr="00325D15">
              <w:rPr>
                <w:rFonts w:asciiTheme="minorHAnsi" w:hAnsiTheme="minorHAnsi"/>
              </w:rPr>
              <w:t>98</w:t>
            </w:r>
          </w:p>
        </w:tc>
        <w:tc>
          <w:tcPr>
            <w:tcW w:w="1694" w:type="dxa"/>
          </w:tcPr>
          <w:p w:rsidR="008C31E6" w:rsidRPr="00325D15" w:rsidRDefault="008C31E6" w:rsidP="007A0D27">
            <w:pPr>
              <w:pStyle w:val="Default"/>
              <w:rPr>
                <w:rFonts w:asciiTheme="minorHAnsi" w:hAnsiTheme="minorHAnsi"/>
              </w:rPr>
            </w:pPr>
            <w:r w:rsidRPr="00325D15">
              <w:rPr>
                <w:rFonts w:asciiTheme="minorHAnsi" w:hAnsiTheme="minorHAnsi"/>
              </w:rPr>
              <w:t>44</w:t>
            </w:r>
          </w:p>
        </w:tc>
        <w:tc>
          <w:tcPr>
            <w:tcW w:w="1694" w:type="dxa"/>
          </w:tcPr>
          <w:p w:rsidR="008C31E6" w:rsidRPr="00325D15" w:rsidRDefault="008C31E6" w:rsidP="007A0D27">
            <w:pPr>
              <w:pStyle w:val="Default"/>
              <w:rPr>
                <w:rFonts w:asciiTheme="minorHAnsi" w:hAnsiTheme="minorHAnsi"/>
              </w:rPr>
            </w:pPr>
            <w:r w:rsidRPr="00325D15">
              <w:rPr>
                <w:rFonts w:asciiTheme="minorHAnsi" w:hAnsiTheme="minorHAnsi"/>
              </w:rPr>
              <w:t>39</w:t>
            </w:r>
          </w:p>
        </w:tc>
      </w:tr>
      <w:tr w:rsidR="008C31E6" w:rsidRPr="00325D15" w:rsidTr="007A0D27">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2014</w:t>
            </w:r>
          </w:p>
        </w:tc>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Italy</w:t>
            </w:r>
          </w:p>
        </w:tc>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35</w:t>
            </w:r>
          </w:p>
        </w:tc>
        <w:tc>
          <w:tcPr>
            <w:tcW w:w="1757" w:type="dxa"/>
          </w:tcPr>
          <w:p w:rsidR="008C31E6" w:rsidRPr="00325D15" w:rsidRDefault="008C31E6" w:rsidP="007A0D27">
            <w:pPr>
              <w:pStyle w:val="Default"/>
              <w:rPr>
                <w:rFonts w:asciiTheme="minorHAnsi" w:hAnsiTheme="minorHAnsi"/>
              </w:rPr>
            </w:pPr>
            <w:r w:rsidRPr="00325D15">
              <w:rPr>
                <w:rFonts w:asciiTheme="minorHAnsi" w:hAnsiTheme="minorHAnsi"/>
              </w:rPr>
              <w:t>21</w:t>
            </w:r>
          </w:p>
        </w:tc>
        <w:tc>
          <w:tcPr>
            <w:tcW w:w="1694" w:type="dxa"/>
          </w:tcPr>
          <w:p w:rsidR="008C31E6" w:rsidRPr="00325D15" w:rsidRDefault="008C31E6" w:rsidP="007A0D27">
            <w:pPr>
              <w:pStyle w:val="Default"/>
              <w:rPr>
                <w:rFonts w:asciiTheme="minorHAnsi" w:hAnsiTheme="minorHAnsi"/>
              </w:rPr>
            </w:pPr>
            <w:r w:rsidRPr="00325D15">
              <w:rPr>
                <w:rFonts w:asciiTheme="minorHAnsi" w:hAnsiTheme="minorHAnsi"/>
              </w:rPr>
              <w:t>12</w:t>
            </w:r>
          </w:p>
        </w:tc>
        <w:tc>
          <w:tcPr>
            <w:tcW w:w="1694" w:type="dxa"/>
          </w:tcPr>
          <w:p w:rsidR="008C31E6" w:rsidRPr="00325D15" w:rsidRDefault="008C31E6" w:rsidP="007A0D27">
            <w:pPr>
              <w:pStyle w:val="Default"/>
              <w:rPr>
                <w:rFonts w:asciiTheme="minorHAnsi" w:hAnsiTheme="minorHAnsi"/>
              </w:rPr>
            </w:pPr>
            <w:r w:rsidRPr="00325D15">
              <w:rPr>
                <w:rFonts w:asciiTheme="minorHAnsi" w:hAnsiTheme="minorHAnsi"/>
              </w:rPr>
              <w:t>3</w:t>
            </w:r>
          </w:p>
        </w:tc>
      </w:tr>
      <w:tr w:rsidR="008C31E6" w:rsidRPr="00325D15" w:rsidTr="007A0D27">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2014</w:t>
            </w:r>
          </w:p>
        </w:tc>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Skype</w:t>
            </w:r>
          </w:p>
        </w:tc>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53</w:t>
            </w:r>
          </w:p>
        </w:tc>
        <w:tc>
          <w:tcPr>
            <w:tcW w:w="1757" w:type="dxa"/>
          </w:tcPr>
          <w:p w:rsidR="008C31E6" w:rsidRPr="00325D15" w:rsidRDefault="008C31E6" w:rsidP="007A0D27">
            <w:pPr>
              <w:pStyle w:val="Default"/>
              <w:rPr>
                <w:rFonts w:asciiTheme="minorHAnsi" w:hAnsiTheme="minorHAnsi"/>
              </w:rPr>
            </w:pPr>
            <w:r w:rsidRPr="00325D15">
              <w:rPr>
                <w:rFonts w:asciiTheme="minorHAnsi" w:hAnsiTheme="minorHAnsi"/>
              </w:rPr>
              <w:t>41</w:t>
            </w:r>
          </w:p>
        </w:tc>
        <w:tc>
          <w:tcPr>
            <w:tcW w:w="1694" w:type="dxa"/>
          </w:tcPr>
          <w:p w:rsidR="008C31E6" w:rsidRPr="00325D15" w:rsidRDefault="008C31E6" w:rsidP="007A0D27">
            <w:pPr>
              <w:pStyle w:val="Default"/>
              <w:rPr>
                <w:rFonts w:asciiTheme="minorHAnsi" w:hAnsiTheme="minorHAnsi"/>
              </w:rPr>
            </w:pPr>
            <w:r w:rsidRPr="00325D15">
              <w:rPr>
                <w:rFonts w:asciiTheme="minorHAnsi" w:hAnsiTheme="minorHAnsi"/>
              </w:rPr>
              <w:t>34</w:t>
            </w:r>
          </w:p>
        </w:tc>
        <w:tc>
          <w:tcPr>
            <w:tcW w:w="1694" w:type="dxa"/>
          </w:tcPr>
          <w:p w:rsidR="008C31E6" w:rsidRPr="00325D15" w:rsidRDefault="008C31E6" w:rsidP="007A0D27">
            <w:pPr>
              <w:pStyle w:val="Default"/>
              <w:rPr>
                <w:rFonts w:asciiTheme="minorHAnsi" w:hAnsiTheme="minorHAnsi"/>
              </w:rPr>
            </w:pPr>
            <w:r w:rsidRPr="00325D15">
              <w:rPr>
                <w:rFonts w:asciiTheme="minorHAnsi" w:hAnsiTheme="minorHAnsi"/>
              </w:rPr>
              <w:t>14</w:t>
            </w:r>
          </w:p>
        </w:tc>
      </w:tr>
      <w:tr w:rsidR="008C31E6" w:rsidRPr="00325D15" w:rsidTr="007A0D27">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2015</w:t>
            </w:r>
          </w:p>
        </w:tc>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Spain/Italy</w:t>
            </w:r>
          </w:p>
        </w:tc>
        <w:tc>
          <w:tcPr>
            <w:tcW w:w="1317" w:type="dxa"/>
          </w:tcPr>
          <w:p w:rsidR="008C31E6" w:rsidRPr="00325D15" w:rsidRDefault="008C31E6" w:rsidP="007A0D27">
            <w:pPr>
              <w:pStyle w:val="Default"/>
              <w:rPr>
                <w:rFonts w:asciiTheme="minorHAnsi" w:hAnsiTheme="minorHAnsi"/>
              </w:rPr>
            </w:pPr>
            <w:r w:rsidRPr="00325D15">
              <w:rPr>
                <w:rFonts w:asciiTheme="minorHAnsi" w:hAnsiTheme="minorHAnsi"/>
              </w:rPr>
              <w:t>20</w:t>
            </w:r>
          </w:p>
        </w:tc>
        <w:tc>
          <w:tcPr>
            <w:tcW w:w="1757" w:type="dxa"/>
          </w:tcPr>
          <w:p w:rsidR="008C31E6" w:rsidRPr="00325D15" w:rsidRDefault="008C31E6" w:rsidP="007A0D27">
            <w:pPr>
              <w:pStyle w:val="Default"/>
              <w:rPr>
                <w:rFonts w:asciiTheme="minorHAnsi" w:hAnsiTheme="minorHAnsi"/>
              </w:rPr>
            </w:pPr>
            <w:r w:rsidRPr="00325D15">
              <w:rPr>
                <w:rFonts w:asciiTheme="minorHAnsi" w:hAnsiTheme="minorHAnsi"/>
              </w:rPr>
              <w:t>10</w:t>
            </w:r>
          </w:p>
        </w:tc>
        <w:tc>
          <w:tcPr>
            <w:tcW w:w="1694" w:type="dxa"/>
          </w:tcPr>
          <w:p w:rsidR="008C31E6" w:rsidRPr="00325D15" w:rsidRDefault="008C31E6" w:rsidP="007A0D27">
            <w:pPr>
              <w:pStyle w:val="Default"/>
              <w:rPr>
                <w:rFonts w:asciiTheme="minorHAnsi" w:hAnsiTheme="minorHAnsi"/>
              </w:rPr>
            </w:pPr>
            <w:r w:rsidRPr="00325D15">
              <w:rPr>
                <w:rFonts w:asciiTheme="minorHAnsi" w:hAnsiTheme="minorHAnsi"/>
              </w:rPr>
              <w:t>6</w:t>
            </w:r>
          </w:p>
        </w:tc>
        <w:tc>
          <w:tcPr>
            <w:tcW w:w="1694" w:type="dxa"/>
          </w:tcPr>
          <w:p w:rsidR="008C31E6" w:rsidRPr="00325D15" w:rsidRDefault="008C31E6" w:rsidP="007A0D27">
            <w:pPr>
              <w:pStyle w:val="Default"/>
              <w:rPr>
                <w:rFonts w:asciiTheme="minorHAnsi" w:hAnsiTheme="minorHAnsi"/>
              </w:rPr>
            </w:pPr>
            <w:r w:rsidRPr="00325D15">
              <w:rPr>
                <w:rFonts w:asciiTheme="minorHAnsi" w:hAnsiTheme="minorHAnsi"/>
              </w:rPr>
              <w:t>2</w:t>
            </w:r>
          </w:p>
        </w:tc>
      </w:tr>
    </w:tbl>
    <w:p w:rsidR="008C31E6" w:rsidRPr="00325D15" w:rsidRDefault="008C31E6" w:rsidP="008C31E6">
      <w:pPr>
        <w:pStyle w:val="Default"/>
        <w:rPr>
          <w:rFonts w:asciiTheme="minorHAnsi" w:hAnsiTheme="minorHAnsi"/>
        </w:rPr>
      </w:pPr>
    </w:p>
    <w:p w:rsidR="008C31E6" w:rsidRPr="00373936" w:rsidRDefault="008C31E6" w:rsidP="008C31E6">
      <w:pPr>
        <w:pStyle w:val="Default"/>
        <w:rPr>
          <w:rFonts w:asciiTheme="minorHAnsi" w:hAnsiTheme="minorHAnsi"/>
          <w:sz w:val="22"/>
          <w:szCs w:val="22"/>
        </w:rPr>
      </w:pPr>
      <w:r w:rsidRPr="00373936">
        <w:rPr>
          <w:rFonts w:asciiTheme="minorHAnsi" w:hAnsiTheme="minorHAnsi"/>
          <w:sz w:val="22"/>
          <w:szCs w:val="22"/>
        </w:rPr>
        <w:t>Recognising the competitiveness of the recruitment market both nationally and internationally, the Trust is working on a partnership arrangement with another Hospital in Europe. It is therefore scheduled for a recruitment event to take place in May.</w:t>
      </w:r>
    </w:p>
    <w:p w:rsidR="008C31E6" w:rsidRPr="00325D15" w:rsidRDefault="008C31E6" w:rsidP="008C31E6">
      <w:pPr>
        <w:pStyle w:val="Default"/>
        <w:rPr>
          <w:rFonts w:asciiTheme="minorHAnsi" w:hAnsiTheme="minorHAnsi"/>
        </w:rPr>
      </w:pPr>
      <w:r>
        <w:rPr>
          <w:rFonts w:asciiTheme="minorHAnsi" w:hAnsiTheme="minorHAnsi"/>
        </w:rPr>
        <w:t xml:space="preserve"> </w:t>
      </w:r>
    </w:p>
    <w:p w:rsidR="00B37202" w:rsidRPr="00B944EC" w:rsidRDefault="00B37202" w:rsidP="003F3556">
      <w:pPr>
        <w:pStyle w:val="Heading2"/>
        <w:spacing w:after="100" w:afterAutospacing="1"/>
      </w:pPr>
    </w:p>
    <w:bookmarkEnd w:id="5"/>
    <w:bookmarkEnd w:id="6"/>
    <w:p w:rsidR="007366FD" w:rsidRDefault="007366FD" w:rsidP="007366FD">
      <w:pPr>
        <w:jc w:val="both"/>
        <w:rPr>
          <w:sz w:val="24"/>
          <w:szCs w:val="24"/>
        </w:rPr>
      </w:pPr>
    </w:p>
    <w:p w:rsidR="005B651D" w:rsidRDefault="005B651D" w:rsidP="007366FD">
      <w:pPr>
        <w:jc w:val="both"/>
        <w:rPr>
          <w:sz w:val="24"/>
          <w:szCs w:val="24"/>
        </w:rPr>
      </w:pPr>
    </w:p>
    <w:p w:rsidR="005B651D" w:rsidRDefault="005B651D" w:rsidP="007366FD">
      <w:pPr>
        <w:jc w:val="both"/>
        <w:rPr>
          <w:sz w:val="24"/>
          <w:szCs w:val="24"/>
        </w:rPr>
      </w:pPr>
    </w:p>
    <w:p w:rsidR="005B651D" w:rsidRDefault="005B651D" w:rsidP="007366FD">
      <w:pPr>
        <w:jc w:val="both"/>
        <w:rPr>
          <w:sz w:val="24"/>
          <w:szCs w:val="24"/>
        </w:rPr>
      </w:pPr>
    </w:p>
    <w:p w:rsidR="005B651D" w:rsidRDefault="005B651D" w:rsidP="007366FD">
      <w:pPr>
        <w:jc w:val="both"/>
        <w:rPr>
          <w:sz w:val="24"/>
          <w:szCs w:val="24"/>
        </w:rPr>
      </w:pPr>
    </w:p>
    <w:p w:rsidR="005B651D" w:rsidRDefault="005B651D" w:rsidP="007366FD">
      <w:pPr>
        <w:jc w:val="both"/>
        <w:rPr>
          <w:sz w:val="24"/>
          <w:szCs w:val="24"/>
        </w:rPr>
      </w:pPr>
    </w:p>
    <w:p w:rsidR="005B651D" w:rsidRDefault="005B651D" w:rsidP="007366FD">
      <w:pPr>
        <w:jc w:val="both"/>
        <w:rPr>
          <w:sz w:val="24"/>
          <w:szCs w:val="24"/>
        </w:rPr>
      </w:pPr>
    </w:p>
    <w:p w:rsidR="005B651D" w:rsidRDefault="005B651D" w:rsidP="007366FD">
      <w:pPr>
        <w:jc w:val="both"/>
        <w:rPr>
          <w:sz w:val="24"/>
          <w:szCs w:val="24"/>
        </w:rPr>
      </w:pPr>
    </w:p>
    <w:p w:rsidR="005B651D" w:rsidRDefault="005B651D" w:rsidP="007366FD">
      <w:pPr>
        <w:jc w:val="both"/>
        <w:rPr>
          <w:sz w:val="24"/>
          <w:szCs w:val="24"/>
        </w:rPr>
      </w:pPr>
    </w:p>
    <w:p w:rsidR="005B651D" w:rsidRDefault="005B651D" w:rsidP="007366FD">
      <w:pPr>
        <w:jc w:val="both"/>
        <w:rPr>
          <w:sz w:val="24"/>
          <w:szCs w:val="24"/>
        </w:rPr>
      </w:pPr>
    </w:p>
    <w:p w:rsidR="005B651D" w:rsidRDefault="005B651D" w:rsidP="007366FD">
      <w:pPr>
        <w:jc w:val="both"/>
        <w:rPr>
          <w:sz w:val="24"/>
          <w:szCs w:val="24"/>
        </w:rPr>
      </w:pPr>
    </w:p>
    <w:p w:rsidR="006A5984" w:rsidRDefault="006A5984">
      <w:pPr>
        <w:rPr>
          <w:rFonts w:asciiTheme="majorHAnsi" w:eastAsiaTheme="majorEastAsia" w:hAnsiTheme="majorHAnsi" w:cstheme="majorBidi"/>
          <w:b/>
          <w:color w:val="343434" w:themeColor="text2" w:themeShade="BF"/>
          <w:spacing w:val="5"/>
          <w:kern w:val="28"/>
          <w:sz w:val="52"/>
          <w:szCs w:val="52"/>
        </w:rPr>
      </w:pPr>
      <w:bookmarkStart w:id="49" w:name="_Toc326332013"/>
      <w:bookmarkStart w:id="50" w:name="_Toc339280260"/>
      <w:bookmarkStart w:id="51" w:name="_Toc388626829"/>
    </w:p>
    <w:p w:rsidR="005B651D" w:rsidRDefault="005B651D" w:rsidP="005B651D">
      <w:pPr>
        <w:pStyle w:val="Title"/>
        <w:outlineLvl w:val="0"/>
        <w:rPr>
          <w:b/>
        </w:rPr>
      </w:pPr>
      <w:r w:rsidRPr="00D80C86">
        <w:rPr>
          <w:b/>
        </w:rPr>
        <w:t>Section 5 - Finance Report</w:t>
      </w:r>
      <w:bookmarkEnd w:id="49"/>
      <w:bookmarkEnd w:id="50"/>
      <w:bookmarkEnd w:id="51"/>
    </w:p>
    <w:p w:rsidR="00E54133" w:rsidRPr="00E54133" w:rsidRDefault="00E54133" w:rsidP="00E54133">
      <w:r>
        <w:t>Executive Lead – Mr Rob Little</w:t>
      </w:r>
    </w:p>
    <w:p w:rsidR="005B651D" w:rsidRPr="00D80C86" w:rsidRDefault="00690916" w:rsidP="005B651D">
      <w:pPr>
        <w:pStyle w:val="Heading2"/>
      </w:pPr>
      <w:bookmarkStart w:id="52" w:name="_Toc318461791"/>
      <w:r>
        <w:rPr>
          <w:noProof/>
        </w:rPr>
        <w:pict>
          <v:roundrect id="AutoShape 2" o:spid="_x0000_s1045" style="position:absolute;margin-left:-20pt;margin-top:-.25pt;width:511.55pt;height:263.25pt;z-index:-251572224;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" fillcolor="white [3201]" strokecolor="#79cbdf [1940]" strokeweight="1pt">
            <v:fill color2="#a6dcea [1300]" focus="100%" type="gradient"/>
            <v:shadow on="t" color="#16505e [1604]" opacity=".5" offset="1pt"/>
            <v:textbox style="mso-next-textbox:#AutoShape 2">
              <w:txbxContent>
                <w:p w:rsidR="00020FC4" w:rsidRPr="00681A68" w:rsidRDefault="00020FC4" w:rsidP="005B651D">
                  <w:pPr>
                    <w:spacing w:after="0"/>
                  </w:pPr>
                </w:p>
              </w:txbxContent>
            </v:textbox>
          </v:roundrect>
        </w:pict>
      </w:r>
    </w:p>
    <w:p w:rsidR="001C7E4A" w:rsidRDefault="005B651D" w:rsidP="001C7E4A">
      <w:pPr>
        <w:pStyle w:val="Heading2"/>
        <w:tabs>
          <w:tab w:val="left" w:pos="4770"/>
        </w:tabs>
      </w:pPr>
      <w:bookmarkStart w:id="53" w:name="_Toc326332014"/>
      <w:bookmarkStart w:id="54" w:name="_Toc339280261"/>
      <w:bookmarkStart w:id="55" w:name="_Toc388626830"/>
      <w:r w:rsidRPr="00D80C86">
        <w:t>5.1 Executive Summary Headlines</w:t>
      </w:r>
      <w:bookmarkEnd w:id="52"/>
      <w:bookmarkEnd w:id="53"/>
      <w:bookmarkEnd w:id="54"/>
      <w:bookmarkEnd w:id="55"/>
    </w:p>
    <w:p w:rsidR="001C7E4A" w:rsidRPr="001C7E4A" w:rsidRDefault="001C7E4A" w:rsidP="001C7E4A">
      <w:pPr>
        <w:pStyle w:val="BodyTextIndent"/>
        <w:widowControl/>
        <w:numPr>
          <w:ilvl w:val="0"/>
          <w:numId w:val="16"/>
        </w:numPr>
        <w:autoSpaceDE/>
        <w:autoSpaceDN/>
        <w:adjustRightInd/>
        <w:spacing w:after="240"/>
        <w:ind w:hanging="578"/>
        <w:jc w:val="both"/>
        <w:rPr>
          <w:rFonts w:asciiTheme="minorHAnsi" w:hAnsiTheme="minorHAnsi" w:cs="Arial"/>
          <w:sz w:val="22"/>
          <w:szCs w:val="22"/>
        </w:rPr>
      </w:pPr>
      <w:r w:rsidRPr="001C7E4A">
        <w:rPr>
          <w:rFonts w:asciiTheme="minorHAnsi" w:hAnsiTheme="minorHAnsi" w:cs="Arial"/>
          <w:sz w:val="22"/>
          <w:szCs w:val="22"/>
        </w:rPr>
        <w:t xml:space="preserve">The financial position at Month 12 is that the Trust is reporting a deficit of £3,902k which is an improvement of £1,048k compared to the plan. </w:t>
      </w:r>
    </w:p>
    <w:p w:rsidR="001C7E4A" w:rsidRPr="001C7E4A" w:rsidRDefault="001C7E4A" w:rsidP="001C7E4A">
      <w:pPr>
        <w:pStyle w:val="BodyTextIndent"/>
        <w:widowControl/>
        <w:numPr>
          <w:ilvl w:val="0"/>
          <w:numId w:val="16"/>
        </w:numPr>
        <w:autoSpaceDE/>
        <w:autoSpaceDN/>
        <w:adjustRightInd/>
        <w:spacing w:after="240"/>
        <w:ind w:hanging="578"/>
        <w:jc w:val="both"/>
        <w:rPr>
          <w:rFonts w:asciiTheme="minorHAnsi" w:hAnsiTheme="minorHAnsi" w:cs="Arial"/>
          <w:sz w:val="22"/>
          <w:szCs w:val="22"/>
        </w:rPr>
      </w:pPr>
      <w:r w:rsidRPr="001C7E4A">
        <w:rPr>
          <w:rFonts w:asciiTheme="minorHAnsi" w:hAnsiTheme="minorHAnsi" w:cs="Arial"/>
          <w:sz w:val="22"/>
          <w:szCs w:val="22"/>
        </w:rPr>
        <w:t>Overall income is £1,367k over plan at the end of March.</w:t>
      </w:r>
    </w:p>
    <w:p w:rsidR="001C7E4A" w:rsidRPr="001C7E4A" w:rsidRDefault="001C7E4A" w:rsidP="001C7E4A">
      <w:pPr>
        <w:pStyle w:val="BodyTextIndent"/>
        <w:widowControl/>
        <w:numPr>
          <w:ilvl w:val="0"/>
          <w:numId w:val="16"/>
        </w:numPr>
        <w:autoSpaceDE/>
        <w:autoSpaceDN/>
        <w:adjustRightInd/>
        <w:spacing w:after="240"/>
        <w:ind w:hanging="578"/>
        <w:jc w:val="both"/>
        <w:rPr>
          <w:rFonts w:asciiTheme="minorHAnsi" w:hAnsiTheme="minorHAnsi" w:cs="Arial"/>
          <w:sz w:val="22"/>
          <w:szCs w:val="22"/>
        </w:rPr>
      </w:pPr>
      <w:r w:rsidRPr="001C7E4A">
        <w:rPr>
          <w:rFonts w:asciiTheme="minorHAnsi" w:hAnsiTheme="minorHAnsi" w:cs="Arial"/>
          <w:sz w:val="22"/>
          <w:szCs w:val="22"/>
        </w:rPr>
        <w:t>Overall expenditure is £433k over plan at the end of March.</w:t>
      </w:r>
    </w:p>
    <w:p w:rsidR="001C7E4A" w:rsidRPr="001C7E4A" w:rsidRDefault="001C7E4A" w:rsidP="001C7E4A">
      <w:pPr>
        <w:pStyle w:val="BodyTextIndent"/>
        <w:widowControl/>
        <w:numPr>
          <w:ilvl w:val="0"/>
          <w:numId w:val="16"/>
        </w:numPr>
        <w:autoSpaceDE/>
        <w:autoSpaceDN/>
        <w:adjustRightInd/>
        <w:spacing w:after="240"/>
        <w:ind w:hanging="578"/>
        <w:jc w:val="both"/>
        <w:rPr>
          <w:rFonts w:asciiTheme="minorHAnsi" w:hAnsiTheme="minorHAnsi" w:cs="Arial"/>
          <w:sz w:val="22"/>
          <w:szCs w:val="22"/>
        </w:rPr>
      </w:pPr>
      <w:r w:rsidRPr="001C7E4A">
        <w:rPr>
          <w:rFonts w:asciiTheme="minorHAnsi" w:hAnsiTheme="minorHAnsi" w:cs="Arial"/>
          <w:sz w:val="22"/>
          <w:szCs w:val="22"/>
        </w:rPr>
        <w:t>The Trust has achieved and/or improved on all of the planned financial duties as shown in the financial dashboard for 2014/15.</w:t>
      </w:r>
    </w:p>
    <w:p w:rsidR="001C7E4A" w:rsidRPr="001C7E4A" w:rsidRDefault="001C7E4A" w:rsidP="001C7E4A">
      <w:pPr>
        <w:pStyle w:val="BodyTextIndent"/>
        <w:widowControl/>
        <w:numPr>
          <w:ilvl w:val="0"/>
          <w:numId w:val="16"/>
        </w:numPr>
        <w:autoSpaceDE/>
        <w:autoSpaceDN/>
        <w:adjustRightInd/>
        <w:spacing w:after="240"/>
        <w:ind w:hanging="578"/>
        <w:jc w:val="both"/>
        <w:rPr>
          <w:rFonts w:asciiTheme="minorHAnsi" w:hAnsiTheme="minorHAnsi" w:cs="Arial"/>
          <w:sz w:val="22"/>
          <w:szCs w:val="22"/>
        </w:rPr>
      </w:pPr>
      <w:r w:rsidRPr="001C7E4A">
        <w:rPr>
          <w:rFonts w:asciiTheme="minorHAnsi" w:hAnsiTheme="minorHAnsi" w:cs="Arial"/>
          <w:sz w:val="22"/>
          <w:szCs w:val="22"/>
        </w:rPr>
        <w:t>The accounts were submitted by the deadline to the Trust Development Authority and the Trusts External Auditors on Thursday 23th April 2015.</w:t>
      </w:r>
    </w:p>
    <w:p w:rsidR="006A5984" w:rsidRDefault="001C7E4A" w:rsidP="001C7E4A">
      <w:pPr>
        <w:pStyle w:val="Heading2"/>
        <w:tabs>
          <w:tab w:val="left" w:pos="4770"/>
        </w:tabs>
      </w:pPr>
      <w:r>
        <w:tab/>
      </w:r>
    </w:p>
    <w:p w:rsidR="001C7E4A" w:rsidRPr="001C7E4A" w:rsidRDefault="001C7E4A" w:rsidP="001C7E4A">
      <w:pPr>
        <w:pStyle w:val="Heading2"/>
        <w:rPr>
          <w:rFonts w:asciiTheme="minorHAnsi" w:hAnsiTheme="minorHAnsi" w:cs="Arial"/>
        </w:rPr>
      </w:pPr>
      <w:bookmarkStart w:id="56" w:name="_Toc388626831"/>
      <w:r w:rsidRPr="009754F1">
        <w:rPr>
          <w:rStyle w:val="IntenseEmphasis"/>
        </w:rPr>
        <w:t>5.1.1 Statement of Comprehensive Income Position to Date</w:t>
      </w:r>
      <w:bookmarkEnd w:id="56"/>
      <w:r w:rsidRPr="009754F1">
        <w:rPr>
          <w:rStyle w:val="IntenseEmphasis"/>
        </w:rPr>
        <w:t xml:space="preserve"> </w:t>
      </w:r>
    </w:p>
    <w:p w:rsidR="001C7E4A" w:rsidRPr="001C7E4A" w:rsidRDefault="001C7E4A" w:rsidP="001C7E4A">
      <w:pPr>
        <w:pStyle w:val="BodyTextIndent"/>
        <w:spacing w:after="240"/>
        <w:jc w:val="both"/>
        <w:rPr>
          <w:rFonts w:asciiTheme="minorHAnsi" w:hAnsiTheme="minorHAnsi" w:cs="Arial"/>
          <w:sz w:val="22"/>
          <w:szCs w:val="22"/>
        </w:rPr>
      </w:pPr>
      <w:r w:rsidRPr="001C7E4A">
        <w:rPr>
          <w:rFonts w:asciiTheme="minorHAnsi" w:hAnsiTheme="minorHAnsi" w:cs="Arial"/>
          <w:sz w:val="22"/>
          <w:szCs w:val="22"/>
        </w:rPr>
        <w:t>The financial position at the year end is that the Trust reported a £3,902k deficit which is an improvement of £1,048k on the plan.</w:t>
      </w:r>
    </w:p>
    <w:p w:rsidR="001C7E4A" w:rsidRPr="001C7E4A" w:rsidRDefault="001C7E4A" w:rsidP="001C7E4A">
      <w:pPr>
        <w:jc w:val="both"/>
        <w:rPr>
          <w:rFonts w:cs="Arial"/>
        </w:rPr>
      </w:pPr>
      <w:r w:rsidRPr="001C7E4A">
        <w:rPr>
          <w:rFonts w:cs="Arial"/>
        </w:rPr>
        <w:t xml:space="preserve">Revenue from patient activity is £460k over plan for the 12 months to the end of March 2015. Other sources of income are £907k over plan. </w:t>
      </w:r>
    </w:p>
    <w:p w:rsidR="001C7E4A" w:rsidRPr="001C7E4A" w:rsidRDefault="001C7E4A" w:rsidP="001C7E4A">
      <w:pPr>
        <w:pStyle w:val="Default"/>
        <w:jc w:val="both"/>
        <w:rPr>
          <w:sz w:val="22"/>
          <w:szCs w:val="22"/>
        </w:rPr>
      </w:pPr>
    </w:p>
    <w:p w:rsidR="001C7E4A" w:rsidRPr="001C7E4A" w:rsidRDefault="001C7E4A" w:rsidP="001C7E4A">
      <w:pPr>
        <w:pStyle w:val="ListParagraph"/>
        <w:spacing w:after="240"/>
        <w:jc w:val="both"/>
        <w:rPr>
          <w:rFonts w:cs="Arial"/>
        </w:rPr>
      </w:pPr>
      <w:r w:rsidRPr="001C7E4A">
        <w:rPr>
          <w:rFonts w:cs="Arial"/>
        </w:rPr>
        <w:t>Overall expenditure for pay, non pay, reserves and depreciation is £429k over plan for the 12 months to the end of March.  Pay and non pay expenditure is £1,506k over plan and this is partially offset by £1,073k of reserves.</w:t>
      </w:r>
    </w:p>
    <w:p w:rsidR="001C7E4A" w:rsidRPr="001C7E4A" w:rsidRDefault="001C7E4A" w:rsidP="001C7E4A">
      <w:pPr>
        <w:pStyle w:val="BodyTextIndent"/>
        <w:spacing w:after="240"/>
        <w:ind w:left="5"/>
        <w:jc w:val="both"/>
        <w:rPr>
          <w:rFonts w:asciiTheme="minorHAnsi" w:hAnsiTheme="minorHAnsi"/>
          <w:sz w:val="22"/>
          <w:szCs w:val="22"/>
        </w:rPr>
      </w:pPr>
      <w:r w:rsidRPr="001C7E4A">
        <w:rPr>
          <w:rFonts w:asciiTheme="minorHAnsi" w:hAnsiTheme="minorHAnsi" w:cs="Arial"/>
          <w:sz w:val="22"/>
          <w:szCs w:val="22"/>
        </w:rPr>
        <w:t xml:space="preserve">The Trust’s Service Improvement Programme (SIP) is above target by £4k with </w:t>
      </w:r>
      <w:r w:rsidRPr="001C7E4A">
        <w:rPr>
          <w:rFonts w:asciiTheme="minorHAnsi" w:hAnsiTheme="minorHAnsi"/>
          <w:sz w:val="22"/>
          <w:szCs w:val="22"/>
        </w:rPr>
        <w:t>a full year achievement of £4,504k against the target of £4,500k.</w:t>
      </w:r>
    </w:p>
    <w:p w:rsidR="001C7E4A" w:rsidRPr="001C7E4A" w:rsidRDefault="001C7E4A" w:rsidP="001C7E4A">
      <w:pPr>
        <w:jc w:val="both"/>
        <w:rPr>
          <w:rStyle w:val="IntenseEmphasis"/>
          <w:b w:val="0"/>
          <w:bCs w:val="0"/>
          <w:i w:val="0"/>
          <w:iCs w:val="0"/>
        </w:rPr>
      </w:pPr>
      <w:r w:rsidRPr="001C7E4A">
        <w:rPr>
          <w:rFonts w:cs="Arial"/>
        </w:rPr>
        <w:t>The adjusted run rate for expenditure has increased by £83k in March when compared with the February level.</w:t>
      </w:r>
      <w:bookmarkStart w:id="57" w:name="_Toc313625297"/>
      <w:bookmarkStart w:id="58" w:name="_Toc326332016"/>
      <w:bookmarkStart w:id="59" w:name="_Toc339280263"/>
      <w:bookmarkStart w:id="60" w:name="_Toc388626832"/>
    </w:p>
    <w:p w:rsidR="001C7E4A" w:rsidRPr="001C7E4A" w:rsidRDefault="001C7E4A" w:rsidP="001C7E4A">
      <w:pPr>
        <w:pStyle w:val="Heading3"/>
        <w:spacing w:after="240"/>
        <w:jc w:val="both"/>
        <w:rPr>
          <w:rStyle w:val="IntenseEmphasis"/>
        </w:rPr>
      </w:pPr>
      <w:r w:rsidRPr="001C7E4A">
        <w:rPr>
          <w:rStyle w:val="IntenseEmphasis"/>
        </w:rPr>
        <w:t xml:space="preserve">5.1.2 Statement of Comprehensive Income Position In Month </w:t>
      </w:r>
    </w:p>
    <w:p w:rsidR="001C7E4A" w:rsidRPr="001C7E4A" w:rsidRDefault="001C7E4A" w:rsidP="001C7E4A">
      <w:pPr>
        <w:jc w:val="both"/>
      </w:pPr>
      <w:r w:rsidRPr="001C7E4A">
        <w:t>Income from patient care activity is £57k less than plan whilst other sources of income generated £43k more than plan.</w:t>
      </w:r>
    </w:p>
    <w:p w:rsidR="001C7E4A" w:rsidRPr="001C7E4A" w:rsidRDefault="001C7E4A" w:rsidP="001C7E4A">
      <w:pPr>
        <w:pStyle w:val="Default"/>
        <w:jc w:val="both"/>
        <w:rPr>
          <w:rFonts w:asciiTheme="minorHAnsi" w:hAnsiTheme="minorHAnsi"/>
          <w:sz w:val="22"/>
          <w:szCs w:val="22"/>
        </w:rPr>
      </w:pPr>
    </w:p>
    <w:p w:rsidR="001C7E4A" w:rsidRPr="001C7E4A" w:rsidRDefault="001C7E4A" w:rsidP="001C7E4A">
      <w:pPr>
        <w:pStyle w:val="Default"/>
        <w:jc w:val="both"/>
        <w:rPr>
          <w:rFonts w:asciiTheme="minorHAnsi" w:hAnsiTheme="minorHAnsi"/>
          <w:sz w:val="22"/>
          <w:szCs w:val="22"/>
        </w:rPr>
      </w:pPr>
      <w:r w:rsidRPr="001C7E4A">
        <w:rPr>
          <w:rFonts w:asciiTheme="minorHAnsi" w:hAnsiTheme="minorHAnsi"/>
          <w:sz w:val="22"/>
          <w:szCs w:val="22"/>
        </w:rPr>
        <w:t xml:space="preserve">Pay and non pay expenditure, including savings delivery, is £127k over plan for the month of </w:t>
      </w:r>
      <w:bookmarkEnd w:id="57"/>
      <w:bookmarkEnd w:id="58"/>
      <w:bookmarkEnd w:id="59"/>
      <w:bookmarkEnd w:id="60"/>
      <w:r w:rsidRPr="001C7E4A">
        <w:rPr>
          <w:rFonts w:asciiTheme="minorHAnsi" w:hAnsiTheme="minorHAnsi"/>
          <w:sz w:val="22"/>
          <w:szCs w:val="22"/>
        </w:rPr>
        <w:t xml:space="preserve">March. </w:t>
      </w:r>
    </w:p>
    <w:p w:rsidR="001C7E4A" w:rsidRPr="001C7E4A" w:rsidRDefault="001C7E4A" w:rsidP="001C7E4A">
      <w:pPr>
        <w:pStyle w:val="Default"/>
        <w:jc w:val="both"/>
        <w:rPr>
          <w:rStyle w:val="IntenseEmphasis"/>
          <w:rFonts w:asciiTheme="minorHAnsi" w:hAnsiTheme="minorHAnsi"/>
          <w:b w:val="0"/>
          <w:bCs w:val="0"/>
          <w:i w:val="0"/>
          <w:iCs w:val="0"/>
          <w:sz w:val="22"/>
          <w:szCs w:val="22"/>
        </w:rPr>
      </w:pPr>
    </w:p>
    <w:p w:rsidR="001C7E4A" w:rsidRPr="001C7E4A" w:rsidRDefault="001C7E4A" w:rsidP="001C7E4A">
      <w:pPr>
        <w:pStyle w:val="Default"/>
        <w:jc w:val="both"/>
        <w:rPr>
          <w:rFonts w:asciiTheme="minorHAnsi" w:hAnsiTheme="minorHAnsi"/>
          <w:sz w:val="22"/>
          <w:szCs w:val="22"/>
        </w:rPr>
      </w:pPr>
      <w:r w:rsidRPr="001C7E4A">
        <w:rPr>
          <w:rFonts w:asciiTheme="minorHAnsi" w:hAnsiTheme="minorHAnsi" w:cs="Arial"/>
          <w:sz w:val="22"/>
          <w:szCs w:val="22"/>
        </w:rPr>
        <w:t>The Trust’s Service Improvement Programme (SIP) delivered £</w:t>
      </w:r>
      <w:r w:rsidRPr="001C7E4A">
        <w:rPr>
          <w:rFonts w:asciiTheme="minorHAnsi" w:hAnsiTheme="minorHAnsi"/>
          <w:sz w:val="22"/>
          <w:szCs w:val="22"/>
        </w:rPr>
        <w:t>930k</w:t>
      </w:r>
      <w:r w:rsidRPr="001C7E4A">
        <w:rPr>
          <w:rFonts w:asciiTheme="minorHAnsi" w:hAnsiTheme="minorHAnsi" w:cs="Arial"/>
          <w:sz w:val="22"/>
          <w:szCs w:val="22"/>
        </w:rPr>
        <w:t xml:space="preserve"> in March against a plan of £423k and has now reached the target for the year.</w:t>
      </w:r>
    </w:p>
    <w:p w:rsidR="001C7E4A" w:rsidRPr="001C7E4A" w:rsidRDefault="001C7E4A" w:rsidP="001C7E4A">
      <w:pPr>
        <w:pStyle w:val="Heading3"/>
        <w:spacing w:after="240"/>
        <w:jc w:val="both"/>
        <w:rPr>
          <w:rStyle w:val="IntenseEmphasis"/>
          <w:b/>
          <w:bCs/>
          <w:i w:val="0"/>
          <w:iCs w:val="0"/>
        </w:rPr>
      </w:pPr>
      <w:bookmarkStart w:id="61" w:name="_Toc326332018"/>
      <w:bookmarkStart w:id="62" w:name="_Toc388626833"/>
      <w:bookmarkStart w:id="63" w:name="_Toc313625301"/>
      <w:r w:rsidRPr="001C7E4A">
        <w:rPr>
          <w:rStyle w:val="IntenseEmphasis"/>
        </w:rPr>
        <w:t>5.1.3 Cash</w:t>
      </w:r>
      <w:bookmarkEnd w:id="61"/>
      <w:bookmarkEnd w:id="62"/>
      <w:r w:rsidRPr="001C7E4A">
        <w:rPr>
          <w:rStyle w:val="IntenseEmphasis"/>
        </w:rPr>
        <w:t xml:space="preserve"> </w:t>
      </w:r>
      <w:bookmarkEnd w:id="63"/>
    </w:p>
    <w:p w:rsidR="001C7E4A" w:rsidRPr="001C7E4A" w:rsidRDefault="001C7E4A" w:rsidP="001C7E4A">
      <w:pPr>
        <w:spacing w:before="240" w:after="240"/>
        <w:jc w:val="both"/>
        <w:rPr>
          <w:rFonts w:cs="Arial"/>
        </w:rPr>
      </w:pPr>
      <w:r w:rsidRPr="001C7E4A">
        <w:rPr>
          <w:rFonts w:cs="Arial"/>
        </w:rPr>
        <w:t>The revised cash plan for 2014/15 was to hold a balance of £1,482k at 31</w:t>
      </w:r>
      <w:r w:rsidRPr="001C7E4A">
        <w:rPr>
          <w:rFonts w:cs="Arial"/>
          <w:vertAlign w:val="superscript"/>
        </w:rPr>
        <w:t>st</w:t>
      </w:r>
      <w:r w:rsidRPr="001C7E4A">
        <w:rPr>
          <w:rFonts w:cs="Arial"/>
        </w:rPr>
        <w:t xml:space="preserve"> March 2015. The cash held of £2,898k, as at 31</w:t>
      </w:r>
      <w:r w:rsidRPr="001C7E4A">
        <w:rPr>
          <w:rFonts w:cs="Arial"/>
          <w:vertAlign w:val="superscript"/>
        </w:rPr>
        <w:t>st</w:t>
      </w:r>
      <w:r w:rsidRPr="001C7E4A">
        <w:rPr>
          <w:rFonts w:cs="Arial"/>
        </w:rPr>
        <w:t xml:space="preserve"> March, which is £1,507k higher than the planned position. The increase in cash is matched primarily by an increase in revenue and capital payables at the year end.</w:t>
      </w:r>
    </w:p>
    <w:p w:rsidR="001C7E4A" w:rsidRPr="001C7E4A" w:rsidRDefault="001C7E4A" w:rsidP="001C7E4A">
      <w:pPr>
        <w:pStyle w:val="Heading3"/>
        <w:spacing w:after="240"/>
        <w:jc w:val="both"/>
        <w:rPr>
          <w:rStyle w:val="IntenseEmphasis"/>
          <w:color w:val="auto"/>
        </w:rPr>
      </w:pPr>
      <w:bookmarkStart w:id="64" w:name="_Toc388626834"/>
      <w:r w:rsidRPr="001C7E4A">
        <w:rPr>
          <w:rStyle w:val="IntenseEmphasis"/>
        </w:rPr>
        <w:t>5.1.4</w:t>
      </w:r>
      <w:r w:rsidRPr="001C7E4A">
        <w:rPr>
          <w:rStyle w:val="IntenseEmphasis"/>
          <w:color w:val="auto"/>
        </w:rPr>
        <w:t xml:space="preserve"> </w:t>
      </w:r>
      <w:r w:rsidRPr="001C7E4A">
        <w:rPr>
          <w:rStyle w:val="IntenseEmphasis"/>
        </w:rPr>
        <w:t>External Financing Limit</w:t>
      </w:r>
      <w:bookmarkEnd w:id="64"/>
      <w:r w:rsidRPr="001C7E4A">
        <w:rPr>
          <w:rStyle w:val="IntenseEmphasis"/>
          <w:color w:val="auto"/>
        </w:rPr>
        <w:t xml:space="preserve"> </w:t>
      </w:r>
    </w:p>
    <w:p w:rsidR="001C7E4A" w:rsidRPr="001C7E4A" w:rsidRDefault="001C7E4A" w:rsidP="001C7E4A">
      <w:pPr>
        <w:spacing w:after="0"/>
        <w:jc w:val="both"/>
        <w:rPr>
          <w:rFonts w:cs="Arial"/>
        </w:rPr>
      </w:pPr>
      <w:r w:rsidRPr="001C7E4A">
        <w:rPr>
          <w:rFonts w:cs="Arial"/>
        </w:rPr>
        <w:t>The Trust’s External Financing Limit (EFL) has been met through the management of cash and working balances along with the planned level of Public Dividend Capital.</w:t>
      </w:r>
    </w:p>
    <w:p w:rsidR="001C7E4A" w:rsidRPr="001C7E4A" w:rsidRDefault="001C7E4A" w:rsidP="001C7E4A">
      <w:pPr>
        <w:pStyle w:val="Default"/>
        <w:jc w:val="both"/>
        <w:rPr>
          <w:color w:val="auto"/>
          <w:sz w:val="22"/>
          <w:szCs w:val="22"/>
        </w:rPr>
      </w:pPr>
    </w:p>
    <w:p w:rsidR="001C7E4A" w:rsidRPr="001C7E4A" w:rsidRDefault="001C7E4A" w:rsidP="001C7E4A">
      <w:pPr>
        <w:spacing w:after="0"/>
        <w:jc w:val="both"/>
        <w:rPr>
          <w:rFonts w:cs="Arial"/>
        </w:rPr>
      </w:pPr>
      <w:r w:rsidRPr="001C7E4A">
        <w:rPr>
          <w:rFonts w:cs="Arial"/>
        </w:rPr>
        <w:t>The Trust had a higher than forecast cash balance at the 31</w:t>
      </w:r>
      <w:r w:rsidRPr="001C7E4A">
        <w:rPr>
          <w:rFonts w:cs="Arial"/>
          <w:vertAlign w:val="superscript"/>
        </w:rPr>
        <w:t>st</w:t>
      </w:r>
      <w:r w:rsidRPr="001C7E4A">
        <w:rPr>
          <w:rFonts w:cs="Arial"/>
        </w:rPr>
        <w:t xml:space="preserve"> March 2015 recording an undershoot against the EFL of £2,498k.</w:t>
      </w:r>
    </w:p>
    <w:p w:rsidR="001C7E4A" w:rsidRPr="001C7E4A" w:rsidRDefault="001C7E4A" w:rsidP="001C7E4A">
      <w:pPr>
        <w:pStyle w:val="Heading3"/>
        <w:spacing w:after="240"/>
        <w:jc w:val="both"/>
        <w:rPr>
          <w:rStyle w:val="IntenseEmphasis"/>
        </w:rPr>
      </w:pPr>
      <w:bookmarkStart w:id="65" w:name="_Toc313625299"/>
      <w:bookmarkStart w:id="66" w:name="_Toc326332017"/>
      <w:bookmarkStart w:id="67" w:name="_Toc339280264"/>
      <w:bookmarkStart w:id="68" w:name="_Toc388626835"/>
      <w:r w:rsidRPr="001C7E4A">
        <w:rPr>
          <w:rStyle w:val="IntenseEmphasis"/>
        </w:rPr>
        <w:t>5.1.5 C</w:t>
      </w:r>
      <w:bookmarkEnd w:id="65"/>
      <w:bookmarkEnd w:id="66"/>
      <w:bookmarkEnd w:id="67"/>
      <w:r w:rsidRPr="001C7E4A">
        <w:rPr>
          <w:rStyle w:val="IntenseEmphasis"/>
        </w:rPr>
        <w:t>apital Resource Limit</w:t>
      </w:r>
      <w:bookmarkEnd w:id="68"/>
    </w:p>
    <w:p w:rsidR="001C7E4A" w:rsidRPr="001C7E4A" w:rsidRDefault="001C7E4A" w:rsidP="001C7E4A">
      <w:pPr>
        <w:jc w:val="both"/>
        <w:rPr>
          <w:rFonts w:cs="Arial"/>
        </w:rPr>
      </w:pPr>
      <w:r w:rsidRPr="001C7E4A">
        <w:rPr>
          <w:rFonts w:cs="Arial"/>
        </w:rPr>
        <w:t>The capital resource limit is £3,858k and in addition to this the Trust has received £124k matched funding from the NHS Safer Hospital, Safer Wards Technology Fund for the implementation of a new Order Communications system. Therefore the Trust’s capital resource for capital projects is £3,982k.</w:t>
      </w:r>
    </w:p>
    <w:p w:rsidR="001C7E4A" w:rsidRPr="001C7E4A" w:rsidRDefault="001C7E4A" w:rsidP="001C7E4A">
      <w:pPr>
        <w:pStyle w:val="Default"/>
        <w:jc w:val="both"/>
        <w:rPr>
          <w:sz w:val="22"/>
          <w:szCs w:val="22"/>
        </w:rPr>
      </w:pPr>
    </w:p>
    <w:p w:rsidR="001C7E4A" w:rsidRPr="001C7E4A" w:rsidRDefault="001C7E4A" w:rsidP="001C7E4A">
      <w:pPr>
        <w:jc w:val="both"/>
        <w:rPr>
          <w:rFonts w:cs="Arial"/>
        </w:rPr>
      </w:pPr>
      <w:r w:rsidRPr="001C7E4A">
        <w:rPr>
          <w:rFonts w:cs="Arial"/>
        </w:rPr>
        <w:t xml:space="preserve">As at the yearend the programme has delivered capital expenditure of £3,796k which was £186k under the available capital resources. </w:t>
      </w:r>
      <w:bookmarkStart w:id="69" w:name="_Toc388626836"/>
      <w:r w:rsidRPr="001C7E4A">
        <w:rPr>
          <w:rFonts w:cs="Arial"/>
        </w:rPr>
        <w:t xml:space="preserve"> Due to the slippage on the Theatres project in year not all of the approved schemes were able to be delivered by 31</w:t>
      </w:r>
      <w:r w:rsidRPr="001C7E4A">
        <w:rPr>
          <w:rFonts w:cs="Arial"/>
          <w:vertAlign w:val="superscript"/>
        </w:rPr>
        <w:t>st</w:t>
      </w:r>
      <w:r w:rsidRPr="001C7E4A">
        <w:rPr>
          <w:rFonts w:cs="Arial"/>
        </w:rPr>
        <w:t xml:space="preserve"> March 2015.</w:t>
      </w:r>
    </w:p>
    <w:p w:rsidR="001C7E4A" w:rsidRPr="001C7E4A" w:rsidRDefault="001C7E4A" w:rsidP="001C7E4A">
      <w:pPr>
        <w:jc w:val="both"/>
        <w:rPr>
          <w:rFonts w:cs="Arial"/>
        </w:rPr>
      </w:pPr>
    </w:p>
    <w:p w:rsidR="001C7E4A" w:rsidRPr="001C7E4A" w:rsidRDefault="001C7E4A" w:rsidP="001C7E4A">
      <w:pPr>
        <w:pStyle w:val="Heading3"/>
        <w:spacing w:after="240"/>
        <w:jc w:val="both"/>
        <w:rPr>
          <w:rStyle w:val="IntenseEmphasis"/>
        </w:rPr>
      </w:pPr>
      <w:r w:rsidRPr="001C7E4A">
        <w:rPr>
          <w:rStyle w:val="IntenseEmphasis"/>
        </w:rPr>
        <w:t>5.1.6 Capital Cost Absorption rate</w:t>
      </w:r>
      <w:bookmarkEnd w:id="69"/>
    </w:p>
    <w:p w:rsidR="001C7E4A" w:rsidRPr="001C7E4A" w:rsidRDefault="001C7E4A" w:rsidP="001C7E4A">
      <w:pPr>
        <w:spacing w:before="240"/>
        <w:jc w:val="both"/>
        <w:rPr>
          <w:rFonts w:cs="Arial"/>
        </w:rPr>
      </w:pPr>
      <w:r w:rsidRPr="001C7E4A">
        <w:rPr>
          <w:rFonts w:cs="Arial"/>
        </w:rPr>
        <w:t xml:space="preserve">The Trust’s Capital Cost Absorption (CCA) rate is fixed at 3.5% and this is calculated based on 3.5% of actual balance sheet values at the end of the financial year. </w:t>
      </w:r>
    </w:p>
    <w:p w:rsidR="001C7E4A" w:rsidRPr="001C7E4A" w:rsidRDefault="001C7E4A" w:rsidP="001C7E4A">
      <w:pPr>
        <w:pStyle w:val="Heading3"/>
        <w:spacing w:after="240"/>
        <w:jc w:val="both"/>
        <w:rPr>
          <w:rStyle w:val="IntenseEmphasis"/>
          <w:b/>
          <w:bCs/>
          <w:i w:val="0"/>
          <w:iCs w:val="0"/>
        </w:rPr>
      </w:pPr>
      <w:bookmarkStart w:id="70" w:name="_Toc388626837"/>
      <w:r w:rsidRPr="001C7E4A">
        <w:rPr>
          <w:rStyle w:val="IntenseEmphasis"/>
        </w:rPr>
        <w:t>5.1.7 Better Payment Practice Code (BPPC)</w:t>
      </w:r>
      <w:bookmarkEnd w:id="70"/>
      <w:r w:rsidRPr="001C7E4A">
        <w:rPr>
          <w:rStyle w:val="IntenseEmphasis"/>
        </w:rPr>
        <w:t xml:space="preserve"> </w:t>
      </w:r>
    </w:p>
    <w:p w:rsidR="001C7E4A" w:rsidRPr="001C7E4A" w:rsidRDefault="001C7E4A" w:rsidP="001C7E4A">
      <w:pPr>
        <w:spacing w:before="240" w:after="0"/>
        <w:jc w:val="both"/>
        <w:rPr>
          <w:rFonts w:cs="Arial"/>
        </w:rPr>
      </w:pPr>
      <w:r w:rsidRPr="001C7E4A">
        <w:rPr>
          <w:rFonts w:cs="Arial"/>
        </w:rPr>
        <w:t xml:space="preserve">The Trust’s overall performance for the financial year 2014/15 is 96.7% on the BPPC. </w:t>
      </w:r>
    </w:p>
    <w:p w:rsidR="001C7E4A" w:rsidRPr="001C7E4A" w:rsidRDefault="001C7E4A" w:rsidP="001C7E4A">
      <w:pPr>
        <w:pStyle w:val="Default"/>
        <w:jc w:val="both"/>
        <w:rPr>
          <w:sz w:val="22"/>
          <w:szCs w:val="22"/>
        </w:rPr>
      </w:pPr>
    </w:p>
    <w:p w:rsidR="001C7E4A" w:rsidRPr="001C7E4A" w:rsidRDefault="001C7E4A" w:rsidP="001C7E4A">
      <w:pPr>
        <w:pStyle w:val="Default"/>
        <w:jc w:val="both"/>
        <w:rPr>
          <w:sz w:val="22"/>
          <w:szCs w:val="22"/>
        </w:rPr>
      </w:pPr>
    </w:p>
    <w:p w:rsidR="001C7E4A" w:rsidRPr="009754F1" w:rsidRDefault="001C7E4A" w:rsidP="001C7E4A">
      <w:pPr>
        <w:pStyle w:val="Default"/>
      </w:pPr>
    </w:p>
    <w:p w:rsidR="001C7E4A" w:rsidRPr="009754F1" w:rsidRDefault="001C7E4A" w:rsidP="001C7E4A">
      <w:pPr>
        <w:pStyle w:val="Default"/>
        <w:sectPr w:rsidR="001C7E4A" w:rsidRPr="009754F1" w:rsidSect="001C7E4A">
          <w:pgSz w:w="11900" w:h="16840"/>
          <w:pgMar w:top="680" w:right="1410" w:bottom="640" w:left="1300" w:header="720" w:footer="115" w:gutter="0"/>
          <w:cols w:space="720"/>
          <w:noEndnote/>
        </w:sectPr>
      </w:pPr>
    </w:p>
    <w:p w:rsidR="001C7E4A" w:rsidRPr="009754F1" w:rsidRDefault="001C7E4A" w:rsidP="001C7E4A">
      <w:pPr>
        <w:rPr>
          <w:rStyle w:val="IntenseEmphasis"/>
          <w:rFonts w:eastAsiaTheme="majorEastAsia"/>
        </w:rPr>
      </w:pPr>
      <w:bookmarkStart w:id="71" w:name="_Toc313625310"/>
      <w:r w:rsidRPr="009754F1">
        <w:rPr>
          <w:rStyle w:val="IntenseEmphasis"/>
          <w:rFonts w:eastAsiaTheme="majorEastAsia"/>
        </w:rPr>
        <w:t xml:space="preserve">Financial Dashboards 2014/15: </w:t>
      </w:r>
      <w:bookmarkEnd w:id="71"/>
      <w:r w:rsidRPr="009754F1">
        <w:rPr>
          <w:rStyle w:val="IntenseEmphasis"/>
          <w:rFonts w:eastAsiaTheme="majorEastAsia"/>
        </w:rPr>
        <w:t>Month 12</w:t>
      </w:r>
    </w:p>
    <w:p w:rsidR="001C7E4A" w:rsidRPr="009754F1" w:rsidRDefault="001C7E4A" w:rsidP="001C7E4A">
      <w:pPr>
        <w:pStyle w:val="Default"/>
      </w:pPr>
      <w:r w:rsidRPr="009754F1">
        <w:rPr>
          <w:noProof/>
        </w:rPr>
        <w:drawing>
          <wp:inline distT="0" distB="0" distL="0" distR="0">
            <wp:extent cx="8886825" cy="526732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8886825" cy="5267325"/>
                    </a:xfrm>
                    <a:prstGeom prst="rect">
                      <a:avLst/>
                    </a:prstGeom>
                    <a:noFill/>
                    <a:ln w="9525">
                      <a:noFill/>
                      <a:miter lim="800000"/>
                      <a:headEnd/>
                      <a:tailEnd/>
                    </a:ln>
                  </pic:spPr>
                </pic:pic>
              </a:graphicData>
            </a:graphic>
          </wp:inline>
        </w:drawing>
      </w:r>
    </w:p>
    <w:p w:rsidR="001C7E4A" w:rsidRPr="009754F1" w:rsidRDefault="001C7E4A" w:rsidP="001C7E4A">
      <w:pPr>
        <w:rPr>
          <w:rStyle w:val="IntenseEmphasis"/>
          <w:rFonts w:eastAsiaTheme="majorEastAsia"/>
        </w:rPr>
      </w:pPr>
    </w:p>
    <w:p w:rsidR="001C7E4A" w:rsidRPr="009754F1" w:rsidRDefault="001C7E4A" w:rsidP="001C7E4A">
      <w:pPr>
        <w:pStyle w:val="Default"/>
        <w:rPr>
          <w:rFonts w:ascii="Arial" w:hAnsi="Arial" w:cs="Arial"/>
          <w:sz w:val="18"/>
        </w:rPr>
      </w:pPr>
    </w:p>
    <w:p w:rsidR="001C7E4A" w:rsidRPr="009754F1" w:rsidRDefault="001C7E4A" w:rsidP="001C7E4A">
      <w:pPr>
        <w:rPr>
          <w:rFonts w:ascii="Arial" w:hAnsi="Arial" w:cs="Arial"/>
        </w:rPr>
        <w:sectPr w:rsidR="001C7E4A" w:rsidRPr="009754F1" w:rsidSect="001C7E4A">
          <w:pgSz w:w="16840" w:h="11900" w:orient="landscape"/>
          <w:pgMar w:top="630" w:right="680" w:bottom="990" w:left="993" w:header="720" w:footer="115" w:gutter="0"/>
          <w:cols w:space="720"/>
          <w:noEndnote/>
          <w:docGrid w:linePitch="326"/>
        </w:sectPr>
      </w:pPr>
    </w:p>
    <w:p w:rsidR="001C7E4A" w:rsidRPr="009754F1" w:rsidRDefault="001C7E4A" w:rsidP="001C7E4A">
      <w:pPr>
        <w:pStyle w:val="Heading2"/>
        <w:spacing w:before="240"/>
      </w:pPr>
      <w:bookmarkStart w:id="72" w:name="_Toc388626840"/>
      <w:bookmarkStart w:id="73" w:name="_Toc313625313"/>
      <w:bookmarkStart w:id="74" w:name="_Toc318461793"/>
      <w:bookmarkStart w:id="75" w:name="_Toc326332020"/>
      <w:bookmarkStart w:id="76" w:name="_Toc339280267"/>
      <w:r w:rsidRPr="009754F1">
        <w:t>5.2 The Income and Expenditure Position of the Trust</w:t>
      </w:r>
      <w:bookmarkEnd w:id="72"/>
      <w:r w:rsidRPr="009754F1">
        <w:t xml:space="preserve"> </w:t>
      </w:r>
      <w:bookmarkEnd w:id="73"/>
      <w:bookmarkEnd w:id="74"/>
      <w:bookmarkEnd w:id="75"/>
      <w:bookmarkEnd w:id="76"/>
    </w:p>
    <w:p w:rsidR="001C7E4A" w:rsidRPr="009754F1" w:rsidRDefault="001C7E4A" w:rsidP="001C7E4A">
      <w:pPr>
        <w:pStyle w:val="BodyTextIndent"/>
        <w:spacing w:before="240"/>
        <w:jc w:val="both"/>
        <w:rPr>
          <w:rFonts w:asciiTheme="minorHAnsi" w:hAnsiTheme="minorHAnsi" w:cs="Arial"/>
        </w:rPr>
      </w:pPr>
      <w:r w:rsidRPr="009754F1">
        <w:rPr>
          <w:rFonts w:asciiTheme="minorHAnsi" w:hAnsiTheme="minorHAnsi" w:cs="Arial"/>
          <w:b/>
        </w:rPr>
        <w:t>5.2.1</w:t>
      </w:r>
      <w:r w:rsidRPr="009754F1">
        <w:rPr>
          <w:rFonts w:asciiTheme="minorHAnsi" w:hAnsiTheme="minorHAnsi" w:cs="Arial"/>
        </w:rPr>
        <w:t xml:space="preserve"> The financial position at Month 12 is a deficit of £3,902k, which is an improvement on the plan which was a deficit of £4,950k.</w:t>
      </w:r>
    </w:p>
    <w:p w:rsidR="001C7E4A" w:rsidRPr="009754F1" w:rsidRDefault="001C7E4A" w:rsidP="001C7E4A">
      <w:pPr>
        <w:pStyle w:val="Heading2"/>
        <w:spacing w:before="240"/>
      </w:pPr>
      <w:bookmarkStart w:id="77" w:name="_Toc388626841"/>
      <w:r w:rsidRPr="009754F1">
        <w:t>5.3 Expenditure</w:t>
      </w:r>
      <w:bookmarkEnd w:id="77"/>
    </w:p>
    <w:p w:rsidR="001C7E4A" w:rsidRPr="009754F1" w:rsidRDefault="001C7E4A" w:rsidP="001C7E4A">
      <w:pPr>
        <w:pStyle w:val="BodyTextIndent"/>
        <w:spacing w:before="240"/>
        <w:jc w:val="both"/>
        <w:rPr>
          <w:rFonts w:asciiTheme="minorHAnsi" w:hAnsiTheme="minorHAnsi" w:cs="Arial"/>
        </w:rPr>
      </w:pPr>
      <w:bookmarkStart w:id="78" w:name="_Toc313625318"/>
      <w:r w:rsidRPr="009754F1">
        <w:rPr>
          <w:rFonts w:asciiTheme="minorHAnsi" w:hAnsiTheme="minorHAnsi" w:cs="Arial"/>
          <w:b/>
        </w:rPr>
        <w:t>5.3.1</w:t>
      </w:r>
      <w:r w:rsidRPr="009754F1">
        <w:rPr>
          <w:rFonts w:asciiTheme="minorHAnsi" w:hAnsiTheme="minorHAnsi" w:cs="Arial"/>
        </w:rPr>
        <w:t xml:space="preserve"> The main points are:</w:t>
      </w:r>
    </w:p>
    <w:p w:rsidR="001C7E4A" w:rsidRPr="009754F1" w:rsidRDefault="001C7E4A" w:rsidP="001C7E4A">
      <w:pPr>
        <w:pStyle w:val="BodyTextIndent"/>
        <w:widowControl/>
        <w:numPr>
          <w:ilvl w:val="0"/>
          <w:numId w:val="5"/>
        </w:numPr>
        <w:tabs>
          <w:tab w:val="clear" w:pos="-492"/>
          <w:tab w:val="num" w:pos="644"/>
        </w:tabs>
        <w:autoSpaceDE/>
        <w:autoSpaceDN/>
        <w:adjustRightInd/>
        <w:spacing w:before="240"/>
        <w:ind w:left="644"/>
        <w:jc w:val="both"/>
        <w:rPr>
          <w:rFonts w:asciiTheme="minorHAnsi" w:hAnsiTheme="minorHAnsi" w:cs="Arial"/>
        </w:rPr>
      </w:pPr>
      <w:r w:rsidRPr="009754F1">
        <w:rPr>
          <w:rFonts w:asciiTheme="minorHAnsi" w:hAnsiTheme="minorHAnsi" w:cs="Arial"/>
        </w:rPr>
        <w:t>The position is that o</w:t>
      </w:r>
      <w:r w:rsidRPr="009754F1">
        <w:rPr>
          <w:rFonts w:asciiTheme="minorHAnsi" w:hAnsiTheme="minorHAnsi" w:cs="Arial"/>
          <w:bCs/>
        </w:rPr>
        <w:t>verall the Trust has overspent the expenditure budgets by £1,506k which includes delivery of the Savings (SIP) plan.  This has been offset with £1,073k from reserves.</w:t>
      </w:r>
    </w:p>
    <w:p w:rsidR="001C7E4A" w:rsidRPr="009754F1" w:rsidRDefault="001C7E4A" w:rsidP="001C7E4A">
      <w:pPr>
        <w:pStyle w:val="BodyTextIndent"/>
        <w:widowControl/>
        <w:numPr>
          <w:ilvl w:val="0"/>
          <w:numId w:val="5"/>
        </w:numPr>
        <w:tabs>
          <w:tab w:val="clear" w:pos="-492"/>
          <w:tab w:val="num" w:pos="644"/>
        </w:tabs>
        <w:autoSpaceDE/>
        <w:autoSpaceDN/>
        <w:adjustRightInd/>
        <w:spacing w:before="240"/>
        <w:ind w:left="644"/>
        <w:jc w:val="both"/>
        <w:rPr>
          <w:rFonts w:asciiTheme="minorHAnsi" w:hAnsiTheme="minorHAnsi" w:cs="Arial"/>
        </w:rPr>
      </w:pPr>
      <w:r w:rsidRPr="009754F1">
        <w:rPr>
          <w:rFonts w:asciiTheme="minorHAnsi" w:hAnsiTheme="minorHAnsi" w:cs="Arial"/>
        </w:rPr>
        <w:t xml:space="preserve">Pay expenditure is higher than budgeted with an overspend of £942k. The staff category with the highest overspend at the end of </w:t>
      </w:r>
      <w:r>
        <w:rPr>
          <w:rFonts w:asciiTheme="minorHAnsi" w:hAnsiTheme="minorHAnsi" w:cs="Arial"/>
        </w:rPr>
        <w:t>March</w:t>
      </w:r>
      <w:r w:rsidRPr="009754F1">
        <w:rPr>
          <w:rFonts w:asciiTheme="minorHAnsi" w:hAnsiTheme="minorHAnsi" w:cs="Arial"/>
        </w:rPr>
        <w:t xml:space="preserve"> was Nursing (£829k)</w:t>
      </w:r>
      <w:r>
        <w:rPr>
          <w:rFonts w:asciiTheme="minorHAnsi" w:hAnsiTheme="minorHAnsi" w:cs="Arial"/>
        </w:rPr>
        <w:t>,</w:t>
      </w:r>
      <w:r w:rsidRPr="009754F1">
        <w:rPr>
          <w:rFonts w:asciiTheme="minorHAnsi" w:hAnsiTheme="minorHAnsi" w:cs="Arial"/>
        </w:rPr>
        <w:t xml:space="preserve"> followed by Medical Staff (£352k). These overspends were offset by underspends in the AHP’s (£274k), Admin and Clerical (£260k) and Biomedical Scientists (£167k) categories.</w:t>
      </w:r>
    </w:p>
    <w:p w:rsidR="001C7E4A" w:rsidRPr="009754F1" w:rsidRDefault="001C7E4A" w:rsidP="001C7E4A">
      <w:pPr>
        <w:pStyle w:val="BodyTextIndent"/>
        <w:widowControl/>
        <w:numPr>
          <w:ilvl w:val="0"/>
          <w:numId w:val="5"/>
        </w:numPr>
        <w:tabs>
          <w:tab w:val="clear" w:pos="-492"/>
          <w:tab w:val="num" w:pos="644"/>
        </w:tabs>
        <w:autoSpaceDE/>
        <w:autoSpaceDN/>
        <w:adjustRightInd/>
        <w:spacing w:before="240" w:after="240"/>
        <w:ind w:left="644"/>
        <w:jc w:val="both"/>
        <w:rPr>
          <w:rFonts w:asciiTheme="minorHAnsi" w:hAnsiTheme="minorHAnsi" w:cs="Arial"/>
        </w:rPr>
      </w:pPr>
      <w:r w:rsidRPr="009754F1">
        <w:rPr>
          <w:rFonts w:asciiTheme="minorHAnsi" w:hAnsiTheme="minorHAnsi" w:cs="Arial"/>
        </w:rPr>
        <w:t>Non pay expenditure is £564k over budget at the end of March. There are overspends on Linen &amp; Laundry (£143k), Medical &amp; Surgical Equipment (£121k), Internal recharges (£129k), and Office Expenditure £60k)</w:t>
      </w:r>
      <w:r>
        <w:rPr>
          <w:rFonts w:asciiTheme="minorHAnsi" w:hAnsiTheme="minorHAnsi" w:cs="Arial"/>
        </w:rPr>
        <w:t>,</w:t>
      </w:r>
      <w:r w:rsidRPr="009754F1">
        <w:rPr>
          <w:rFonts w:asciiTheme="minorHAnsi" w:hAnsiTheme="minorHAnsi" w:cs="Arial"/>
        </w:rPr>
        <w:t xml:space="preserve"> offset by underspends on Drugs (£406k), Blood Products (£157k), Travel and Subsistence (£89k), Utilities (£54k) and Training (£46k).</w:t>
      </w:r>
    </w:p>
    <w:p w:rsidR="001C7E4A" w:rsidRPr="009754F1" w:rsidRDefault="001C7E4A" w:rsidP="001C7E4A">
      <w:pPr>
        <w:pStyle w:val="ListParagraph"/>
        <w:widowControl w:val="0"/>
        <w:numPr>
          <w:ilvl w:val="0"/>
          <w:numId w:val="5"/>
        </w:numPr>
        <w:tabs>
          <w:tab w:val="clear" w:pos="-492"/>
          <w:tab w:val="num" w:pos="644"/>
        </w:tabs>
        <w:autoSpaceDE w:val="0"/>
        <w:autoSpaceDN w:val="0"/>
        <w:adjustRightInd w:val="0"/>
        <w:spacing w:before="240" w:after="240" w:line="240" w:lineRule="auto"/>
        <w:ind w:left="644"/>
        <w:contextualSpacing w:val="0"/>
        <w:jc w:val="both"/>
        <w:rPr>
          <w:rFonts w:cs="Arial"/>
          <w:bCs/>
        </w:rPr>
      </w:pPr>
      <w:r w:rsidRPr="009754F1">
        <w:rPr>
          <w:rFonts w:cs="Arial"/>
        </w:rPr>
        <w:t>Bank and agency expenditure on Nursing increased overall in March by £114k. Agency expenditure increased from £240k in February to £361k in March, which included £104k expenditure on winter resilience projects. Bank expenditure reduced from £186k in February to £179k in March</w:t>
      </w:r>
      <w:r w:rsidRPr="009754F1">
        <w:rPr>
          <w:rFonts w:cs="Arial"/>
          <w:bCs/>
        </w:rPr>
        <w:t>, £70k of the expenditure was for winter projects.</w:t>
      </w:r>
    </w:p>
    <w:p w:rsidR="001C7E4A" w:rsidRPr="009754F1" w:rsidRDefault="001C7E4A" w:rsidP="001C7E4A">
      <w:pPr>
        <w:pStyle w:val="ListParagraph"/>
        <w:widowControl w:val="0"/>
        <w:numPr>
          <w:ilvl w:val="0"/>
          <w:numId w:val="5"/>
        </w:numPr>
        <w:tabs>
          <w:tab w:val="clear" w:pos="-492"/>
          <w:tab w:val="num" w:pos="644"/>
        </w:tabs>
        <w:autoSpaceDE w:val="0"/>
        <w:autoSpaceDN w:val="0"/>
        <w:adjustRightInd w:val="0"/>
        <w:spacing w:before="240" w:after="240" w:line="240" w:lineRule="auto"/>
        <w:ind w:left="644"/>
        <w:contextualSpacing w:val="0"/>
        <w:jc w:val="both"/>
        <w:rPr>
          <w:rFonts w:cs="Arial"/>
          <w:bCs/>
        </w:rPr>
      </w:pPr>
      <w:r w:rsidRPr="009754F1">
        <w:rPr>
          <w:rFonts w:cs="Arial"/>
        </w:rPr>
        <w:t>In recent months the Trust has had a significant number of Medical staff vacancies which has led to an increase in the use of Agency locums to cover the Trusts services; however some of these vacancies have now been filled.  In November the Trust also increased its medical cover as part of the Operational Resilience and Capacity Planning (ORCP) Programme which has resulted in further Locum Medical Staffing being requested. In March £277k was spent, a decrease of £31k compared with February. In March £125k of the expenditure was attributable to the ORCP project work. Some of this locum expenditure is offset by the medical staff vacancy savings of £90k.</w:t>
      </w:r>
    </w:p>
    <w:p w:rsidR="001C7E4A" w:rsidRDefault="001C7E4A" w:rsidP="001C7E4A">
      <w:pPr>
        <w:spacing w:before="240" w:after="240"/>
        <w:ind w:left="284"/>
        <w:jc w:val="both"/>
        <w:rPr>
          <w:rFonts w:cs="Arial"/>
          <w:b/>
          <w:bCs/>
        </w:rPr>
      </w:pPr>
    </w:p>
    <w:p w:rsidR="001C7E4A" w:rsidRDefault="001C7E4A" w:rsidP="001C7E4A">
      <w:pPr>
        <w:spacing w:before="240" w:after="240"/>
        <w:ind w:left="284"/>
        <w:jc w:val="both"/>
        <w:rPr>
          <w:rFonts w:cs="Arial"/>
          <w:b/>
          <w:bCs/>
        </w:rPr>
      </w:pPr>
      <w:r w:rsidRPr="009754F1">
        <w:rPr>
          <w:rFonts w:cs="Arial"/>
          <w:b/>
          <w:bCs/>
        </w:rPr>
        <w:t xml:space="preserve">5.3.2 </w:t>
      </w:r>
    </w:p>
    <w:p w:rsidR="001C7E4A" w:rsidRPr="009754F1" w:rsidRDefault="001C7E4A" w:rsidP="001C7E4A">
      <w:pPr>
        <w:spacing w:before="240" w:after="240"/>
        <w:ind w:left="284"/>
        <w:jc w:val="both"/>
        <w:rPr>
          <w:rFonts w:cs="Arial"/>
          <w:bCs/>
        </w:rPr>
      </w:pPr>
      <w:r w:rsidRPr="009754F1">
        <w:rPr>
          <w:rFonts w:cs="Arial"/>
          <w:bCs/>
        </w:rPr>
        <w:t xml:space="preserve">At Month 12 the main points for the Divisional and Corporate performance are as </w:t>
      </w:r>
      <w:r w:rsidRPr="009754F1">
        <w:rPr>
          <w:rFonts w:cs="Arial"/>
          <w:bCs/>
        </w:rPr>
        <w:tab/>
        <w:t>follows:</w:t>
      </w:r>
    </w:p>
    <w:p w:rsidR="001C7E4A" w:rsidRPr="009754F1" w:rsidRDefault="001C7E4A" w:rsidP="001C7E4A">
      <w:pPr>
        <w:pStyle w:val="ListParagraph"/>
        <w:numPr>
          <w:ilvl w:val="0"/>
          <w:numId w:val="12"/>
        </w:numPr>
        <w:spacing w:before="240" w:after="240"/>
        <w:jc w:val="both"/>
        <w:rPr>
          <w:rFonts w:cs="Arial"/>
        </w:rPr>
      </w:pPr>
      <w:r w:rsidRPr="009754F1">
        <w:rPr>
          <w:rFonts w:cs="Arial"/>
        </w:rPr>
        <w:t>The Emergency Division has overspent by £497k in the year, with an overspend of £78k in month 12. Of this, Pay expenditure is overspent by £632k whilst Non Pay is underspent by £5k. There is SIP over delivery of £138k.  The Pay overspend is mainly due to Medical Staffing (£479k), Uphill (£205k), ED (£194k), and Kewstoke (£111k), offset by underspends on Pathology (£155k), Physiotherapy (£59k) and AEC (£59k).  The Non Pay underspend is due to a saving on drugs (£67k), Blood (£40k) &amp; Pharmacy (£52k) offset by an overspend on Pathology (£173k).</w:t>
      </w:r>
    </w:p>
    <w:p w:rsidR="001C7E4A" w:rsidRPr="009754F1" w:rsidRDefault="001C7E4A" w:rsidP="001C7E4A">
      <w:pPr>
        <w:pStyle w:val="ListParagraph"/>
        <w:numPr>
          <w:ilvl w:val="0"/>
          <w:numId w:val="12"/>
        </w:numPr>
        <w:spacing w:before="240" w:after="240"/>
        <w:jc w:val="both"/>
        <w:rPr>
          <w:rFonts w:cs="Arial"/>
        </w:rPr>
      </w:pPr>
      <w:r w:rsidRPr="009754F1">
        <w:rPr>
          <w:rFonts w:cs="Arial"/>
        </w:rPr>
        <w:t>The Planned care Division has overspent by £1,239k</w:t>
      </w:r>
      <w:r>
        <w:rPr>
          <w:rFonts w:cs="Arial"/>
        </w:rPr>
        <w:t xml:space="preserve"> for the year</w:t>
      </w:r>
      <w:r w:rsidRPr="009754F1">
        <w:rPr>
          <w:rFonts w:cs="Arial"/>
        </w:rPr>
        <w:t>, an increase of £132k in March. The pay overspend is £347k whilst non pay is overspent by a further £155k. The divisional income is £29k above the planned level. The SIP underachievement is £766k. The pay overspend is in Theatres (£307k), Hutton (£193k) and SAU (£111k), offset by underspends in Planned Care Management (£115k), Hospital at Night (£43k), Access Team (£43k) ,Medical Secretaries (£34k) and Radiography (£34k). The non pay overspend is mainly on Theatres (£222k) with additional overspends in ITU (£64k), Radiology (£62k) and Endoscopy (£22k) offset by underspends on Radiography (£128k), PPU (£87k), Drugs (£125k), Blood (£28k) and GUM (£20k).</w:t>
      </w:r>
    </w:p>
    <w:p w:rsidR="001C7E4A" w:rsidRPr="009754F1" w:rsidRDefault="001C7E4A" w:rsidP="001C7E4A">
      <w:pPr>
        <w:pStyle w:val="ListParagraph"/>
        <w:numPr>
          <w:ilvl w:val="0"/>
          <w:numId w:val="12"/>
        </w:numPr>
        <w:spacing w:before="240" w:after="240"/>
        <w:jc w:val="both"/>
        <w:rPr>
          <w:rFonts w:cs="Arial"/>
        </w:rPr>
      </w:pPr>
      <w:r w:rsidRPr="009754F1">
        <w:rPr>
          <w:rFonts w:cs="Arial"/>
        </w:rPr>
        <w:t>The Estates and Facilities Division has underspent by £29k at the end of month 12</w:t>
      </w:r>
      <w:r>
        <w:rPr>
          <w:rFonts w:cs="Arial"/>
        </w:rPr>
        <w:t>.</w:t>
      </w:r>
      <w:r w:rsidRPr="009754F1">
        <w:rPr>
          <w:rFonts w:cs="Arial"/>
        </w:rPr>
        <w:t xml:space="preserve"> The non pay is overspent by £101k which includes overspends against Property Services (£82k), HSSU (£15k), Housekeeping (£13k), Telecoms (£13k) and Linen &amp; Laundry (£11k)</w:t>
      </w:r>
      <w:r>
        <w:rPr>
          <w:rFonts w:cs="Arial"/>
        </w:rPr>
        <w:t>,</w:t>
      </w:r>
      <w:r w:rsidRPr="009754F1">
        <w:rPr>
          <w:rFonts w:cs="Arial"/>
        </w:rPr>
        <w:t xml:space="preserve"> offset by underspends on Utilities (£30k), Catering (£18k) and Residences (£7k).</w:t>
      </w:r>
    </w:p>
    <w:p w:rsidR="001C7E4A" w:rsidRPr="009754F1" w:rsidRDefault="001C7E4A" w:rsidP="001C7E4A">
      <w:pPr>
        <w:pStyle w:val="ListParagraph"/>
        <w:numPr>
          <w:ilvl w:val="0"/>
          <w:numId w:val="12"/>
        </w:numPr>
        <w:spacing w:before="240" w:after="240"/>
        <w:jc w:val="both"/>
        <w:rPr>
          <w:rFonts w:cs="Arial"/>
        </w:rPr>
      </w:pPr>
      <w:r w:rsidRPr="009754F1">
        <w:rPr>
          <w:rFonts w:cs="Arial"/>
        </w:rPr>
        <w:t xml:space="preserve">The Corporate Departments have underspent by £442k </w:t>
      </w:r>
      <w:r>
        <w:rPr>
          <w:rFonts w:cs="Arial"/>
        </w:rPr>
        <w:t xml:space="preserve">for the </w:t>
      </w:r>
      <w:r w:rsidRPr="009754F1">
        <w:rPr>
          <w:rFonts w:cs="Arial"/>
        </w:rPr>
        <w:t>year</w:t>
      </w:r>
      <w:r>
        <w:rPr>
          <w:rFonts w:cs="Arial"/>
        </w:rPr>
        <w:t>.</w:t>
      </w:r>
    </w:p>
    <w:p w:rsidR="001C7E4A" w:rsidRPr="009754F1" w:rsidRDefault="001C7E4A" w:rsidP="001C7E4A">
      <w:pPr>
        <w:pStyle w:val="Default"/>
        <w:rPr>
          <w:rFonts w:asciiTheme="minorHAnsi" w:hAnsiTheme="minorHAnsi" w:cs="Arial"/>
          <w:color w:val="auto"/>
        </w:rPr>
      </w:pPr>
      <w:r w:rsidRPr="009754F1">
        <w:rPr>
          <w:rFonts w:asciiTheme="minorHAnsi" w:hAnsiTheme="minorHAnsi" w:cs="Arial"/>
          <w:color w:val="auto"/>
        </w:rPr>
        <w:t>Reserves have been deployed to cover spend where there are agreed allocations such as the cover of Medical agency premiums and agreed waiting list initiatives.  Further monies have been made available to support the additional capacity for the Operational Resilience and Capacity Planning (ORCP) Programme.</w:t>
      </w:r>
    </w:p>
    <w:p w:rsidR="001C7E4A" w:rsidRPr="009754F1" w:rsidRDefault="001C7E4A" w:rsidP="001C7E4A">
      <w:pPr>
        <w:pStyle w:val="Default"/>
        <w:rPr>
          <w:rFonts w:asciiTheme="minorHAnsi" w:hAnsiTheme="minorHAnsi" w:cs="Arial"/>
          <w:color w:val="auto"/>
        </w:rPr>
      </w:pPr>
    </w:p>
    <w:p w:rsidR="001C7E4A" w:rsidRDefault="001C7E4A" w:rsidP="001C7E4A">
      <w:pPr>
        <w:pStyle w:val="BodyTextIndent"/>
        <w:tabs>
          <w:tab w:val="left" w:pos="0"/>
        </w:tabs>
        <w:spacing w:before="240"/>
        <w:jc w:val="both"/>
        <w:rPr>
          <w:rFonts w:asciiTheme="minorHAnsi" w:hAnsiTheme="minorHAnsi" w:cs="Arial"/>
          <w:b/>
          <w:bCs/>
        </w:rPr>
      </w:pPr>
    </w:p>
    <w:p w:rsidR="001C7E4A" w:rsidRDefault="001C7E4A" w:rsidP="001C7E4A">
      <w:pPr>
        <w:pStyle w:val="BodyTextIndent"/>
        <w:tabs>
          <w:tab w:val="left" w:pos="0"/>
        </w:tabs>
        <w:spacing w:before="240"/>
        <w:jc w:val="both"/>
        <w:rPr>
          <w:rFonts w:asciiTheme="minorHAnsi" w:hAnsiTheme="minorHAnsi" w:cs="Arial"/>
          <w:b/>
          <w:bCs/>
        </w:rPr>
      </w:pPr>
      <w:r w:rsidRPr="009754F1">
        <w:rPr>
          <w:rFonts w:asciiTheme="minorHAnsi" w:hAnsiTheme="minorHAnsi" w:cs="Arial"/>
          <w:b/>
          <w:bCs/>
        </w:rPr>
        <w:t xml:space="preserve">5.3.3 </w:t>
      </w:r>
    </w:p>
    <w:p w:rsidR="001C7E4A" w:rsidRPr="009754F1" w:rsidRDefault="001C7E4A" w:rsidP="001C7E4A">
      <w:pPr>
        <w:pStyle w:val="BodyTextIndent"/>
        <w:tabs>
          <w:tab w:val="left" w:pos="0"/>
        </w:tabs>
        <w:spacing w:before="240"/>
        <w:jc w:val="both"/>
        <w:rPr>
          <w:rFonts w:asciiTheme="minorHAnsi" w:hAnsiTheme="minorHAnsi" w:cs="Arial"/>
        </w:rPr>
      </w:pPr>
      <w:r w:rsidRPr="009754F1">
        <w:rPr>
          <w:rFonts w:asciiTheme="minorHAnsi" w:hAnsiTheme="minorHAnsi" w:cs="Arial"/>
          <w:b/>
          <w:bCs/>
        </w:rPr>
        <w:tab/>
      </w:r>
      <w:r w:rsidRPr="009754F1">
        <w:rPr>
          <w:rFonts w:asciiTheme="minorHAnsi" w:hAnsiTheme="minorHAnsi"/>
        </w:rPr>
        <w:t>The Trusts expenditure run-rate information has been rebased to neutralise the effect on both expenditure and budgets for variations in monthly NICE funded drugs expenditure which has no overall impact on the Trusts net financial position. There have also been some amendments for one-off exceptional items which include the impact of any work undertaken as part of the RTT project and the Operational Resilience and Capacity Planning Programme.</w:t>
      </w:r>
      <w:r w:rsidRPr="009754F1">
        <w:rPr>
          <w:rFonts w:asciiTheme="minorHAnsi" w:hAnsiTheme="minorHAnsi" w:cs="Arial"/>
          <w:bCs/>
        </w:rPr>
        <w:t xml:space="preserve"> The Trust’s expenditure run rate is shown in the table below compared to the adjusted expenditure level for each month.</w:t>
      </w: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r w:rsidRPr="009754F1">
        <w:rPr>
          <w:noProof/>
        </w:rPr>
        <w:drawing>
          <wp:inline distT="0" distB="0" distL="0" distR="0">
            <wp:extent cx="5835650" cy="3954272"/>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srcRect/>
                    <a:stretch>
                      <a:fillRect/>
                    </a:stretch>
                  </pic:blipFill>
                  <pic:spPr bwMode="auto">
                    <a:xfrm>
                      <a:off x="0" y="0"/>
                      <a:ext cx="5835650" cy="3954272"/>
                    </a:xfrm>
                    <a:prstGeom prst="rect">
                      <a:avLst/>
                    </a:prstGeom>
                    <a:noFill/>
                    <a:ln w="9525">
                      <a:noFill/>
                      <a:miter lim="800000"/>
                      <a:headEnd/>
                      <a:tailEnd/>
                    </a:ln>
                  </pic:spPr>
                </pic:pic>
              </a:graphicData>
            </a:graphic>
          </wp:inline>
        </w:drawing>
      </w: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rPr>
          <w:rFonts w:asciiTheme="minorHAnsi" w:hAnsiTheme="minorHAnsi" w:cs="Arial"/>
        </w:rPr>
      </w:pPr>
      <w:r w:rsidRPr="009754F1">
        <w:rPr>
          <w:rFonts w:asciiTheme="minorHAnsi" w:hAnsiTheme="minorHAnsi" w:cs="Arial"/>
        </w:rPr>
        <w:t xml:space="preserve">The budgeted adjusted run rate for </w:t>
      </w:r>
      <w:r>
        <w:rPr>
          <w:rFonts w:asciiTheme="minorHAnsi" w:hAnsiTheme="minorHAnsi" w:cs="Arial"/>
        </w:rPr>
        <w:t>March</w:t>
      </w:r>
      <w:r w:rsidRPr="009754F1">
        <w:rPr>
          <w:rFonts w:asciiTheme="minorHAnsi" w:hAnsiTheme="minorHAnsi" w:cs="Arial"/>
        </w:rPr>
        <w:t xml:space="preserve"> is £7.390m. The adjusted expenditure run rate has increased in February by £83k, from £7.</w:t>
      </w:r>
      <w:r>
        <w:rPr>
          <w:rFonts w:asciiTheme="minorHAnsi" w:hAnsiTheme="minorHAnsi" w:cs="Arial"/>
        </w:rPr>
        <w:t>358</w:t>
      </w:r>
      <w:r w:rsidRPr="009754F1">
        <w:rPr>
          <w:rFonts w:asciiTheme="minorHAnsi" w:hAnsiTheme="minorHAnsi" w:cs="Arial"/>
        </w:rPr>
        <w:t>m in February to £7.</w:t>
      </w:r>
      <w:r>
        <w:rPr>
          <w:rFonts w:asciiTheme="minorHAnsi" w:hAnsiTheme="minorHAnsi" w:cs="Arial"/>
        </w:rPr>
        <w:t>441</w:t>
      </w:r>
      <w:r w:rsidRPr="009754F1">
        <w:rPr>
          <w:rFonts w:asciiTheme="minorHAnsi" w:hAnsiTheme="minorHAnsi" w:cs="Arial"/>
        </w:rPr>
        <w:t xml:space="preserve">m in March 2015. </w:t>
      </w:r>
    </w:p>
    <w:p w:rsidR="001C7E4A" w:rsidRPr="009754F1" w:rsidRDefault="001C7E4A" w:rsidP="001C7E4A">
      <w:pPr>
        <w:pStyle w:val="Default"/>
        <w:rPr>
          <w:rFonts w:asciiTheme="minorHAnsi" w:hAnsiTheme="minorHAnsi" w:cs="Arial"/>
        </w:rPr>
      </w:pPr>
    </w:p>
    <w:p w:rsidR="001C7E4A" w:rsidRPr="009754F1" w:rsidRDefault="001C7E4A" w:rsidP="001C7E4A">
      <w:pPr>
        <w:pStyle w:val="Heading2"/>
        <w:spacing w:before="240" w:after="240"/>
      </w:pPr>
      <w:bookmarkStart w:id="79" w:name="_Toc313625319"/>
      <w:bookmarkStart w:id="80" w:name="_Toc318461794"/>
      <w:bookmarkStart w:id="81" w:name="_Toc326332021"/>
      <w:bookmarkStart w:id="82" w:name="_Toc339280268"/>
      <w:bookmarkStart w:id="83" w:name="_Toc388626842"/>
      <w:bookmarkEnd w:id="78"/>
      <w:r w:rsidRPr="009754F1">
        <w:t>5.</w:t>
      </w:r>
      <w:r w:rsidRPr="009754F1">
        <w:rPr>
          <w:noProof/>
        </w:rPr>
        <w:t xml:space="preserve"> 4</w:t>
      </w:r>
      <w:r w:rsidRPr="009754F1">
        <w:t xml:space="preserve"> Savings Plans (SIP)</w:t>
      </w:r>
      <w:bookmarkEnd w:id="79"/>
      <w:bookmarkEnd w:id="80"/>
      <w:bookmarkEnd w:id="81"/>
      <w:bookmarkEnd w:id="82"/>
      <w:bookmarkEnd w:id="83"/>
      <w:r w:rsidRPr="009754F1">
        <w:t xml:space="preserve"> </w:t>
      </w:r>
    </w:p>
    <w:p w:rsidR="001C7E4A" w:rsidRPr="009754F1" w:rsidRDefault="001C7E4A" w:rsidP="001C7E4A">
      <w:pPr>
        <w:pStyle w:val="BodyTextIndent"/>
        <w:spacing w:before="240" w:after="240"/>
        <w:jc w:val="both"/>
      </w:pPr>
      <w:r w:rsidRPr="009754F1">
        <w:rPr>
          <w:rFonts w:asciiTheme="minorHAnsi" w:hAnsiTheme="minorHAnsi" w:cs="Arial"/>
          <w:b/>
          <w:bCs/>
        </w:rPr>
        <w:t>5.4.1</w:t>
      </w:r>
      <w:r w:rsidRPr="009754F1">
        <w:rPr>
          <w:rFonts w:asciiTheme="minorHAnsi" w:hAnsiTheme="minorHAnsi"/>
          <w:b/>
          <w:bCs/>
        </w:rPr>
        <w:t xml:space="preserve"> </w:t>
      </w:r>
      <w:r w:rsidRPr="009754F1">
        <w:rPr>
          <w:rFonts w:asciiTheme="minorHAnsi" w:hAnsiTheme="minorHAnsi" w:cs="Arial"/>
          <w:bCs/>
        </w:rPr>
        <w:t>The Trust</w:t>
      </w:r>
      <w:r w:rsidRPr="009754F1">
        <w:rPr>
          <w:rFonts w:asciiTheme="minorHAnsi" w:hAnsiTheme="minorHAnsi" w:cs="Arial"/>
          <w:b/>
          <w:bCs/>
        </w:rPr>
        <w:t xml:space="preserve"> </w:t>
      </w:r>
      <w:r w:rsidRPr="009754F1">
        <w:rPr>
          <w:rFonts w:asciiTheme="minorHAnsi" w:hAnsiTheme="minorHAnsi" w:cs="Arial"/>
          <w:bCs/>
        </w:rPr>
        <w:t xml:space="preserve">had a savings requirement of £4.5m for the year which represents 4.45% of expenditure budgets. </w:t>
      </w:r>
      <w:r w:rsidRPr="009754F1">
        <w:rPr>
          <w:rFonts w:asciiTheme="minorHAnsi" w:hAnsiTheme="minorHAnsi" w:cs="Arial"/>
        </w:rPr>
        <w:t>Savings plans have delivered £4,504k against the profiled plan of £4,500k for the twelve months. Of the SIP savings delivered £2,542k is from recurrent schemes and £1,962k from non-recurrent schemes. In month the Trust delivered £930k against the £423k required, an overachievement of £507k in month. The</w:t>
      </w:r>
      <w:r w:rsidRPr="009754F1">
        <w:rPr>
          <w:rFonts w:asciiTheme="minorHAnsi" w:hAnsiTheme="minorHAnsi"/>
        </w:rPr>
        <w:t xml:space="preserve"> Trusts performance against its monthly SIP savings requirement is shown below along with the monthly phased plan.</w:t>
      </w:r>
    </w:p>
    <w:p w:rsidR="001C7E4A" w:rsidRPr="009754F1" w:rsidRDefault="001C7E4A" w:rsidP="001C7E4A">
      <w:pPr>
        <w:pStyle w:val="Default"/>
        <w:rPr>
          <w:rFonts w:asciiTheme="minorHAnsi" w:hAnsiTheme="minorHAnsi" w:cs="Arial"/>
          <w:color w:val="auto"/>
        </w:rPr>
      </w:pPr>
    </w:p>
    <w:p w:rsidR="001C7E4A" w:rsidRPr="009754F1" w:rsidRDefault="001C7E4A" w:rsidP="001C7E4A">
      <w:pPr>
        <w:pStyle w:val="Default"/>
      </w:pPr>
      <w:r w:rsidRPr="009754F1">
        <w:rPr>
          <w:noProof/>
        </w:rPr>
        <w:drawing>
          <wp:inline distT="0" distB="0" distL="0" distR="0">
            <wp:extent cx="5835650" cy="2981419"/>
            <wp:effectExtent l="19050" t="0" r="0" b="0"/>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835650" cy="2981419"/>
                    </a:xfrm>
                    <a:prstGeom prst="rect">
                      <a:avLst/>
                    </a:prstGeom>
                  </pic:spPr>
                </pic:pic>
              </a:graphicData>
            </a:graphic>
          </wp:inline>
        </w:drawing>
      </w:r>
    </w:p>
    <w:p w:rsidR="001C7E4A" w:rsidRPr="009754F1" w:rsidRDefault="001C7E4A" w:rsidP="001C7E4A">
      <w:pPr>
        <w:pStyle w:val="Default"/>
      </w:pPr>
    </w:p>
    <w:p w:rsidR="001C7E4A" w:rsidRPr="009754F1" w:rsidRDefault="001C7E4A" w:rsidP="001C7E4A">
      <w:pPr>
        <w:pStyle w:val="Heading2"/>
        <w:spacing w:before="240" w:after="240"/>
      </w:pPr>
      <w:bookmarkStart w:id="84" w:name="_Toc388626843"/>
      <w:r w:rsidRPr="009754F1">
        <w:t>5.</w:t>
      </w:r>
      <w:r w:rsidRPr="009754F1">
        <w:rPr>
          <w:noProof/>
        </w:rPr>
        <w:t xml:space="preserve"> 5</w:t>
      </w:r>
      <w:r w:rsidRPr="009754F1">
        <w:t xml:space="preserve"> Activity and Income</w:t>
      </w:r>
      <w:bookmarkEnd w:id="84"/>
      <w:r w:rsidRPr="009754F1">
        <w:t xml:space="preserve"> </w:t>
      </w:r>
    </w:p>
    <w:p w:rsidR="001C7E4A" w:rsidRPr="009754F1" w:rsidRDefault="001C7E4A" w:rsidP="001C7E4A">
      <w:pPr>
        <w:pStyle w:val="ListParagraph"/>
        <w:widowControl w:val="0"/>
        <w:numPr>
          <w:ilvl w:val="2"/>
          <w:numId w:val="17"/>
        </w:numPr>
        <w:autoSpaceDE w:val="0"/>
        <w:autoSpaceDN w:val="0"/>
        <w:adjustRightInd w:val="0"/>
        <w:spacing w:after="0" w:line="240" w:lineRule="auto"/>
        <w:contextualSpacing w:val="0"/>
        <w:rPr>
          <w:rFonts w:cs="Arial"/>
        </w:rPr>
      </w:pPr>
      <w:r w:rsidRPr="009754F1">
        <w:rPr>
          <w:rFonts w:cs="Arial"/>
        </w:rPr>
        <w:t xml:space="preserve">Overall patient activity income is assessed at £460k over plan at the end of March 2015. </w:t>
      </w:r>
    </w:p>
    <w:p w:rsidR="001C7E4A" w:rsidRPr="009754F1" w:rsidRDefault="001C7E4A" w:rsidP="001C7E4A">
      <w:pPr>
        <w:pStyle w:val="ListParagraph"/>
        <w:numPr>
          <w:ilvl w:val="0"/>
          <w:numId w:val="6"/>
        </w:numPr>
      </w:pPr>
      <w:r w:rsidRPr="009754F1">
        <w:rPr>
          <w:rFonts w:cs="Arial"/>
        </w:rPr>
        <w:t xml:space="preserve">Income related to North Somerset CCG contract is £5k under plan. </w:t>
      </w:r>
    </w:p>
    <w:p w:rsidR="001C7E4A" w:rsidRPr="009754F1" w:rsidRDefault="001C7E4A" w:rsidP="001C7E4A">
      <w:pPr>
        <w:pStyle w:val="ListParagraph"/>
        <w:numPr>
          <w:ilvl w:val="0"/>
          <w:numId w:val="6"/>
        </w:numPr>
        <w:rPr>
          <w:rFonts w:cs="Arial"/>
        </w:rPr>
      </w:pPr>
      <w:r w:rsidRPr="009754F1">
        <w:rPr>
          <w:rFonts w:cs="Arial"/>
        </w:rPr>
        <w:t>Income related to the NHS Somerset contract is £15k under plan</w:t>
      </w:r>
    </w:p>
    <w:p w:rsidR="001C7E4A" w:rsidRPr="009754F1" w:rsidRDefault="001C7E4A" w:rsidP="001C7E4A">
      <w:pPr>
        <w:pStyle w:val="ListParagraph"/>
        <w:numPr>
          <w:ilvl w:val="0"/>
          <w:numId w:val="6"/>
        </w:numPr>
        <w:rPr>
          <w:rFonts w:cs="Arial"/>
        </w:rPr>
      </w:pPr>
      <w:r w:rsidRPr="009754F1">
        <w:rPr>
          <w:rFonts w:cs="Arial"/>
        </w:rPr>
        <w:t>Other CCG patient care activities is £159k over plan</w:t>
      </w:r>
    </w:p>
    <w:p w:rsidR="001C7E4A" w:rsidRPr="009754F1" w:rsidRDefault="001C7E4A" w:rsidP="001C7E4A">
      <w:pPr>
        <w:pStyle w:val="ListParagraph"/>
        <w:numPr>
          <w:ilvl w:val="0"/>
          <w:numId w:val="6"/>
        </w:numPr>
        <w:rPr>
          <w:rFonts w:cs="Arial"/>
        </w:rPr>
      </w:pPr>
      <w:r w:rsidRPr="009754F1">
        <w:rPr>
          <w:rFonts w:cs="Arial"/>
        </w:rPr>
        <w:t>The Specialist services contract is £428k over plan</w:t>
      </w:r>
    </w:p>
    <w:p w:rsidR="001C7E4A" w:rsidRPr="009754F1" w:rsidRDefault="001C7E4A" w:rsidP="001C7E4A">
      <w:pPr>
        <w:pStyle w:val="ListParagraph"/>
        <w:numPr>
          <w:ilvl w:val="0"/>
          <w:numId w:val="6"/>
        </w:numPr>
        <w:rPr>
          <w:rFonts w:cs="Arial"/>
        </w:rPr>
      </w:pPr>
      <w:r w:rsidRPr="009754F1">
        <w:rPr>
          <w:rFonts w:cs="Arial"/>
        </w:rPr>
        <w:t>Local authorities is £26k over plan</w:t>
      </w:r>
    </w:p>
    <w:p w:rsidR="001C7E4A" w:rsidRPr="009754F1" w:rsidRDefault="001C7E4A" w:rsidP="001C7E4A">
      <w:pPr>
        <w:pStyle w:val="ListParagraph"/>
        <w:numPr>
          <w:ilvl w:val="0"/>
          <w:numId w:val="6"/>
        </w:numPr>
      </w:pPr>
      <w:r w:rsidRPr="009754F1">
        <w:rPr>
          <w:rFonts w:cs="Arial"/>
        </w:rPr>
        <w:t>Private patients’ income is £138k under plan.</w:t>
      </w:r>
    </w:p>
    <w:p w:rsidR="001C7E4A" w:rsidRPr="009754F1" w:rsidRDefault="001C7E4A" w:rsidP="001C7E4A">
      <w:pPr>
        <w:ind w:left="218"/>
        <w:jc w:val="both"/>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r w:rsidRPr="009754F1">
        <w:rPr>
          <w:noProof/>
        </w:rPr>
        <w:drawing>
          <wp:inline distT="0" distB="0" distL="0" distR="0">
            <wp:extent cx="5334000" cy="554355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5543550"/>
                    </a:xfrm>
                    <a:prstGeom prst="rect">
                      <a:avLst/>
                    </a:prstGeom>
                    <a:noFill/>
                    <a:ln>
                      <a:noFill/>
                    </a:ln>
                  </pic:spPr>
                </pic:pic>
              </a:graphicData>
            </a:graphic>
          </wp:inline>
        </w:drawing>
      </w: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pStyle w:val="Default"/>
      </w:pPr>
    </w:p>
    <w:p w:rsidR="001C7E4A" w:rsidRPr="009754F1" w:rsidRDefault="001C7E4A" w:rsidP="001C7E4A">
      <w:pPr>
        <w:rPr>
          <w:color w:val="000000"/>
        </w:rPr>
      </w:pPr>
      <w:r w:rsidRPr="009754F1">
        <w:br w:type="page"/>
      </w:r>
    </w:p>
    <w:p w:rsidR="001C7E4A" w:rsidRPr="009754F1" w:rsidRDefault="001C7E4A" w:rsidP="001C7E4A">
      <w:pPr>
        <w:pStyle w:val="Default"/>
      </w:pPr>
    </w:p>
    <w:p w:rsidR="001C7E4A" w:rsidRPr="009754F1" w:rsidRDefault="001C7E4A" w:rsidP="001C7E4A">
      <w:pPr>
        <w:jc w:val="both"/>
      </w:pPr>
      <w:r w:rsidRPr="009754F1">
        <w:t>Significant volume variations in performance are shown in the table below:</w:t>
      </w:r>
    </w:p>
    <w:p w:rsidR="001C7E4A" w:rsidRPr="009754F1" w:rsidRDefault="001C7E4A" w:rsidP="001C7E4A">
      <w:pPr>
        <w:jc w:val="both"/>
        <w:rPr>
          <w:rFonts w:cs="Arial"/>
          <w:b/>
          <w:bCs/>
        </w:rPr>
      </w:pPr>
      <w:r w:rsidRPr="009754F1">
        <w:rPr>
          <w:noProof/>
        </w:rPr>
        <w:drawing>
          <wp:inline distT="0" distB="0" distL="0" distR="0">
            <wp:extent cx="4838700" cy="86267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0" cy="8626711"/>
                    </a:xfrm>
                    <a:prstGeom prst="rect">
                      <a:avLst/>
                    </a:prstGeom>
                    <a:noFill/>
                    <a:ln>
                      <a:noFill/>
                    </a:ln>
                  </pic:spPr>
                </pic:pic>
              </a:graphicData>
            </a:graphic>
          </wp:inline>
        </w:drawing>
      </w:r>
    </w:p>
    <w:p w:rsidR="001C7E4A" w:rsidRPr="009754F1" w:rsidRDefault="001C7E4A" w:rsidP="001C7E4A">
      <w:pPr>
        <w:pStyle w:val="Default"/>
        <w:rPr>
          <w:rFonts w:asciiTheme="minorHAnsi" w:hAnsiTheme="minorHAnsi" w:cs="Arial"/>
          <w:b/>
          <w:bCs/>
        </w:rPr>
      </w:pPr>
    </w:p>
    <w:p w:rsidR="001C7E4A" w:rsidRPr="009754F1" w:rsidRDefault="001C7E4A" w:rsidP="001C7E4A">
      <w:pPr>
        <w:pStyle w:val="Default"/>
        <w:rPr>
          <w:rFonts w:asciiTheme="minorHAnsi" w:hAnsiTheme="minorHAnsi" w:cs="Arial"/>
          <w:b/>
          <w:bCs/>
        </w:rPr>
      </w:pPr>
    </w:p>
    <w:p w:rsidR="001C7E4A" w:rsidRPr="009754F1" w:rsidRDefault="001C7E4A" w:rsidP="001C7E4A">
      <w:pPr>
        <w:pStyle w:val="Default"/>
        <w:rPr>
          <w:rFonts w:asciiTheme="minorHAnsi" w:hAnsiTheme="minorHAnsi" w:cs="Arial"/>
          <w:b/>
          <w:bCs/>
        </w:rPr>
      </w:pPr>
    </w:p>
    <w:p w:rsidR="001C7E4A" w:rsidRPr="009754F1" w:rsidRDefault="001C7E4A" w:rsidP="001C7E4A">
      <w:pPr>
        <w:pStyle w:val="Default"/>
        <w:rPr>
          <w:rFonts w:asciiTheme="minorHAnsi" w:hAnsiTheme="minorHAnsi" w:cs="Arial"/>
          <w:b/>
          <w:bCs/>
        </w:rPr>
      </w:pPr>
    </w:p>
    <w:p w:rsidR="001C7E4A" w:rsidRPr="009754F1" w:rsidRDefault="001C7E4A" w:rsidP="001C7E4A">
      <w:pPr>
        <w:pStyle w:val="Default"/>
        <w:rPr>
          <w:rFonts w:asciiTheme="minorHAnsi" w:hAnsiTheme="minorHAnsi" w:cs="Arial"/>
          <w:b/>
          <w:bCs/>
        </w:rPr>
      </w:pPr>
    </w:p>
    <w:p w:rsidR="001C7E4A" w:rsidRPr="009754F1" w:rsidRDefault="001C7E4A" w:rsidP="001C7E4A">
      <w:pPr>
        <w:pStyle w:val="Default"/>
        <w:rPr>
          <w:rFonts w:asciiTheme="minorHAnsi" w:hAnsiTheme="minorHAnsi" w:cs="Arial"/>
        </w:rPr>
      </w:pPr>
      <w:r w:rsidRPr="009754F1">
        <w:rPr>
          <w:rFonts w:asciiTheme="minorHAnsi" w:hAnsiTheme="minorHAnsi" w:cs="Arial"/>
          <w:b/>
          <w:bCs/>
        </w:rPr>
        <w:t xml:space="preserve">5.5.2   </w:t>
      </w:r>
      <w:r w:rsidRPr="009754F1">
        <w:rPr>
          <w:rFonts w:asciiTheme="minorHAnsi" w:hAnsiTheme="minorHAnsi" w:cs="Arial"/>
          <w:bCs/>
        </w:rPr>
        <w:t>The</w:t>
      </w:r>
      <w:r w:rsidRPr="009754F1">
        <w:rPr>
          <w:rFonts w:asciiTheme="minorHAnsi" w:hAnsiTheme="minorHAnsi" w:cs="Arial"/>
        </w:rPr>
        <w:t xml:space="preserve"> following table shows the overall activity for the period ended 31st March 2015:</w:t>
      </w:r>
    </w:p>
    <w:p w:rsidR="001C7E4A" w:rsidRPr="009754F1" w:rsidRDefault="001C7E4A" w:rsidP="001C7E4A">
      <w:pPr>
        <w:pStyle w:val="Default"/>
        <w:rPr>
          <w:rFonts w:asciiTheme="minorHAnsi" w:hAnsiTheme="minorHAnsi" w:cs="Arial"/>
        </w:rPr>
      </w:pPr>
    </w:p>
    <w:p w:rsidR="001C7E4A" w:rsidRPr="009754F1" w:rsidRDefault="001C7E4A" w:rsidP="001C7E4A">
      <w:pPr>
        <w:pStyle w:val="Default"/>
      </w:pPr>
      <w:bookmarkStart w:id="85" w:name="_Toc388626844"/>
      <w:r w:rsidRPr="009754F1">
        <w:rPr>
          <w:noProof/>
        </w:rPr>
        <w:drawing>
          <wp:inline distT="0" distB="0" distL="0" distR="0">
            <wp:extent cx="5724525" cy="2752725"/>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2752725"/>
                    </a:xfrm>
                    <a:prstGeom prst="rect">
                      <a:avLst/>
                    </a:prstGeom>
                    <a:noFill/>
                    <a:ln>
                      <a:noFill/>
                    </a:ln>
                  </pic:spPr>
                </pic:pic>
              </a:graphicData>
            </a:graphic>
          </wp:inline>
        </w:drawing>
      </w:r>
    </w:p>
    <w:p w:rsidR="001C7E4A" w:rsidRPr="009754F1" w:rsidRDefault="001C7E4A" w:rsidP="001C7E4A">
      <w:pPr>
        <w:pStyle w:val="Heading2"/>
        <w:spacing w:before="240" w:after="240"/>
      </w:pPr>
      <w:r w:rsidRPr="009754F1">
        <w:t>5.6 CQUINS</w:t>
      </w:r>
      <w:bookmarkEnd w:id="85"/>
      <w:r w:rsidRPr="009754F1">
        <w:t xml:space="preserve"> </w:t>
      </w:r>
    </w:p>
    <w:p w:rsidR="001C7E4A" w:rsidRDefault="001C7E4A" w:rsidP="001C7E4A">
      <w:pPr>
        <w:spacing w:after="0"/>
        <w:rPr>
          <w:rFonts w:cs="Arial"/>
        </w:rPr>
      </w:pPr>
      <w:r w:rsidRPr="009754F1">
        <w:rPr>
          <w:rFonts w:cs="Arial"/>
          <w:b/>
        </w:rPr>
        <w:t>5.6.1</w:t>
      </w:r>
      <w:r w:rsidRPr="009754F1">
        <w:rPr>
          <w:rFonts w:cs="Arial"/>
        </w:rPr>
        <w:t xml:space="preserve"> </w:t>
      </w:r>
    </w:p>
    <w:p w:rsidR="001C7E4A" w:rsidRPr="009754F1" w:rsidRDefault="001C7E4A" w:rsidP="001C7E4A">
      <w:pPr>
        <w:spacing w:after="0"/>
      </w:pPr>
      <w:r w:rsidRPr="009754F1">
        <w:rPr>
          <w:rFonts w:cs="Arial"/>
        </w:rPr>
        <w:t xml:space="preserve">The Trust received £1501k out of potential income of £1540k; all schemes were achieved except for the Dementia (Find Assess Investigate and Refer) scheme. </w:t>
      </w:r>
    </w:p>
    <w:p w:rsidR="001C7E4A" w:rsidRPr="009754F1" w:rsidRDefault="001C7E4A" w:rsidP="001C7E4A">
      <w:pPr>
        <w:pStyle w:val="Heading2"/>
        <w:spacing w:before="240" w:after="240"/>
      </w:pPr>
      <w:bookmarkStart w:id="86" w:name="_Toc388626845"/>
      <w:r w:rsidRPr="009754F1">
        <w:t>5.7 Penalties</w:t>
      </w:r>
      <w:bookmarkEnd w:id="86"/>
    </w:p>
    <w:p w:rsidR="001C7E4A" w:rsidRDefault="001C7E4A" w:rsidP="001C7E4A">
      <w:pPr>
        <w:pStyle w:val="Default"/>
        <w:rPr>
          <w:rFonts w:asciiTheme="minorHAnsi" w:hAnsiTheme="minorHAnsi" w:cs="Arial"/>
        </w:rPr>
      </w:pPr>
      <w:r w:rsidRPr="009754F1">
        <w:rPr>
          <w:rFonts w:asciiTheme="minorHAnsi" w:hAnsiTheme="minorHAnsi" w:cs="Arial"/>
          <w:b/>
        </w:rPr>
        <w:t>5.7.1</w:t>
      </w:r>
      <w:r w:rsidRPr="009754F1">
        <w:rPr>
          <w:rFonts w:asciiTheme="minorHAnsi" w:hAnsiTheme="minorHAnsi" w:cs="Arial"/>
        </w:rPr>
        <w:t xml:space="preserve"> </w:t>
      </w:r>
    </w:p>
    <w:p w:rsidR="001C7E4A" w:rsidRPr="009754F1" w:rsidRDefault="001C7E4A" w:rsidP="001C7E4A">
      <w:pPr>
        <w:pStyle w:val="Default"/>
        <w:jc w:val="both"/>
        <w:rPr>
          <w:rFonts w:asciiTheme="minorHAnsi" w:hAnsiTheme="minorHAnsi"/>
        </w:rPr>
      </w:pPr>
      <w:r w:rsidRPr="009754F1">
        <w:rPr>
          <w:rFonts w:asciiTheme="minorHAnsi" w:hAnsiTheme="minorHAnsi" w:cs="Arial"/>
        </w:rPr>
        <w:t>P</w:t>
      </w:r>
      <w:r w:rsidRPr="009754F1">
        <w:rPr>
          <w:rFonts w:asciiTheme="minorHAnsi" w:hAnsiTheme="minorHAnsi"/>
        </w:rPr>
        <w:t>enalties for the period ending 31</w:t>
      </w:r>
      <w:r w:rsidRPr="009754F1">
        <w:rPr>
          <w:rFonts w:asciiTheme="minorHAnsi" w:hAnsiTheme="minorHAnsi"/>
          <w:vertAlign w:val="superscript"/>
        </w:rPr>
        <w:t>st</w:t>
      </w:r>
      <w:r w:rsidRPr="009754F1">
        <w:rPr>
          <w:rFonts w:asciiTheme="minorHAnsi" w:hAnsiTheme="minorHAnsi"/>
        </w:rPr>
        <w:t xml:space="preserve"> March 2015 amounted to £277k for Referral to Treatment, Cancer access, waits and Ambulance handovers. The detailed assessment is shown in the table below.   It is agreed that there will be no RTT penalties for July, August and September</w:t>
      </w:r>
      <w:r>
        <w:rPr>
          <w:rFonts w:asciiTheme="minorHAnsi" w:hAnsiTheme="minorHAnsi"/>
        </w:rPr>
        <w:t xml:space="preserve"> and</w:t>
      </w:r>
      <w:r w:rsidRPr="009754F1">
        <w:rPr>
          <w:rFonts w:asciiTheme="minorHAnsi" w:hAnsiTheme="minorHAnsi"/>
        </w:rPr>
        <w:t xml:space="preserve"> that the Emergency Department 4 &amp; 12 hour penalty will be reinvested to help resolve the underlying performance issues.</w:t>
      </w:r>
    </w:p>
    <w:p w:rsidR="001C7E4A" w:rsidRPr="009754F1" w:rsidRDefault="001C7E4A" w:rsidP="001C7E4A">
      <w:pPr>
        <w:pStyle w:val="Default"/>
        <w:rPr>
          <w:rFonts w:asciiTheme="minorHAnsi" w:hAnsiTheme="minorHAnsi"/>
        </w:rPr>
      </w:pPr>
    </w:p>
    <w:p w:rsidR="001C7E4A" w:rsidRPr="009754F1" w:rsidRDefault="001C7E4A" w:rsidP="001C7E4A">
      <w:pPr>
        <w:pStyle w:val="Default"/>
        <w:rPr>
          <w:rFonts w:asciiTheme="minorHAnsi" w:hAnsiTheme="minorHAnsi"/>
        </w:rPr>
      </w:pPr>
    </w:p>
    <w:p w:rsidR="001C7E4A" w:rsidRPr="009754F1" w:rsidRDefault="001C7E4A" w:rsidP="001C7E4A">
      <w:pPr>
        <w:pStyle w:val="Default"/>
        <w:rPr>
          <w:rFonts w:asciiTheme="minorHAnsi" w:hAnsiTheme="minorHAnsi"/>
        </w:rPr>
      </w:pPr>
    </w:p>
    <w:p w:rsidR="001C7E4A" w:rsidRPr="009754F1" w:rsidRDefault="001C7E4A" w:rsidP="001C7E4A">
      <w:pPr>
        <w:pStyle w:val="Default"/>
        <w:rPr>
          <w:rFonts w:asciiTheme="minorHAnsi" w:hAnsiTheme="minorHAnsi"/>
        </w:rPr>
      </w:pPr>
      <w:r w:rsidRPr="009754F1">
        <w:rPr>
          <w:rFonts w:asciiTheme="minorHAnsi" w:hAnsiTheme="minorHAnsi"/>
        </w:rPr>
        <w:t xml:space="preserve">    </w:t>
      </w:r>
    </w:p>
    <w:p w:rsidR="001C7E4A" w:rsidRPr="009754F1" w:rsidRDefault="001C7E4A" w:rsidP="001C7E4A">
      <w:pPr>
        <w:pStyle w:val="Default"/>
        <w:rPr>
          <w:rFonts w:asciiTheme="minorHAnsi" w:hAnsiTheme="minorHAnsi"/>
        </w:rPr>
        <w:sectPr w:rsidR="001C7E4A" w:rsidRPr="009754F1" w:rsidSect="001C7E4A">
          <w:pgSz w:w="11900" w:h="16840"/>
          <w:pgMar w:top="680" w:right="1410" w:bottom="640" w:left="1300" w:header="720" w:footer="115" w:gutter="0"/>
          <w:cols w:space="720"/>
          <w:noEndnote/>
        </w:sectPr>
      </w:pPr>
    </w:p>
    <w:p w:rsidR="001C7E4A" w:rsidRPr="009754F1" w:rsidRDefault="001C7E4A" w:rsidP="001C7E4A">
      <w:pPr>
        <w:rPr>
          <w:noProof/>
        </w:rPr>
      </w:pPr>
      <w:r w:rsidRPr="009754F1">
        <w:rPr>
          <w:noProof/>
        </w:rPr>
        <w:drawing>
          <wp:inline distT="0" distB="0" distL="0" distR="0">
            <wp:extent cx="9779000" cy="529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9000" cy="5292000"/>
                    </a:xfrm>
                    <a:prstGeom prst="rect">
                      <a:avLst/>
                    </a:prstGeom>
                    <a:noFill/>
                    <a:ln>
                      <a:noFill/>
                    </a:ln>
                  </pic:spPr>
                </pic:pic>
              </a:graphicData>
            </a:graphic>
          </wp:inline>
        </w:drawing>
      </w:r>
      <w:r w:rsidRPr="009754F1">
        <w:rPr>
          <w:noProof/>
        </w:rPr>
        <w:br w:type="page"/>
      </w:r>
    </w:p>
    <w:p w:rsidR="001C7E4A" w:rsidRPr="009754F1" w:rsidRDefault="001C7E4A" w:rsidP="001C7E4A">
      <w:r w:rsidRPr="009754F1">
        <w:rPr>
          <w:b/>
        </w:rPr>
        <w:t>Referral to Treatment penalty by specialty</w:t>
      </w:r>
    </w:p>
    <w:p w:rsidR="001C7E4A" w:rsidRPr="009754F1" w:rsidRDefault="001C7E4A" w:rsidP="001C7E4A">
      <w:pPr>
        <w:pStyle w:val="NoSpacing"/>
      </w:pPr>
    </w:p>
    <w:p w:rsidR="001C7E4A" w:rsidRDefault="001C7E4A" w:rsidP="001C7E4A">
      <w:pPr>
        <w:pStyle w:val="NoSpacing"/>
      </w:pPr>
      <w:r w:rsidRPr="009754F1">
        <w:rPr>
          <w:noProof/>
        </w:rPr>
        <w:drawing>
          <wp:inline distT="0" distB="0" distL="0" distR="0">
            <wp:extent cx="9525000" cy="5779019"/>
            <wp:effectExtent l="19050" t="0" r="0"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3477" cy="5778095"/>
                    </a:xfrm>
                    <a:prstGeom prst="rect">
                      <a:avLst/>
                    </a:prstGeom>
                    <a:noFill/>
                    <a:ln>
                      <a:noFill/>
                    </a:ln>
                  </pic:spPr>
                </pic:pic>
              </a:graphicData>
            </a:graphic>
          </wp:inline>
        </w:drawing>
      </w:r>
    </w:p>
    <w:p w:rsidR="001C7E4A" w:rsidRPr="009754F1" w:rsidRDefault="001C7E4A" w:rsidP="001C7E4A">
      <w:pPr>
        <w:pStyle w:val="NoSpacing"/>
        <w:sectPr w:rsidR="001C7E4A" w:rsidRPr="009754F1" w:rsidSect="001C7E4A">
          <w:pgSz w:w="16840" w:h="11900" w:orient="landscape"/>
          <w:pgMar w:top="720" w:right="720" w:bottom="720" w:left="720" w:header="720" w:footer="115" w:gutter="0"/>
          <w:cols w:space="720"/>
          <w:noEndnote/>
          <w:docGrid w:linePitch="326"/>
        </w:sectPr>
      </w:pPr>
    </w:p>
    <w:p w:rsidR="001C7E4A" w:rsidRDefault="001C7E4A" w:rsidP="001C7E4A">
      <w:pPr>
        <w:pStyle w:val="Heading2"/>
        <w:spacing w:before="240" w:after="240"/>
      </w:pPr>
      <w:bookmarkStart w:id="87" w:name="_Toc388626846"/>
      <w:bookmarkStart w:id="88" w:name="_Toc318461795"/>
      <w:bookmarkStart w:id="89" w:name="_Toc326332022"/>
      <w:bookmarkStart w:id="90" w:name="_Toc339280269"/>
      <w:bookmarkStart w:id="91" w:name="_Toc313625320"/>
      <w:r>
        <w:t>5.8 Other operating revenue</w:t>
      </w:r>
    </w:p>
    <w:p w:rsidR="001C7E4A" w:rsidRDefault="001C7E4A" w:rsidP="002B118A">
      <w:pPr>
        <w:spacing w:before="240" w:after="240"/>
        <w:jc w:val="both"/>
        <w:rPr>
          <w:rFonts w:cs="Arial"/>
          <w:bCs/>
        </w:rPr>
      </w:pPr>
      <w:r w:rsidRPr="009754F1">
        <w:rPr>
          <w:rFonts w:cs="Arial"/>
          <w:b/>
          <w:bCs/>
        </w:rPr>
        <w:t xml:space="preserve">5.8.1 </w:t>
      </w:r>
      <w:r>
        <w:rPr>
          <w:rFonts w:cs="Arial"/>
          <w:bCs/>
        </w:rPr>
        <w:t>The Trusts Other sources of income over delivered against plan by a total of £907k for the year to 31</w:t>
      </w:r>
      <w:r w:rsidRPr="008702A5">
        <w:rPr>
          <w:rFonts w:cs="Arial"/>
          <w:bCs/>
          <w:vertAlign w:val="superscript"/>
        </w:rPr>
        <w:t>st</w:t>
      </w:r>
      <w:r>
        <w:rPr>
          <w:rFonts w:cs="Arial"/>
          <w:bCs/>
        </w:rPr>
        <w:t xml:space="preserve"> March. </w:t>
      </w:r>
    </w:p>
    <w:p w:rsidR="001C7E4A" w:rsidRDefault="001C7E4A" w:rsidP="002B118A">
      <w:pPr>
        <w:spacing w:before="240" w:after="240"/>
        <w:jc w:val="both"/>
        <w:rPr>
          <w:rFonts w:cs="Arial"/>
          <w:bCs/>
        </w:rPr>
      </w:pPr>
      <w:r>
        <w:rPr>
          <w:rFonts w:cs="Arial"/>
          <w:bCs/>
        </w:rPr>
        <w:t xml:space="preserve">Education and Training income was £193k over plan due to the Trust delivering more weeks of Medical trainee and student placements and also supporting more Pharmacist and Biomedical scientist trainee in placements than originally anticipated. </w:t>
      </w:r>
    </w:p>
    <w:p w:rsidR="001C7E4A" w:rsidRDefault="001C7E4A" w:rsidP="002B118A">
      <w:pPr>
        <w:pStyle w:val="Default"/>
        <w:jc w:val="both"/>
        <w:rPr>
          <w:rFonts w:asciiTheme="minorHAnsi" w:hAnsiTheme="minorHAnsi"/>
        </w:rPr>
      </w:pPr>
      <w:r w:rsidRPr="00081F7D">
        <w:rPr>
          <w:rFonts w:asciiTheme="minorHAnsi" w:hAnsiTheme="minorHAnsi"/>
        </w:rPr>
        <w:t>The Income received from Insurance companies via the Compensation recover unit for the treatment of patients who received injuries in Road Traffic Accidents was £</w:t>
      </w:r>
      <w:r>
        <w:rPr>
          <w:rFonts w:asciiTheme="minorHAnsi" w:hAnsiTheme="minorHAnsi"/>
        </w:rPr>
        <w:t>117k over plan due to a higher overall number of claims and a small number of very high value incidents.</w:t>
      </w:r>
    </w:p>
    <w:p w:rsidR="001C7E4A" w:rsidRDefault="001C7E4A" w:rsidP="002B118A">
      <w:pPr>
        <w:pStyle w:val="Default"/>
        <w:jc w:val="both"/>
        <w:rPr>
          <w:rFonts w:asciiTheme="minorHAnsi" w:hAnsiTheme="minorHAnsi"/>
        </w:rPr>
      </w:pPr>
    </w:p>
    <w:p w:rsidR="001C7E4A" w:rsidRPr="00081F7D" w:rsidRDefault="001C7E4A" w:rsidP="002B118A">
      <w:pPr>
        <w:pStyle w:val="Default"/>
        <w:jc w:val="both"/>
        <w:rPr>
          <w:rFonts w:asciiTheme="minorHAnsi" w:hAnsiTheme="minorHAnsi"/>
        </w:rPr>
      </w:pPr>
      <w:r>
        <w:rPr>
          <w:rFonts w:asciiTheme="minorHAnsi" w:hAnsiTheme="minorHAnsi"/>
        </w:rPr>
        <w:t xml:space="preserve">Other income is the Trusts income generated by the Divisions for non patient treatment activies. In total this was £597k over plan, the largest favourable variances were against R&amp;D income, Consultant recharges to other providers and Somerset Surgical Services income. </w:t>
      </w:r>
    </w:p>
    <w:p w:rsidR="001C7E4A" w:rsidRPr="00CE16FA" w:rsidRDefault="001C7E4A" w:rsidP="002B118A">
      <w:pPr>
        <w:pStyle w:val="Default"/>
        <w:jc w:val="both"/>
      </w:pPr>
    </w:p>
    <w:p w:rsidR="001C7E4A" w:rsidRPr="009754F1" w:rsidRDefault="001C7E4A" w:rsidP="002B118A">
      <w:pPr>
        <w:pStyle w:val="Heading2"/>
        <w:spacing w:before="240" w:after="240"/>
        <w:jc w:val="both"/>
      </w:pPr>
      <w:r w:rsidRPr="009754F1">
        <w:t>5.</w:t>
      </w:r>
      <w:r>
        <w:t>9</w:t>
      </w:r>
      <w:r w:rsidRPr="009754F1">
        <w:t xml:space="preserve"> Statement of Financial Position</w:t>
      </w:r>
      <w:bookmarkEnd w:id="87"/>
      <w:r w:rsidRPr="009754F1">
        <w:t xml:space="preserve"> </w:t>
      </w:r>
      <w:bookmarkEnd w:id="88"/>
      <w:bookmarkEnd w:id="89"/>
      <w:bookmarkEnd w:id="90"/>
      <w:bookmarkEnd w:id="91"/>
    </w:p>
    <w:p w:rsidR="001C7E4A" w:rsidRPr="009754F1" w:rsidRDefault="001C7E4A" w:rsidP="002B118A">
      <w:pPr>
        <w:spacing w:before="240" w:after="240"/>
        <w:jc w:val="both"/>
        <w:rPr>
          <w:rFonts w:cs="Arial"/>
          <w:b/>
        </w:rPr>
      </w:pPr>
      <w:r>
        <w:rPr>
          <w:rFonts w:cs="Arial"/>
          <w:b/>
          <w:bCs/>
        </w:rPr>
        <w:t>5.9</w:t>
      </w:r>
      <w:r w:rsidRPr="009754F1">
        <w:rPr>
          <w:rFonts w:cs="Arial"/>
          <w:b/>
          <w:bCs/>
        </w:rPr>
        <w:t xml:space="preserve">.1 </w:t>
      </w:r>
      <w:r w:rsidRPr="009754F1">
        <w:rPr>
          <w:rFonts w:cs="Arial"/>
          <w:bCs/>
        </w:rPr>
        <w:t xml:space="preserve">The Trust’s </w:t>
      </w:r>
      <w:r w:rsidRPr="009754F1">
        <w:rPr>
          <w:rFonts w:cs="Arial"/>
        </w:rPr>
        <w:t>main accounting statements are shown in the appendices of this report and see Appendix B for the Statement of Financial Position as at 31st March 2015.</w:t>
      </w:r>
    </w:p>
    <w:p w:rsidR="001C7E4A" w:rsidRPr="009754F1" w:rsidRDefault="001C7E4A" w:rsidP="002B118A">
      <w:pPr>
        <w:pStyle w:val="Heading4"/>
        <w:spacing w:before="240" w:after="240"/>
        <w:jc w:val="both"/>
      </w:pPr>
      <w:r w:rsidRPr="009754F1">
        <w:t>Cash</w:t>
      </w:r>
    </w:p>
    <w:p w:rsidR="001C7E4A" w:rsidRPr="009754F1" w:rsidRDefault="001C7E4A" w:rsidP="002B118A">
      <w:pPr>
        <w:spacing w:before="240" w:after="240"/>
        <w:jc w:val="both"/>
        <w:rPr>
          <w:rFonts w:cs="Arial"/>
        </w:rPr>
      </w:pPr>
      <w:r>
        <w:rPr>
          <w:rFonts w:cs="Arial"/>
          <w:b/>
          <w:bCs/>
        </w:rPr>
        <w:t>5.9</w:t>
      </w:r>
      <w:r w:rsidRPr="009754F1">
        <w:rPr>
          <w:rFonts w:cs="Arial"/>
          <w:b/>
          <w:bCs/>
        </w:rPr>
        <w:t xml:space="preserve">.2 </w:t>
      </w:r>
      <w:r w:rsidRPr="009754F1">
        <w:rPr>
          <w:rFonts w:cs="Arial"/>
        </w:rPr>
        <w:t>The External Financing Limit has been achieved by in year management of cash and working balances. The yearend cash balance of £2,989k, as at 31st March, is £1,507k higher than the revised planned position of £1,482k.</w:t>
      </w:r>
      <w:r w:rsidRPr="007601B2">
        <w:rPr>
          <w:rFonts w:cs="Arial"/>
        </w:rPr>
        <w:t xml:space="preserve"> </w:t>
      </w:r>
      <w:r w:rsidRPr="009754F1">
        <w:rPr>
          <w:rFonts w:cs="Arial"/>
        </w:rPr>
        <w:t>The increase in cash is matched primarily by an increase in revenue and capital payables at the year end.</w:t>
      </w:r>
    </w:p>
    <w:p w:rsidR="001C7E4A" w:rsidRPr="009754F1" w:rsidRDefault="001C7E4A" w:rsidP="002B118A">
      <w:pPr>
        <w:spacing w:before="240" w:after="240"/>
        <w:jc w:val="both"/>
        <w:rPr>
          <w:rFonts w:cs="Arial"/>
        </w:rPr>
      </w:pPr>
      <w:r w:rsidRPr="009754F1">
        <w:rPr>
          <w:rFonts w:cs="Arial"/>
        </w:rPr>
        <w:t>The difference between actual cash balance held £3,030k and the reported £2,989k on the Statement of Financial position relates to un-presented payments and cash in transit as at 31st March 2015.</w:t>
      </w:r>
    </w:p>
    <w:p w:rsidR="001C7E4A" w:rsidRPr="009754F1" w:rsidRDefault="001C7E4A" w:rsidP="002B118A">
      <w:pPr>
        <w:spacing w:before="240" w:after="240"/>
        <w:jc w:val="both"/>
        <w:rPr>
          <w:rFonts w:cs="Arial"/>
        </w:rPr>
      </w:pPr>
      <w:r w:rsidRPr="009754F1">
        <w:rPr>
          <w:rFonts w:cs="Arial"/>
        </w:rPr>
        <w:t xml:space="preserve">The Trust met its requirement to remain within its External Financing Limit. </w:t>
      </w:r>
    </w:p>
    <w:p w:rsidR="001C7E4A" w:rsidRPr="009754F1" w:rsidRDefault="001C7E4A" w:rsidP="002B118A">
      <w:pPr>
        <w:pStyle w:val="Heading4"/>
        <w:spacing w:before="240" w:after="240"/>
        <w:jc w:val="both"/>
      </w:pPr>
      <w:r w:rsidRPr="009754F1">
        <w:t>Debtors</w:t>
      </w:r>
    </w:p>
    <w:p w:rsidR="001C7E4A" w:rsidRPr="00F57E7B" w:rsidRDefault="001C7E4A" w:rsidP="002B118A">
      <w:pPr>
        <w:spacing w:before="240" w:after="240"/>
        <w:jc w:val="both"/>
        <w:rPr>
          <w:rFonts w:cs="Arial"/>
        </w:rPr>
      </w:pPr>
      <w:r>
        <w:rPr>
          <w:rFonts w:cs="Arial"/>
          <w:b/>
          <w:bCs/>
        </w:rPr>
        <w:t>5.9</w:t>
      </w:r>
      <w:r w:rsidRPr="009754F1">
        <w:rPr>
          <w:rFonts w:cs="Arial"/>
          <w:b/>
          <w:bCs/>
        </w:rPr>
        <w:t>.3</w:t>
      </w:r>
      <w:r w:rsidRPr="009754F1">
        <w:rPr>
          <w:rFonts w:cs="Arial"/>
        </w:rPr>
        <w:t xml:space="preserve">. The figures from the debtors system represent invoices raised for which cash has yet to be received. The total outstanding invoiced debt as at 31th March is £1,922k, which is divided between NHS £1,613k, Private Patients £96k and non NHS £213k. Debts over 250 days represent £97k which is 5.0% of the total debt. </w:t>
      </w:r>
    </w:p>
    <w:p w:rsidR="001C7E4A" w:rsidRPr="009754F1" w:rsidRDefault="001C7E4A" w:rsidP="002B118A">
      <w:pPr>
        <w:pStyle w:val="Heading4"/>
        <w:spacing w:before="240" w:after="240"/>
        <w:jc w:val="both"/>
      </w:pPr>
      <w:r>
        <w:t>C</w:t>
      </w:r>
      <w:r w:rsidRPr="009754F1">
        <w:t>reditors</w:t>
      </w:r>
    </w:p>
    <w:p w:rsidR="001C7E4A" w:rsidRPr="009754F1" w:rsidRDefault="001C7E4A" w:rsidP="002B118A">
      <w:pPr>
        <w:spacing w:before="240" w:after="240"/>
        <w:jc w:val="both"/>
        <w:rPr>
          <w:rFonts w:cs="Arial"/>
          <w:bCs/>
        </w:rPr>
      </w:pPr>
      <w:r>
        <w:rPr>
          <w:rFonts w:cs="Arial"/>
          <w:b/>
          <w:bCs/>
        </w:rPr>
        <w:t>5.9</w:t>
      </w:r>
      <w:r w:rsidRPr="009754F1">
        <w:rPr>
          <w:rFonts w:cs="Arial"/>
          <w:b/>
          <w:bCs/>
        </w:rPr>
        <w:t xml:space="preserve">.4 </w:t>
      </w:r>
      <w:r w:rsidRPr="009754F1">
        <w:rPr>
          <w:rFonts w:cs="Arial"/>
          <w:bCs/>
        </w:rPr>
        <w:t>The measure for the better payment practice code is to pay all NHS and non-NHS trade creditors within 30 calendar days of receipt of goods or a valid invoice (whichever is later), unless other payment terms have been agreed. The compliance is for at least 95% of invoices to be paid (by the bank automated credit system or date and issue of a cheque) within thirty days, or within agreed contract terms. The yearend performance against the target is below and this target was met.</w:t>
      </w:r>
    </w:p>
    <w:p w:rsidR="001C7E4A" w:rsidRPr="009754F1" w:rsidRDefault="001C7E4A" w:rsidP="001C7E4A">
      <w:pPr>
        <w:pStyle w:val="Default"/>
      </w:pPr>
      <w:r w:rsidRPr="009754F1">
        <w:rPr>
          <w:noProof/>
        </w:rPr>
        <w:drawing>
          <wp:inline distT="0" distB="0" distL="0" distR="0">
            <wp:extent cx="1981200" cy="962025"/>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1981200" cy="962025"/>
                    </a:xfrm>
                    <a:prstGeom prst="rect">
                      <a:avLst/>
                    </a:prstGeom>
                    <a:noFill/>
                    <a:ln w="9525">
                      <a:noFill/>
                      <a:miter lim="800000"/>
                      <a:headEnd/>
                      <a:tailEnd/>
                    </a:ln>
                  </pic:spPr>
                </pic:pic>
              </a:graphicData>
            </a:graphic>
          </wp:inline>
        </w:drawing>
      </w:r>
    </w:p>
    <w:p w:rsidR="001C7E4A" w:rsidRPr="009754F1" w:rsidRDefault="001C7E4A" w:rsidP="001C7E4A">
      <w:pPr>
        <w:pStyle w:val="Heading2"/>
        <w:spacing w:before="240" w:after="240"/>
      </w:pPr>
      <w:bookmarkStart w:id="92" w:name="_Toc318461796"/>
      <w:bookmarkStart w:id="93" w:name="_Toc326332023"/>
      <w:bookmarkStart w:id="94" w:name="_Toc339280270"/>
      <w:bookmarkStart w:id="95" w:name="_Toc388626847"/>
      <w:bookmarkStart w:id="96" w:name="_Toc313625323"/>
      <w:r>
        <w:t>5.10</w:t>
      </w:r>
      <w:r w:rsidRPr="009754F1">
        <w:t xml:space="preserve"> Capital Programme and Performance against Capital Resource Limit</w:t>
      </w:r>
      <w:bookmarkEnd w:id="92"/>
      <w:bookmarkEnd w:id="93"/>
      <w:bookmarkEnd w:id="94"/>
      <w:bookmarkEnd w:id="95"/>
      <w:r w:rsidRPr="009754F1">
        <w:t xml:space="preserve"> </w:t>
      </w:r>
      <w:bookmarkEnd w:id="96"/>
    </w:p>
    <w:p w:rsidR="001C7E4A" w:rsidRPr="009754F1" w:rsidRDefault="001C7E4A" w:rsidP="001C7E4A">
      <w:pPr>
        <w:spacing w:before="240" w:after="240"/>
        <w:jc w:val="both"/>
        <w:rPr>
          <w:rFonts w:cs="Arial"/>
        </w:rPr>
      </w:pPr>
      <w:r>
        <w:rPr>
          <w:rFonts w:cs="Arial"/>
          <w:b/>
          <w:bCs/>
        </w:rPr>
        <w:t>5.10</w:t>
      </w:r>
      <w:r w:rsidRPr="009754F1">
        <w:rPr>
          <w:rFonts w:cs="Arial"/>
          <w:b/>
          <w:bCs/>
        </w:rPr>
        <w:t xml:space="preserve">.1 </w:t>
      </w:r>
      <w:r w:rsidRPr="009754F1">
        <w:rPr>
          <w:rFonts w:cs="Arial"/>
          <w:b/>
          <w:bCs/>
        </w:rPr>
        <w:tab/>
      </w:r>
      <w:r w:rsidRPr="009754F1">
        <w:rPr>
          <w:rFonts w:cs="Arial"/>
        </w:rPr>
        <w:t xml:space="preserve">The Trust operated within its Capital Resource Limit </w:t>
      </w:r>
      <w:r>
        <w:rPr>
          <w:rFonts w:cs="Arial"/>
        </w:rPr>
        <w:t xml:space="preserve">and </w:t>
      </w:r>
      <w:r w:rsidRPr="009754F1">
        <w:rPr>
          <w:rFonts w:cs="Arial"/>
        </w:rPr>
        <w:t>detailed capital programme management enabled the capital expenditure to be delivered within resources.</w:t>
      </w:r>
    </w:p>
    <w:p w:rsidR="001C7E4A" w:rsidRPr="009754F1" w:rsidRDefault="001C7E4A" w:rsidP="001C7E4A">
      <w:pPr>
        <w:spacing w:before="240" w:after="240"/>
        <w:jc w:val="both"/>
        <w:rPr>
          <w:rFonts w:cs="Arial"/>
        </w:rPr>
      </w:pPr>
      <w:r>
        <w:rPr>
          <w:rFonts w:cs="Arial"/>
          <w:b/>
        </w:rPr>
        <w:t>5.10</w:t>
      </w:r>
      <w:r w:rsidRPr="009754F1">
        <w:rPr>
          <w:rFonts w:cs="Arial"/>
          <w:b/>
        </w:rPr>
        <w:t>.2</w:t>
      </w:r>
      <w:r w:rsidRPr="009754F1">
        <w:rPr>
          <w:rFonts w:cs="Arial"/>
          <w:b/>
        </w:rPr>
        <w:tab/>
      </w:r>
      <w:r w:rsidRPr="009754F1">
        <w:rPr>
          <w:rFonts w:cs="Arial"/>
        </w:rPr>
        <w:t>As at 31st March 2015 there has been £3,796k of capital expenditure. See appendix D for the final year end position.</w:t>
      </w:r>
    </w:p>
    <w:p w:rsidR="001C7E4A" w:rsidRPr="009754F1" w:rsidRDefault="001C7E4A" w:rsidP="001C7E4A">
      <w:pPr>
        <w:pStyle w:val="Heading2"/>
        <w:spacing w:before="240" w:after="240"/>
      </w:pPr>
      <w:bookmarkStart w:id="97" w:name="_Toc318461797"/>
      <w:bookmarkStart w:id="98" w:name="_Toc326332024"/>
      <w:bookmarkStart w:id="99" w:name="_Toc339280271"/>
      <w:bookmarkStart w:id="100" w:name="_Toc388626848"/>
      <w:bookmarkStart w:id="101" w:name="_Toc313625328"/>
      <w:r>
        <w:t>5.11</w:t>
      </w:r>
      <w:r w:rsidRPr="009754F1">
        <w:t xml:space="preserve"> Foundation Trust Indicative Risk Rating</w:t>
      </w:r>
      <w:bookmarkEnd w:id="97"/>
      <w:bookmarkEnd w:id="98"/>
      <w:bookmarkEnd w:id="99"/>
      <w:bookmarkEnd w:id="100"/>
      <w:r w:rsidRPr="009754F1">
        <w:t xml:space="preserve">  </w:t>
      </w:r>
      <w:bookmarkEnd w:id="101"/>
    </w:p>
    <w:p w:rsidR="001C7E4A" w:rsidRPr="009754F1" w:rsidRDefault="001C7E4A" w:rsidP="001C7E4A">
      <w:pPr>
        <w:spacing w:before="240" w:after="240"/>
        <w:jc w:val="both"/>
        <w:rPr>
          <w:rFonts w:cs="Arial"/>
        </w:rPr>
      </w:pPr>
      <w:r>
        <w:rPr>
          <w:rFonts w:cs="Arial"/>
          <w:b/>
          <w:bCs/>
        </w:rPr>
        <w:t>5.11</w:t>
      </w:r>
      <w:r w:rsidRPr="009754F1">
        <w:rPr>
          <w:rFonts w:cs="Arial"/>
          <w:b/>
          <w:bCs/>
        </w:rPr>
        <w:t xml:space="preserve">.1 </w:t>
      </w:r>
      <w:r w:rsidRPr="009754F1">
        <w:rPr>
          <w:rFonts w:cs="Arial"/>
          <w:b/>
          <w:bCs/>
        </w:rPr>
        <w:tab/>
      </w:r>
      <w:r w:rsidRPr="009754F1">
        <w:rPr>
          <w:rFonts w:cs="Arial"/>
        </w:rPr>
        <w:t>The Financial risk rating for the Trust, if operating as a Foundation Trust, as at the 31st March 2015 is a level 1, and the liquidity ratio is 16.6 days which achieves a level 3.</w:t>
      </w:r>
    </w:p>
    <w:p w:rsidR="001C7E4A" w:rsidRPr="009754F1" w:rsidRDefault="001C7E4A" w:rsidP="001C7E4A">
      <w:pPr>
        <w:spacing w:before="240" w:after="240"/>
        <w:jc w:val="both"/>
        <w:rPr>
          <w:rFonts w:cs="Arial"/>
        </w:rPr>
      </w:pPr>
      <w:r>
        <w:rPr>
          <w:rFonts w:cs="Arial"/>
          <w:b/>
          <w:bCs/>
        </w:rPr>
        <w:t>5.11</w:t>
      </w:r>
      <w:r w:rsidRPr="009754F1">
        <w:rPr>
          <w:rFonts w:cs="Arial"/>
          <w:b/>
          <w:bCs/>
        </w:rPr>
        <w:t xml:space="preserve">.2 </w:t>
      </w:r>
      <w:r w:rsidRPr="009754F1">
        <w:rPr>
          <w:rFonts w:cs="Arial"/>
          <w:b/>
          <w:bCs/>
        </w:rPr>
        <w:tab/>
      </w:r>
      <w:r w:rsidRPr="009754F1">
        <w:rPr>
          <w:rFonts w:cs="Arial"/>
          <w:bCs/>
        </w:rPr>
        <w:t>T</w:t>
      </w:r>
      <w:r w:rsidRPr="009754F1">
        <w:rPr>
          <w:rFonts w:cs="Arial"/>
        </w:rPr>
        <w:t>he Continuity of Services risk metrics, if operating as a Foundation Trust, as at the 31</w:t>
      </w:r>
      <w:r w:rsidRPr="009754F1">
        <w:rPr>
          <w:rFonts w:cs="Arial"/>
          <w:vertAlign w:val="superscript"/>
        </w:rPr>
        <w:t>st</w:t>
      </w:r>
      <w:r w:rsidRPr="009754F1">
        <w:rPr>
          <w:rFonts w:cs="Arial"/>
        </w:rPr>
        <w:t xml:space="preserve"> March 2015 is a level 1.5.</w:t>
      </w:r>
    </w:p>
    <w:p w:rsidR="001C7E4A" w:rsidRPr="009754F1" w:rsidRDefault="001C7E4A" w:rsidP="001C7E4A">
      <w:pPr>
        <w:pStyle w:val="Default"/>
        <w:spacing w:before="240" w:after="240"/>
        <w:rPr>
          <w:noProof/>
        </w:rPr>
      </w:pPr>
      <w:r>
        <w:rPr>
          <w:rFonts w:asciiTheme="minorHAnsi" w:hAnsiTheme="minorHAnsi" w:cs="Arial"/>
          <w:b/>
          <w:bCs/>
          <w:color w:val="auto"/>
        </w:rPr>
        <w:t>5.11</w:t>
      </w:r>
      <w:r w:rsidRPr="009754F1">
        <w:rPr>
          <w:rFonts w:asciiTheme="minorHAnsi" w:hAnsiTheme="minorHAnsi" w:cs="Arial"/>
          <w:b/>
          <w:bCs/>
          <w:color w:val="auto"/>
        </w:rPr>
        <w:t>.3</w:t>
      </w:r>
      <w:r w:rsidRPr="009754F1">
        <w:rPr>
          <w:b/>
        </w:rPr>
        <w:tab/>
      </w:r>
      <w:r w:rsidRPr="009754F1">
        <w:rPr>
          <w:rFonts w:asciiTheme="minorHAnsi" w:hAnsiTheme="minorHAnsi" w:cs="Arial"/>
          <w:color w:val="auto"/>
        </w:rPr>
        <w:t>The calculation for the Financial risk rating, after applying the over-riding rules, and for the Continuity of Services risk metrics, for the annual plan, and year end outturn for the Trust is a 1,</w:t>
      </w:r>
      <w:r w:rsidRPr="009754F1">
        <w:t xml:space="preserve"> </w:t>
      </w:r>
      <w:r w:rsidRPr="009754F1">
        <w:rPr>
          <w:rFonts w:asciiTheme="minorHAnsi" w:hAnsiTheme="minorHAnsi" w:cs="Arial"/>
        </w:rPr>
        <w:t>which is a result of the Trust’s overall financial sustainability issues.</w:t>
      </w:r>
    </w:p>
    <w:p w:rsidR="001C7E4A" w:rsidRPr="009754F1" w:rsidRDefault="001C7E4A" w:rsidP="001C7E4A">
      <w:pPr>
        <w:pStyle w:val="Default"/>
        <w:spacing w:before="240" w:after="240"/>
        <w:rPr>
          <w:rFonts w:asciiTheme="minorHAnsi" w:hAnsiTheme="minorHAnsi" w:cs="Arial"/>
          <w:color w:val="auto"/>
        </w:rPr>
      </w:pPr>
      <w:r w:rsidRPr="009754F1">
        <w:rPr>
          <w:noProof/>
        </w:rPr>
        <w:drawing>
          <wp:inline distT="0" distB="0" distL="0" distR="0">
            <wp:extent cx="5835650" cy="3340937"/>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5835650" cy="3340937"/>
                    </a:xfrm>
                    <a:prstGeom prst="rect">
                      <a:avLst/>
                    </a:prstGeom>
                    <a:noFill/>
                    <a:ln w="9525">
                      <a:noFill/>
                      <a:miter lim="800000"/>
                      <a:headEnd/>
                      <a:tailEnd/>
                    </a:ln>
                  </pic:spPr>
                </pic:pic>
              </a:graphicData>
            </a:graphic>
          </wp:inline>
        </w:drawing>
      </w:r>
    </w:p>
    <w:p w:rsidR="001C7E4A" w:rsidRPr="009754F1" w:rsidRDefault="001C7E4A" w:rsidP="001C7E4A">
      <w:pPr>
        <w:pStyle w:val="Heading2"/>
        <w:spacing w:before="240" w:after="240"/>
      </w:pPr>
      <w:r w:rsidRPr="009754F1">
        <w:t>5.1</w:t>
      </w:r>
      <w:r>
        <w:t>2</w:t>
      </w:r>
      <w:r w:rsidRPr="009754F1">
        <w:t xml:space="preserve"> Recommendation </w:t>
      </w:r>
    </w:p>
    <w:p w:rsidR="001C7E4A" w:rsidRPr="002B118A" w:rsidRDefault="001C7E4A" w:rsidP="002B118A">
      <w:pPr>
        <w:spacing w:before="240" w:after="240"/>
        <w:jc w:val="both"/>
        <w:rPr>
          <w:rFonts w:cs="Arial"/>
        </w:rPr>
      </w:pPr>
      <w:r w:rsidRPr="009754F1">
        <w:rPr>
          <w:rFonts w:cs="Arial"/>
        </w:rPr>
        <w:t>The Board is asked to note the Trust’s yearend financial performance for 2014/15 regarding the reven</w:t>
      </w:r>
      <w:r w:rsidR="002B118A">
        <w:rPr>
          <w:rFonts w:cs="Arial"/>
        </w:rPr>
        <w:t>ue, capital and cash positions.</w:t>
      </w:r>
    </w:p>
    <w:p w:rsidR="001C7E4A" w:rsidRPr="009754F1" w:rsidRDefault="001C7E4A" w:rsidP="001C7E4A">
      <w:pPr>
        <w:spacing w:before="240" w:after="240"/>
        <w:outlineLvl w:val="1"/>
        <w:rPr>
          <w:rFonts w:asciiTheme="majorHAnsi" w:hAnsiTheme="majorHAnsi"/>
          <w:b/>
          <w:color w:val="2DA2BF" w:themeColor="accent1"/>
        </w:rPr>
      </w:pPr>
      <w:r>
        <w:rPr>
          <w:rFonts w:asciiTheme="majorHAnsi" w:hAnsiTheme="majorHAnsi"/>
          <w:b/>
          <w:color w:val="2DA2BF" w:themeColor="accent1"/>
        </w:rPr>
        <w:t>5.13</w:t>
      </w:r>
      <w:r w:rsidRPr="009754F1">
        <w:rPr>
          <w:rFonts w:asciiTheme="majorHAnsi" w:hAnsiTheme="majorHAnsi"/>
          <w:b/>
          <w:color w:val="2DA2BF" w:themeColor="accent1"/>
        </w:rPr>
        <w:t xml:space="preserve"> Reference costs plan</w:t>
      </w:r>
    </w:p>
    <w:p w:rsidR="001C7E4A" w:rsidRPr="009754F1" w:rsidRDefault="001C7E4A" w:rsidP="001C7E4A">
      <w:pPr>
        <w:spacing w:before="240" w:after="240"/>
        <w:jc w:val="both"/>
        <w:rPr>
          <w:rFonts w:cs="Arial"/>
          <w:bCs/>
        </w:rPr>
      </w:pPr>
      <w:r>
        <w:rPr>
          <w:rFonts w:cs="Arial"/>
          <w:b/>
          <w:bCs/>
        </w:rPr>
        <w:t xml:space="preserve"> 5.13</w:t>
      </w:r>
      <w:r w:rsidRPr="009754F1">
        <w:rPr>
          <w:rFonts w:cs="Arial"/>
          <w:b/>
          <w:bCs/>
        </w:rPr>
        <w:t xml:space="preserve">.1 </w:t>
      </w:r>
      <w:r w:rsidRPr="009754F1">
        <w:rPr>
          <w:rFonts w:cs="Arial"/>
        </w:rPr>
        <w:t>The Re</w:t>
      </w:r>
      <w:r>
        <w:rPr>
          <w:rFonts w:cs="Arial"/>
        </w:rPr>
        <w:t>ference costs guidance for 2014/</w:t>
      </w:r>
      <w:r w:rsidRPr="009754F1">
        <w:rPr>
          <w:rFonts w:cs="Arial"/>
        </w:rPr>
        <w:t>15 was published by the Department of Health in February 2015. This guidance provides detailed information to enable providers to prepare reference costs and it must be followed when preparing and submitting mandatory reference cost returns. It contains high level costing principles</w:t>
      </w:r>
      <w:r>
        <w:rPr>
          <w:rFonts w:cs="Arial"/>
        </w:rPr>
        <w:t>,</w:t>
      </w:r>
      <w:r w:rsidRPr="009754F1">
        <w:rPr>
          <w:rFonts w:cs="Arial"/>
        </w:rPr>
        <w:t xml:space="preserve"> and </w:t>
      </w:r>
      <w:r>
        <w:rPr>
          <w:rFonts w:cs="Arial"/>
        </w:rPr>
        <w:t xml:space="preserve">there are </w:t>
      </w:r>
      <w:r w:rsidRPr="009754F1">
        <w:rPr>
          <w:rFonts w:cs="Arial"/>
        </w:rPr>
        <w:t xml:space="preserve">clinical costing standards for acute </w:t>
      </w:r>
      <w:r>
        <w:rPr>
          <w:rFonts w:cs="Arial"/>
        </w:rPr>
        <w:t>services</w:t>
      </w:r>
      <w:r w:rsidRPr="009754F1">
        <w:rPr>
          <w:rFonts w:cs="Arial"/>
        </w:rPr>
        <w:t xml:space="preserve"> published by HFMA and Monitor. </w:t>
      </w:r>
    </w:p>
    <w:p w:rsidR="001C7E4A" w:rsidRPr="009754F1" w:rsidRDefault="001C7E4A" w:rsidP="001C7E4A">
      <w:pPr>
        <w:spacing w:before="240" w:after="240"/>
        <w:jc w:val="both"/>
        <w:rPr>
          <w:rFonts w:cs="Arial"/>
        </w:rPr>
      </w:pPr>
      <w:r w:rsidRPr="009754F1">
        <w:rPr>
          <w:rFonts w:cs="Arial"/>
        </w:rPr>
        <w:t>Reference costs are the average unit cost used to set prices for the NHS-funded services in England and are collected and published annually</w:t>
      </w:r>
      <w:r>
        <w:rPr>
          <w:rFonts w:cs="Arial"/>
        </w:rPr>
        <w:t>.</w:t>
      </w:r>
      <w:r w:rsidRPr="009754F1">
        <w:rPr>
          <w:rFonts w:cs="Arial"/>
        </w:rPr>
        <w:t xml:space="preserve"> In 2014</w:t>
      </w:r>
      <w:r>
        <w:rPr>
          <w:rFonts w:cs="Arial"/>
        </w:rPr>
        <w:t>/15, in line with 2013/</w:t>
      </w:r>
      <w:r w:rsidRPr="009754F1">
        <w:rPr>
          <w:rFonts w:cs="Arial"/>
        </w:rPr>
        <w:t xml:space="preserve">14, there is the requirement for Provider Trust Boards to approve the costing process that supports the reference costs preparation. The submission is due on the 31st July 2015. </w:t>
      </w:r>
    </w:p>
    <w:p w:rsidR="001C7E4A" w:rsidRPr="009754F1" w:rsidRDefault="001C7E4A" w:rsidP="001C7E4A">
      <w:pPr>
        <w:spacing w:before="240" w:after="240"/>
        <w:jc w:val="both"/>
        <w:rPr>
          <w:rFonts w:cs="Arial"/>
        </w:rPr>
      </w:pPr>
      <w:r w:rsidRPr="009754F1">
        <w:rPr>
          <w:rFonts w:cs="Arial"/>
        </w:rPr>
        <w:t>The Trust Board is required to confirm that:</w:t>
      </w:r>
    </w:p>
    <w:p w:rsidR="001C7E4A" w:rsidRPr="009754F1" w:rsidRDefault="001C7E4A" w:rsidP="001C7E4A">
      <w:pPr>
        <w:numPr>
          <w:ilvl w:val="0"/>
          <w:numId w:val="45"/>
        </w:numPr>
        <w:spacing w:before="240" w:after="240"/>
        <w:jc w:val="both"/>
        <w:rPr>
          <w:rFonts w:cs="Arial"/>
        </w:rPr>
      </w:pPr>
      <w:r w:rsidRPr="009754F1">
        <w:rPr>
          <w:rFonts w:cs="Arial"/>
        </w:rPr>
        <w:t>Costs will be prepared with due regard to the principles and standards set out in the Monitor’s “Approved Costing Guidance”.</w:t>
      </w:r>
    </w:p>
    <w:p w:rsidR="001C7E4A" w:rsidRPr="009754F1" w:rsidRDefault="001C7E4A" w:rsidP="001C7E4A">
      <w:pPr>
        <w:numPr>
          <w:ilvl w:val="0"/>
          <w:numId w:val="45"/>
        </w:numPr>
        <w:spacing w:before="240" w:after="240"/>
        <w:jc w:val="both"/>
        <w:rPr>
          <w:rFonts w:cs="Arial"/>
        </w:rPr>
      </w:pPr>
      <w:r w:rsidRPr="009754F1">
        <w:rPr>
          <w:rFonts w:cs="Arial"/>
        </w:rPr>
        <w:t>Appropriate costing and information capture systems are in operation.</w:t>
      </w:r>
    </w:p>
    <w:p w:rsidR="001C7E4A" w:rsidRPr="009754F1" w:rsidRDefault="001C7E4A" w:rsidP="001C7E4A">
      <w:pPr>
        <w:numPr>
          <w:ilvl w:val="0"/>
          <w:numId w:val="45"/>
        </w:numPr>
        <w:spacing w:before="240" w:after="240"/>
        <w:jc w:val="both"/>
        <w:rPr>
          <w:rFonts w:cs="Arial"/>
        </w:rPr>
      </w:pPr>
      <w:r w:rsidRPr="009754F1">
        <w:rPr>
          <w:rFonts w:cs="Arial"/>
        </w:rPr>
        <w:t>Costing teams are appropriately resourced to complete the reference cost returns accurately within the timescales set out in the reference cost guidance.</w:t>
      </w:r>
    </w:p>
    <w:p w:rsidR="001C7E4A" w:rsidRPr="009754F1" w:rsidRDefault="001C7E4A" w:rsidP="001C7E4A">
      <w:pPr>
        <w:spacing w:before="240" w:after="240"/>
        <w:jc w:val="both"/>
        <w:rPr>
          <w:rFonts w:cs="Arial"/>
        </w:rPr>
      </w:pPr>
      <w:r w:rsidRPr="009754F1">
        <w:rPr>
          <w:rFonts w:cs="Arial"/>
        </w:rPr>
        <w:t>Procedures are in place such that the self-assessment quality checklist will be completed at the time of the reference costs return.</w:t>
      </w:r>
    </w:p>
    <w:p w:rsidR="001C7E4A" w:rsidRPr="009754F1" w:rsidRDefault="001C7E4A" w:rsidP="001C7E4A">
      <w:pPr>
        <w:spacing w:before="240" w:after="240"/>
        <w:jc w:val="both"/>
        <w:rPr>
          <w:rFonts w:cs="Arial"/>
        </w:rPr>
      </w:pPr>
      <w:r>
        <w:rPr>
          <w:rFonts w:cs="Arial"/>
          <w:b/>
          <w:bCs/>
        </w:rPr>
        <w:t>5.13</w:t>
      </w:r>
      <w:r w:rsidRPr="009754F1">
        <w:rPr>
          <w:rFonts w:cs="Arial"/>
          <w:b/>
          <w:bCs/>
        </w:rPr>
        <w:t>.2</w:t>
      </w:r>
      <w:r w:rsidRPr="009754F1">
        <w:rPr>
          <w:rFonts w:ascii="Arial" w:hAnsi="Arial" w:cs="Arial"/>
        </w:rPr>
        <w:t xml:space="preserve"> </w:t>
      </w:r>
      <w:r w:rsidRPr="009754F1">
        <w:rPr>
          <w:rFonts w:cs="Arial"/>
        </w:rPr>
        <w:t>Monitor’s “Approved Costing Guidance”, updated in February 2015, sets out the approach to costing that Monitor encourages providers to adopt. It incorporates Costing principles for this year’s Patient Level Information and Costing Systems (PLICS) voluntary collection, together with the HFMA Acute Health Clinical Costing Standards and the Department of Health’s Reference Costs Guidance for 2014</w:t>
      </w:r>
      <w:r>
        <w:rPr>
          <w:rFonts w:cs="Arial"/>
        </w:rPr>
        <w:t>/</w:t>
      </w:r>
      <w:r w:rsidRPr="009754F1">
        <w:rPr>
          <w:rFonts w:cs="Arial"/>
        </w:rPr>
        <w:t xml:space="preserve">15. The Trust will be using and complying with all three documents to prepare the submission.  </w:t>
      </w:r>
    </w:p>
    <w:p w:rsidR="001C7E4A" w:rsidRPr="009754F1" w:rsidRDefault="001C7E4A" w:rsidP="001C7E4A">
      <w:pPr>
        <w:spacing w:before="240" w:after="240"/>
        <w:jc w:val="both"/>
        <w:rPr>
          <w:rFonts w:cs="Arial"/>
        </w:rPr>
      </w:pPr>
      <w:r w:rsidRPr="009754F1">
        <w:rPr>
          <w:rFonts w:cs="Arial"/>
        </w:rPr>
        <w:t>Reference costs need to be:</w:t>
      </w:r>
    </w:p>
    <w:p w:rsidR="001C7E4A" w:rsidRPr="009754F1" w:rsidRDefault="001C7E4A" w:rsidP="001C7E4A">
      <w:pPr>
        <w:numPr>
          <w:ilvl w:val="0"/>
          <w:numId w:val="46"/>
        </w:numPr>
        <w:spacing w:before="240" w:after="240"/>
        <w:jc w:val="both"/>
        <w:rPr>
          <w:rFonts w:cs="Arial"/>
        </w:rPr>
      </w:pPr>
      <w:r w:rsidRPr="009754F1">
        <w:rPr>
          <w:rFonts w:cs="Arial"/>
        </w:rPr>
        <w:t>Calculated on a full absorption basis to identify the full cost of all included services.</w:t>
      </w:r>
    </w:p>
    <w:p w:rsidR="001C7E4A" w:rsidRPr="009754F1" w:rsidRDefault="001C7E4A" w:rsidP="001C7E4A">
      <w:pPr>
        <w:numPr>
          <w:ilvl w:val="0"/>
          <w:numId w:val="46"/>
        </w:numPr>
        <w:spacing w:before="240" w:after="240"/>
        <w:jc w:val="both"/>
        <w:rPr>
          <w:rFonts w:cs="Arial"/>
        </w:rPr>
      </w:pPr>
      <w:r w:rsidRPr="009754F1">
        <w:rPr>
          <w:rFonts w:cs="Arial"/>
        </w:rPr>
        <w:t>Ensure all costs are allocated and apportioned accurately by maximising direct charging</w:t>
      </w:r>
      <w:r>
        <w:rPr>
          <w:rFonts w:cs="Arial"/>
        </w:rPr>
        <w:t xml:space="preserve">, </w:t>
      </w:r>
      <w:r w:rsidRPr="009754F1">
        <w:rPr>
          <w:rFonts w:cs="Arial"/>
        </w:rPr>
        <w:t>and where this is not possible the Trust uses standard methods of apportionment as recommended in the HFMA Clinical Costing Standards publication.</w:t>
      </w:r>
    </w:p>
    <w:p w:rsidR="001C7E4A" w:rsidRPr="009754F1" w:rsidRDefault="001C7E4A" w:rsidP="001C7E4A">
      <w:pPr>
        <w:numPr>
          <w:ilvl w:val="0"/>
          <w:numId w:val="46"/>
        </w:numPr>
        <w:spacing w:before="240" w:after="240"/>
        <w:jc w:val="both"/>
        <w:rPr>
          <w:rFonts w:cs="Arial"/>
        </w:rPr>
      </w:pPr>
      <w:r w:rsidRPr="009754F1">
        <w:rPr>
          <w:rFonts w:cs="Arial"/>
        </w:rPr>
        <w:t>Matched to the services generating them to avoid cross subsidisation.</w:t>
      </w:r>
    </w:p>
    <w:p w:rsidR="001C7E4A" w:rsidRPr="009754F1" w:rsidRDefault="001C7E4A" w:rsidP="001C7E4A">
      <w:pPr>
        <w:numPr>
          <w:ilvl w:val="0"/>
          <w:numId w:val="46"/>
        </w:numPr>
        <w:spacing w:before="240" w:after="240"/>
        <w:jc w:val="both"/>
        <w:rPr>
          <w:rFonts w:cs="Arial"/>
        </w:rPr>
      </w:pPr>
      <w:r w:rsidRPr="009754F1">
        <w:rPr>
          <w:rFonts w:cs="Arial"/>
        </w:rPr>
        <w:t>Reconciled to the quantum of costs from the audited accounts for 2014</w:t>
      </w:r>
      <w:r>
        <w:rPr>
          <w:rFonts w:cs="Arial"/>
        </w:rPr>
        <w:t>/</w:t>
      </w:r>
      <w:r w:rsidRPr="009754F1">
        <w:rPr>
          <w:rFonts w:cs="Arial"/>
        </w:rPr>
        <w:t>15</w:t>
      </w:r>
    </w:p>
    <w:p w:rsidR="001C7E4A" w:rsidRPr="009754F1" w:rsidRDefault="001C7E4A" w:rsidP="001C7E4A">
      <w:pPr>
        <w:numPr>
          <w:ilvl w:val="0"/>
          <w:numId w:val="46"/>
        </w:numPr>
        <w:spacing w:before="240" w:after="240"/>
        <w:jc w:val="both"/>
        <w:rPr>
          <w:rFonts w:cs="Arial"/>
        </w:rPr>
      </w:pPr>
      <w:r w:rsidRPr="009754F1">
        <w:rPr>
          <w:rFonts w:cs="Arial"/>
        </w:rPr>
        <w:t>Emphasise the cost of delivering the service and not the funding streams.</w:t>
      </w:r>
    </w:p>
    <w:p w:rsidR="001C7E4A" w:rsidRPr="009754F1" w:rsidRDefault="001C7E4A" w:rsidP="001C7E4A">
      <w:pPr>
        <w:spacing w:before="240" w:after="240"/>
        <w:jc w:val="both"/>
        <w:rPr>
          <w:rFonts w:cs="Arial"/>
        </w:rPr>
      </w:pPr>
      <w:r>
        <w:rPr>
          <w:rFonts w:cs="Arial"/>
          <w:b/>
          <w:bCs/>
        </w:rPr>
        <w:t>5.13</w:t>
      </w:r>
      <w:r w:rsidRPr="009754F1">
        <w:rPr>
          <w:rFonts w:cs="Arial"/>
          <w:b/>
          <w:bCs/>
        </w:rPr>
        <w:t>.3</w:t>
      </w:r>
      <w:r w:rsidRPr="009754F1">
        <w:rPr>
          <w:rFonts w:cs="Arial"/>
        </w:rPr>
        <w:t xml:space="preserve"> The approved costing guidance includes the six costing principles to be followed:</w:t>
      </w:r>
    </w:p>
    <w:p w:rsidR="001C7E4A" w:rsidRPr="009754F1" w:rsidRDefault="001C7E4A" w:rsidP="001C7E4A">
      <w:pPr>
        <w:numPr>
          <w:ilvl w:val="0"/>
          <w:numId w:val="47"/>
        </w:numPr>
        <w:spacing w:before="240" w:after="240"/>
        <w:jc w:val="both"/>
        <w:rPr>
          <w:rFonts w:cs="Arial"/>
        </w:rPr>
      </w:pPr>
      <w:r w:rsidRPr="009754F1">
        <w:rPr>
          <w:rFonts w:cs="Arial"/>
        </w:rPr>
        <w:t>Stakeholder engagement – effective costing requires input from a wide range of stakeholders, including non finance staff.</w:t>
      </w:r>
    </w:p>
    <w:p w:rsidR="001C7E4A" w:rsidRPr="009754F1" w:rsidRDefault="001C7E4A" w:rsidP="001C7E4A">
      <w:pPr>
        <w:numPr>
          <w:ilvl w:val="0"/>
          <w:numId w:val="47"/>
        </w:numPr>
        <w:spacing w:before="240" w:after="240"/>
        <w:jc w:val="both"/>
        <w:rPr>
          <w:rFonts w:cs="Arial"/>
        </w:rPr>
      </w:pPr>
      <w:r w:rsidRPr="009754F1">
        <w:rPr>
          <w:rFonts w:cs="Arial"/>
        </w:rPr>
        <w:t>Consistency – for some costing purposes, a consistent approach is required across or within organisations.</w:t>
      </w:r>
    </w:p>
    <w:p w:rsidR="001C7E4A" w:rsidRPr="009754F1" w:rsidRDefault="001C7E4A" w:rsidP="001C7E4A">
      <w:pPr>
        <w:numPr>
          <w:ilvl w:val="0"/>
          <w:numId w:val="47"/>
        </w:numPr>
        <w:spacing w:before="240" w:after="240"/>
        <w:jc w:val="both"/>
        <w:rPr>
          <w:rFonts w:cs="Arial"/>
        </w:rPr>
      </w:pPr>
      <w:r w:rsidRPr="009754F1">
        <w:rPr>
          <w:rFonts w:cs="Arial"/>
        </w:rPr>
        <w:t>Data accuracy – accurate costing relies on the quality of the underlying input data.</w:t>
      </w:r>
    </w:p>
    <w:p w:rsidR="001C7E4A" w:rsidRPr="009754F1" w:rsidRDefault="001C7E4A" w:rsidP="001C7E4A">
      <w:pPr>
        <w:numPr>
          <w:ilvl w:val="0"/>
          <w:numId w:val="47"/>
        </w:numPr>
        <w:spacing w:before="240" w:after="240"/>
        <w:jc w:val="both"/>
        <w:rPr>
          <w:rFonts w:cs="Arial"/>
        </w:rPr>
      </w:pPr>
      <w:r w:rsidRPr="009754F1">
        <w:rPr>
          <w:rFonts w:cs="Arial"/>
        </w:rPr>
        <w:t>Materiality – costing effort should be focussed on material costs and activities.</w:t>
      </w:r>
    </w:p>
    <w:p w:rsidR="001C7E4A" w:rsidRPr="009754F1" w:rsidRDefault="001C7E4A" w:rsidP="001C7E4A">
      <w:pPr>
        <w:numPr>
          <w:ilvl w:val="0"/>
          <w:numId w:val="47"/>
        </w:numPr>
        <w:spacing w:before="240" w:after="240"/>
        <w:jc w:val="both"/>
        <w:rPr>
          <w:rFonts w:cs="Arial"/>
        </w:rPr>
      </w:pPr>
      <w:r w:rsidRPr="009754F1">
        <w:rPr>
          <w:rFonts w:cs="Arial"/>
        </w:rPr>
        <w:t>Causality and objectivity – costing should be based on an understanding of causality to minimise its subjectivity.</w:t>
      </w:r>
    </w:p>
    <w:p w:rsidR="001C7E4A" w:rsidRPr="009754F1" w:rsidRDefault="001C7E4A" w:rsidP="001C7E4A">
      <w:pPr>
        <w:numPr>
          <w:ilvl w:val="0"/>
          <w:numId w:val="47"/>
        </w:numPr>
        <w:spacing w:before="240" w:after="240"/>
        <w:jc w:val="both"/>
        <w:rPr>
          <w:rFonts w:cs="Arial"/>
        </w:rPr>
      </w:pPr>
      <w:r w:rsidRPr="009754F1">
        <w:rPr>
          <w:rFonts w:cs="Arial"/>
        </w:rPr>
        <w:t>Transparency – costing should be transparent and auditable.</w:t>
      </w:r>
    </w:p>
    <w:p w:rsidR="001C7E4A" w:rsidRPr="009754F1" w:rsidRDefault="001C7E4A" w:rsidP="001C7E4A">
      <w:pPr>
        <w:spacing w:before="240" w:after="240"/>
        <w:jc w:val="both"/>
        <w:rPr>
          <w:rFonts w:cs="Arial"/>
        </w:rPr>
      </w:pPr>
      <w:r>
        <w:rPr>
          <w:rFonts w:cs="Arial"/>
          <w:b/>
          <w:bCs/>
        </w:rPr>
        <w:t>5.13</w:t>
      </w:r>
      <w:r w:rsidRPr="009754F1">
        <w:rPr>
          <w:rFonts w:cs="Arial"/>
          <w:b/>
          <w:bCs/>
        </w:rPr>
        <w:t>.4</w:t>
      </w:r>
      <w:r w:rsidRPr="009754F1">
        <w:rPr>
          <w:rFonts w:cs="Arial"/>
        </w:rPr>
        <w:t xml:space="preserve"> The six steps are with reference to specific guidance from HFMA clinical costing standards, Reference costs guidance</w:t>
      </w:r>
      <w:r w:rsidRPr="009754F1">
        <w:rPr>
          <w:rFonts w:cs="Arial"/>
        </w:rPr>
        <w:tab/>
        <w:t>and PLICS collection guidance.</w:t>
      </w:r>
    </w:p>
    <w:p w:rsidR="001C7E4A" w:rsidRPr="009754F1" w:rsidRDefault="001C7E4A" w:rsidP="001C7E4A">
      <w:pPr>
        <w:numPr>
          <w:ilvl w:val="0"/>
          <w:numId w:val="48"/>
        </w:numPr>
        <w:spacing w:before="240" w:after="240"/>
        <w:jc w:val="both"/>
        <w:rPr>
          <w:rFonts w:cs="Arial"/>
        </w:rPr>
      </w:pPr>
      <w:r w:rsidRPr="009754F1">
        <w:rPr>
          <w:rFonts w:cs="Arial"/>
        </w:rPr>
        <w:t>Define the cost object. A cost object is a product or service for which costs are accumulated or measured.</w:t>
      </w:r>
      <w:r w:rsidRPr="009754F1">
        <w:rPr>
          <w:rFonts w:cs="Arial"/>
        </w:rPr>
        <w:tab/>
      </w:r>
      <w:r w:rsidRPr="009754F1">
        <w:rPr>
          <w:rFonts w:cs="Arial"/>
        </w:rPr>
        <w:tab/>
      </w:r>
      <w:r w:rsidRPr="009754F1">
        <w:rPr>
          <w:rFonts w:cs="Arial"/>
        </w:rPr>
        <w:tab/>
      </w:r>
      <w:r w:rsidRPr="009754F1">
        <w:rPr>
          <w:rFonts w:cs="Arial"/>
        </w:rPr>
        <w:tab/>
        <w:t xml:space="preserve"> </w:t>
      </w:r>
    </w:p>
    <w:p w:rsidR="001C7E4A" w:rsidRPr="009754F1" w:rsidRDefault="001C7E4A" w:rsidP="001C7E4A">
      <w:pPr>
        <w:numPr>
          <w:ilvl w:val="0"/>
          <w:numId w:val="48"/>
        </w:numPr>
        <w:spacing w:before="240" w:after="240"/>
        <w:jc w:val="both"/>
        <w:rPr>
          <w:rFonts w:cs="Arial"/>
        </w:rPr>
      </w:pPr>
      <w:r w:rsidRPr="009754F1">
        <w:rPr>
          <w:rFonts w:cs="Arial"/>
        </w:rPr>
        <w:t xml:space="preserve">Identify the activities. </w:t>
      </w:r>
    </w:p>
    <w:p w:rsidR="001C7E4A" w:rsidRPr="009754F1" w:rsidRDefault="001C7E4A" w:rsidP="001C7E4A">
      <w:pPr>
        <w:numPr>
          <w:ilvl w:val="0"/>
          <w:numId w:val="48"/>
        </w:numPr>
        <w:spacing w:before="240" w:after="240"/>
        <w:jc w:val="both"/>
        <w:rPr>
          <w:rFonts w:cs="Arial"/>
        </w:rPr>
      </w:pPr>
      <w:r w:rsidRPr="009754F1">
        <w:rPr>
          <w:rFonts w:cs="Arial"/>
        </w:rPr>
        <w:t xml:space="preserve">Identify the relevant costs. </w:t>
      </w:r>
    </w:p>
    <w:p w:rsidR="001C7E4A" w:rsidRPr="009754F1" w:rsidRDefault="001C7E4A" w:rsidP="001C7E4A">
      <w:pPr>
        <w:numPr>
          <w:ilvl w:val="0"/>
          <w:numId w:val="48"/>
        </w:numPr>
        <w:spacing w:before="240" w:after="240"/>
        <w:jc w:val="both"/>
        <w:rPr>
          <w:rFonts w:cs="Arial"/>
        </w:rPr>
      </w:pPr>
      <w:r w:rsidRPr="009754F1">
        <w:rPr>
          <w:rFonts w:cs="Arial"/>
        </w:rPr>
        <w:t>Analyse costs. Costs should be categorised based on the following classifications: direct, indirect and overhead costs; fixed, semi-fixed and variable.</w:t>
      </w:r>
      <w:r w:rsidRPr="009754F1">
        <w:rPr>
          <w:rFonts w:cs="Arial"/>
        </w:rPr>
        <w:tab/>
      </w:r>
    </w:p>
    <w:p w:rsidR="001C7E4A" w:rsidRPr="009754F1" w:rsidRDefault="001C7E4A" w:rsidP="001C7E4A">
      <w:pPr>
        <w:numPr>
          <w:ilvl w:val="0"/>
          <w:numId w:val="48"/>
        </w:numPr>
        <w:spacing w:before="240" w:after="240"/>
        <w:jc w:val="both"/>
        <w:rPr>
          <w:rFonts w:cs="Arial"/>
        </w:rPr>
      </w:pPr>
      <w:r w:rsidRPr="009754F1">
        <w:rPr>
          <w:rFonts w:cs="Arial"/>
        </w:rPr>
        <w:t>Assign costs. Costs can be attributed to a cost object via: direct tracing, cause and effect assignment, or allocation.</w:t>
      </w:r>
    </w:p>
    <w:p w:rsidR="001C7E4A" w:rsidRPr="009754F1" w:rsidRDefault="001C7E4A" w:rsidP="001C7E4A">
      <w:pPr>
        <w:numPr>
          <w:ilvl w:val="0"/>
          <w:numId w:val="48"/>
        </w:numPr>
        <w:spacing w:before="240" w:after="240"/>
        <w:jc w:val="both"/>
        <w:rPr>
          <w:rFonts w:cs="Arial"/>
        </w:rPr>
      </w:pPr>
      <w:r w:rsidRPr="009754F1">
        <w:rPr>
          <w:rFonts w:cs="Arial"/>
        </w:rPr>
        <w:t>Validate the outputs. Undertake basic checks to the costs are accurate.</w:t>
      </w:r>
      <w:r w:rsidRPr="009754F1">
        <w:rPr>
          <w:rFonts w:cs="Arial"/>
        </w:rPr>
        <w:tab/>
      </w:r>
    </w:p>
    <w:p w:rsidR="001C7E4A" w:rsidRPr="009754F1" w:rsidRDefault="001C7E4A" w:rsidP="001C7E4A">
      <w:pPr>
        <w:spacing w:before="240" w:after="240"/>
        <w:jc w:val="both"/>
        <w:rPr>
          <w:rFonts w:cs="Arial"/>
        </w:rPr>
      </w:pPr>
      <w:r>
        <w:rPr>
          <w:rFonts w:cs="Arial"/>
          <w:b/>
          <w:bCs/>
        </w:rPr>
        <w:t>5.13</w:t>
      </w:r>
      <w:r w:rsidRPr="009754F1">
        <w:rPr>
          <w:rFonts w:cs="Arial"/>
          <w:b/>
          <w:bCs/>
        </w:rPr>
        <w:t>.5</w:t>
      </w:r>
      <w:r w:rsidRPr="009754F1">
        <w:rPr>
          <w:rFonts w:cs="Arial"/>
        </w:rPr>
        <w:t xml:space="preserve"> The Trusts reference costs will be calculated on a full absorption basis to identify the full cost of all services provided from the list in the Reference Costs Guidance for 2014</w:t>
      </w:r>
      <w:r>
        <w:rPr>
          <w:rFonts w:cs="Arial"/>
        </w:rPr>
        <w:t>/</w:t>
      </w:r>
      <w:r w:rsidRPr="009754F1">
        <w:rPr>
          <w:rFonts w:cs="Arial"/>
        </w:rPr>
        <w:t>15. The Trust uses Patient level costing to identify as much cost to an individual patient’s pathway and then the patients with the same Point of Delivery i.e. Day case or Outpatient, Specialty and HRG (inpatient only) are aggregated to provide an average unit cost.  The Trust finance team includes a senior post holder who has been mostly dedicated to developing and improving the Trust’s costing regime, production of the Reference costs, Service line reporting and to engage with Directors, Managers and Clinicians. This has led to:</w:t>
      </w:r>
    </w:p>
    <w:p w:rsidR="001C7E4A" w:rsidRPr="009754F1" w:rsidRDefault="001C7E4A" w:rsidP="001C7E4A">
      <w:pPr>
        <w:numPr>
          <w:ilvl w:val="0"/>
          <w:numId w:val="49"/>
        </w:numPr>
        <w:spacing w:before="240" w:after="240"/>
        <w:jc w:val="both"/>
        <w:rPr>
          <w:rFonts w:cs="Arial"/>
        </w:rPr>
      </w:pPr>
      <w:r w:rsidRPr="009754F1">
        <w:rPr>
          <w:rFonts w:cs="Arial"/>
        </w:rPr>
        <w:t>Data and information improvements</w:t>
      </w:r>
    </w:p>
    <w:p w:rsidR="001C7E4A" w:rsidRPr="009754F1" w:rsidRDefault="001C7E4A" w:rsidP="001C7E4A">
      <w:pPr>
        <w:numPr>
          <w:ilvl w:val="0"/>
          <w:numId w:val="49"/>
        </w:numPr>
        <w:spacing w:before="240" w:after="240"/>
        <w:jc w:val="both"/>
        <w:rPr>
          <w:rFonts w:cs="Arial"/>
        </w:rPr>
      </w:pPr>
      <w:r w:rsidRPr="009754F1">
        <w:rPr>
          <w:rFonts w:cs="Arial"/>
        </w:rPr>
        <w:t>Apportionment review and agreement of apportionment of indirect costs.</w:t>
      </w:r>
    </w:p>
    <w:p w:rsidR="001C7E4A" w:rsidRPr="009754F1" w:rsidRDefault="001C7E4A" w:rsidP="001C7E4A">
      <w:pPr>
        <w:numPr>
          <w:ilvl w:val="0"/>
          <w:numId w:val="49"/>
        </w:numPr>
        <w:spacing w:before="240" w:after="240"/>
        <w:jc w:val="both"/>
        <w:rPr>
          <w:rFonts w:cs="Arial"/>
        </w:rPr>
      </w:pPr>
      <w:r w:rsidRPr="009754F1">
        <w:rPr>
          <w:rFonts w:cs="Arial"/>
        </w:rPr>
        <w:t>Benchmarking against National average costs.</w:t>
      </w:r>
    </w:p>
    <w:p w:rsidR="001C7E4A" w:rsidRPr="009754F1" w:rsidRDefault="001C7E4A" w:rsidP="001C7E4A">
      <w:pPr>
        <w:numPr>
          <w:ilvl w:val="0"/>
          <w:numId w:val="49"/>
        </w:numPr>
        <w:spacing w:before="240" w:after="240"/>
        <w:jc w:val="both"/>
        <w:rPr>
          <w:rFonts w:cs="Arial"/>
        </w:rPr>
      </w:pPr>
      <w:r w:rsidRPr="009754F1">
        <w:rPr>
          <w:rFonts w:cs="Arial"/>
        </w:rPr>
        <w:t>Reconciliation with HES and SUS.</w:t>
      </w:r>
    </w:p>
    <w:p w:rsidR="001C7E4A" w:rsidRPr="009754F1" w:rsidRDefault="001C7E4A" w:rsidP="001C7E4A">
      <w:pPr>
        <w:numPr>
          <w:ilvl w:val="0"/>
          <w:numId w:val="49"/>
        </w:numPr>
        <w:spacing w:before="240" w:after="240"/>
        <w:jc w:val="both"/>
        <w:rPr>
          <w:rFonts w:cs="Arial"/>
        </w:rPr>
      </w:pPr>
      <w:r>
        <w:rPr>
          <w:rFonts w:cs="Arial"/>
        </w:rPr>
        <w:t>Refinement of the</w:t>
      </w:r>
      <w:r w:rsidRPr="009754F1">
        <w:rPr>
          <w:rFonts w:cs="Arial"/>
        </w:rPr>
        <w:t xml:space="preserve"> Costing System.</w:t>
      </w:r>
    </w:p>
    <w:p w:rsidR="001C7E4A" w:rsidRDefault="001C7E4A" w:rsidP="001C7E4A">
      <w:pPr>
        <w:numPr>
          <w:ilvl w:val="0"/>
          <w:numId w:val="49"/>
        </w:numPr>
        <w:spacing w:before="240" w:after="240"/>
        <w:jc w:val="both"/>
        <w:rPr>
          <w:rFonts w:cs="Arial"/>
        </w:rPr>
      </w:pPr>
      <w:r>
        <w:rPr>
          <w:rFonts w:cs="Arial"/>
        </w:rPr>
        <w:t>Use</w:t>
      </w:r>
      <w:r w:rsidRPr="009754F1">
        <w:rPr>
          <w:rFonts w:cs="Arial"/>
        </w:rPr>
        <w:t xml:space="preserve"> of Patient level costing.</w:t>
      </w:r>
    </w:p>
    <w:p w:rsidR="001C7E4A" w:rsidRPr="009A4D07" w:rsidRDefault="001C7E4A" w:rsidP="001C7E4A">
      <w:pPr>
        <w:pStyle w:val="Default"/>
      </w:pPr>
    </w:p>
    <w:p w:rsidR="001C7E4A" w:rsidRPr="009754F1" w:rsidRDefault="001C7E4A" w:rsidP="001C7E4A">
      <w:pPr>
        <w:spacing w:before="240" w:after="240"/>
        <w:jc w:val="both"/>
        <w:rPr>
          <w:rFonts w:cs="Arial"/>
        </w:rPr>
      </w:pPr>
      <w:r w:rsidRPr="009754F1">
        <w:rPr>
          <w:rFonts w:cs="Arial"/>
        </w:rPr>
        <w:t>The Trust finance team will ensure that the Board requirements are achieved with costs prepared with due regard to the principles and standards set out in the Monitor’s “Approved Costing Guidance”; appropriate costing and information capture systems are in operation; Costing team is appropriately resourced to complete the reference cost returns accurately</w:t>
      </w:r>
      <w:r>
        <w:rPr>
          <w:rFonts w:cs="Arial"/>
        </w:rPr>
        <w:t>, although there has been a loss of the experienced Costing accountant in April 2015,</w:t>
      </w:r>
      <w:r w:rsidRPr="009754F1">
        <w:rPr>
          <w:rFonts w:cs="Arial"/>
        </w:rPr>
        <w:t xml:space="preserve"> within the timescales set out in the reference cost guidance; procedures are in place such that the self-assessment quality checklist will be completed at the time of the reference costs return.</w:t>
      </w:r>
    </w:p>
    <w:p w:rsidR="001C7E4A" w:rsidRPr="004152F4" w:rsidRDefault="001C7E4A" w:rsidP="001C7E4A">
      <w:pPr>
        <w:pStyle w:val="Heading2"/>
        <w:spacing w:before="240" w:after="240"/>
      </w:pPr>
      <w:r w:rsidRPr="004152F4">
        <w:t>5.1</w:t>
      </w:r>
      <w:r>
        <w:t>4</w:t>
      </w:r>
      <w:r w:rsidRPr="004152F4">
        <w:t xml:space="preserve"> Recommendation</w:t>
      </w:r>
    </w:p>
    <w:p w:rsidR="001C7E4A" w:rsidRPr="009754F1" w:rsidRDefault="001C7E4A" w:rsidP="001C7E4A">
      <w:pPr>
        <w:spacing w:before="240" w:after="240"/>
        <w:jc w:val="both"/>
        <w:rPr>
          <w:rFonts w:cs="Arial"/>
        </w:rPr>
      </w:pPr>
      <w:r w:rsidRPr="009754F1">
        <w:rPr>
          <w:rFonts w:cs="Arial"/>
        </w:rPr>
        <w:t>The Trust Board is recommended to approve the Reference costs plan.</w:t>
      </w:r>
    </w:p>
    <w:p w:rsidR="001C7E4A" w:rsidRPr="009754F1" w:rsidRDefault="001C7E4A" w:rsidP="001C7E4A">
      <w:pPr>
        <w:rPr>
          <w:rFonts w:eastAsiaTheme="minorHAnsi"/>
          <w:lang w:eastAsia="en-US"/>
        </w:rPr>
      </w:pPr>
    </w:p>
    <w:p w:rsidR="001C7E4A" w:rsidRPr="009754F1" w:rsidRDefault="001C7E4A" w:rsidP="001C7E4A">
      <w:pPr>
        <w:pStyle w:val="Default"/>
        <w:spacing w:before="240" w:after="240"/>
      </w:pPr>
    </w:p>
    <w:p w:rsidR="001C7E4A" w:rsidRPr="009754F1" w:rsidRDefault="001C7E4A" w:rsidP="001C7E4A">
      <w:pPr>
        <w:pStyle w:val="Default"/>
        <w:spacing w:before="240" w:after="240"/>
      </w:pPr>
    </w:p>
    <w:p w:rsidR="001C7E4A" w:rsidRPr="009754F1" w:rsidRDefault="001C7E4A" w:rsidP="001C7E4A">
      <w:pPr>
        <w:pStyle w:val="Default"/>
        <w:spacing w:before="240" w:after="240"/>
        <w:sectPr w:rsidR="001C7E4A" w:rsidRPr="009754F1" w:rsidSect="001C7E4A">
          <w:pgSz w:w="11900" w:h="16840"/>
          <w:pgMar w:top="680" w:right="1412" w:bottom="641" w:left="1298" w:header="720" w:footer="115" w:gutter="0"/>
          <w:cols w:space="720"/>
          <w:noEndnote/>
        </w:sectPr>
      </w:pPr>
    </w:p>
    <w:p w:rsidR="001C7E4A" w:rsidRPr="009754F1" w:rsidRDefault="001C7E4A" w:rsidP="001C7E4A">
      <w:pPr>
        <w:pStyle w:val="Heading3"/>
        <w:rPr>
          <w:b w:val="0"/>
          <w:bCs w:val="0"/>
          <w:i/>
          <w:iCs/>
        </w:rPr>
      </w:pPr>
      <w:bookmarkStart w:id="102" w:name="_Toc326332026"/>
      <w:bookmarkStart w:id="103" w:name="_Toc339280273"/>
      <w:bookmarkStart w:id="104" w:name="_Toc388626850"/>
      <w:r w:rsidRPr="009754F1">
        <w:rPr>
          <w:rStyle w:val="IntenseEmphasis"/>
        </w:rPr>
        <w:t>Appendix A – Statement of Comprehensive Income – Accumulated Variances as at Month 12 –</w:t>
      </w:r>
      <w:bookmarkEnd w:id="102"/>
      <w:bookmarkEnd w:id="103"/>
      <w:r w:rsidRPr="009754F1">
        <w:rPr>
          <w:rStyle w:val="IntenseEmphasis"/>
        </w:rPr>
        <w:t xml:space="preserve"> </w:t>
      </w:r>
      <w:bookmarkEnd w:id="104"/>
      <w:r w:rsidRPr="009754F1">
        <w:rPr>
          <w:rStyle w:val="IntenseEmphasis"/>
        </w:rPr>
        <w:t>March 2015</w:t>
      </w:r>
    </w:p>
    <w:p w:rsidR="001C7E4A" w:rsidRPr="009754F1" w:rsidRDefault="001C7E4A" w:rsidP="001C7E4A">
      <w:pPr>
        <w:pStyle w:val="Default"/>
        <w:sectPr w:rsidR="001C7E4A" w:rsidRPr="009754F1" w:rsidSect="001C7E4A">
          <w:pgSz w:w="16840" w:h="11900" w:orient="landscape"/>
          <w:pgMar w:top="1298" w:right="680" w:bottom="1412" w:left="641" w:header="426" w:footer="301" w:gutter="0"/>
          <w:cols w:space="720"/>
          <w:noEndnote/>
          <w:titlePg/>
          <w:docGrid w:linePitch="326"/>
        </w:sectPr>
      </w:pPr>
      <w:r w:rsidRPr="009754F1">
        <w:rPr>
          <w:noProof/>
        </w:rPr>
        <w:drawing>
          <wp:inline distT="0" distB="0" distL="0" distR="0">
            <wp:extent cx="9058275" cy="4962525"/>
            <wp:effectExtent l="19050" t="0" r="952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9067809" cy="4967748"/>
                    </a:xfrm>
                    <a:prstGeom prst="rect">
                      <a:avLst/>
                    </a:prstGeom>
                    <a:noFill/>
                    <a:ln w="9525">
                      <a:noFill/>
                      <a:miter lim="800000"/>
                      <a:headEnd/>
                      <a:tailEnd/>
                    </a:ln>
                  </pic:spPr>
                </pic:pic>
              </a:graphicData>
            </a:graphic>
          </wp:inline>
        </w:drawing>
      </w:r>
    </w:p>
    <w:p w:rsidR="001C7E4A" w:rsidRPr="009754F1" w:rsidRDefault="001C7E4A" w:rsidP="001C7E4A">
      <w:pPr>
        <w:pStyle w:val="Heading3"/>
        <w:rPr>
          <w:rStyle w:val="IntenseEmphasis"/>
        </w:rPr>
      </w:pPr>
      <w:bookmarkStart w:id="105" w:name="_Toc326332027"/>
      <w:bookmarkStart w:id="106" w:name="_Toc339280274"/>
      <w:bookmarkStart w:id="107" w:name="_Toc388626851"/>
      <w:r w:rsidRPr="009754F1">
        <w:rPr>
          <w:rStyle w:val="IntenseEmphasis"/>
        </w:rPr>
        <w:t xml:space="preserve">Appendix B – Statement of Financial Position as at </w:t>
      </w:r>
      <w:bookmarkEnd w:id="105"/>
      <w:bookmarkEnd w:id="106"/>
      <w:r w:rsidRPr="009754F1">
        <w:rPr>
          <w:rStyle w:val="IntenseEmphasis"/>
        </w:rPr>
        <w:t>31st March 201</w:t>
      </w:r>
      <w:bookmarkEnd w:id="107"/>
      <w:r w:rsidRPr="009754F1">
        <w:rPr>
          <w:rStyle w:val="IntenseEmphasis"/>
        </w:rPr>
        <w:t>5</w:t>
      </w:r>
    </w:p>
    <w:p w:rsidR="001C7E4A" w:rsidRPr="009754F1" w:rsidRDefault="001C7E4A" w:rsidP="001C7E4A">
      <w:r w:rsidRPr="009754F1">
        <w:rPr>
          <w:noProof/>
        </w:rPr>
        <w:drawing>
          <wp:inline distT="0" distB="0" distL="0" distR="0">
            <wp:extent cx="5835650" cy="6791249"/>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srcRect/>
                    <a:stretch>
                      <a:fillRect/>
                    </a:stretch>
                  </pic:blipFill>
                  <pic:spPr bwMode="auto">
                    <a:xfrm>
                      <a:off x="0" y="0"/>
                      <a:ext cx="5835650" cy="6791249"/>
                    </a:xfrm>
                    <a:prstGeom prst="rect">
                      <a:avLst/>
                    </a:prstGeom>
                    <a:noFill/>
                    <a:ln w="9525">
                      <a:noFill/>
                      <a:miter lim="800000"/>
                      <a:headEnd/>
                      <a:tailEnd/>
                    </a:ln>
                  </pic:spPr>
                </pic:pic>
              </a:graphicData>
            </a:graphic>
          </wp:inline>
        </w:drawing>
      </w:r>
    </w:p>
    <w:p w:rsidR="001C7E4A" w:rsidRPr="009754F1" w:rsidRDefault="001C7E4A" w:rsidP="001C7E4A"/>
    <w:p w:rsidR="001C7E4A" w:rsidRPr="009754F1" w:rsidRDefault="001C7E4A" w:rsidP="001C7E4A">
      <w:pPr>
        <w:sectPr w:rsidR="001C7E4A" w:rsidRPr="009754F1" w:rsidSect="001C7E4A">
          <w:pgSz w:w="11900" w:h="16840"/>
          <w:pgMar w:top="641" w:right="1298" w:bottom="680" w:left="1412" w:header="426" w:footer="301" w:gutter="0"/>
          <w:cols w:space="720"/>
          <w:noEndnote/>
          <w:titlePg/>
          <w:docGrid w:linePitch="326"/>
        </w:sectPr>
      </w:pPr>
    </w:p>
    <w:p w:rsidR="001C7E4A" w:rsidRDefault="001C7E4A" w:rsidP="001C7E4A">
      <w:pPr>
        <w:pStyle w:val="Heading3"/>
        <w:rPr>
          <w:rStyle w:val="Heading4Char"/>
        </w:rPr>
      </w:pPr>
      <w:bookmarkStart w:id="108" w:name="_Toc326332028"/>
      <w:bookmarkStart w:id="109" w:name="_Toc339280275"/>
      <w:bookmarkStart w:id="110" w:name="_Toc388626852"/>
      <w:r w:rsidRPr="009754F1">
        <w:rPr>
          <w:rStyle w:val="Heading4Char"/>
        </w:rPr>
        <w:t>Appendix C - 12 Month statement of rolling cash flow</w:t>
      </w:r>
      <w:bookmarkEnd w:id="108"/>
      <w:bookmarkEnd w:id="109"/>
      <w:bookmarkEnd w:id="110"/>
    </w:p>
    <w:p w:rsidR="004F6899" w:rsidRPr="004F6899" w:rsidRDefault="004F6899" w:rsidP="004F6899"/>
    <w:p w:rsidR="004F6899" w:rsidRDefault="004F6899" w:rsidP="004F6899">
      <w:r w:rsidRPr="004F6899">
        <w:rPr>
          <w:noProof/>
        </w:rPr>
        <w:drawing>
          <wp:inline distT="0" distB="0" distL="0" distR="0">
            <wp:extent cx="5943600" cy="7553325"/>
            <wp:effectExtent l="19050" t="0" r="0" b="0"/>
            <wp:docPr id="2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943600" cy="7553325"/>
                    </a:xfrm>
                    <a:prstGeom prst="rect">
                      <a:avLst/>
                    </a:prstGeom>
                  </pic:spPr>
                </pic:pic>
              </a:graphicData>
            </a:graphic>
          </wp:inline>
        </w:drawing>
      </w:r>
    </w:p>
    <w:p w:rsidR="004F6899" w:rsidRDefault="004F6899" w:rsidP="004F6899"/>
    <w:p w:rsidR="004F6899" w:rsidRDefault="004F6899" w:rsidP="004F6899"/>
    <w:p w:rsidR="004F6899" w:rsidRPr="00F8177A" w:rsidRDefault="004F6899" w:rsidP="004F6899">
      <w:pPr>
        <w:pStyle w:val="Heading3"/>
        <w:rPr>
          <w:b w:val="0"/>
          <w:i/>
        </w:rPr>
      </w:pPr>
      <w:bookmarkStart w:id="111" w:name="_Toc326332030"/>
      <w:bookmarkStart w:id="112" w:name="_Toc339280277"/>
      <w:bookmarkStart w:id="113" w:name="_Toc388626853"/>
      <w:r w:rsidRPr="009754F1">
        <w:rPr>
          <w:b w:val="0"/>
        </w:rPr>
        <w:t xml:space="preserve">Appendix D - Capital Programme </w:t>
      </w:r>
      <w:bookmarkEnd w:id="111"/>
      <w:bookmarkEnd w:id="112"/>
      <w:r w:rsidRPr="009754F1">
        <w:rPr>
          <w:b w:val="0"/>
        </w:rPr>
        <w:t>31st March 201</w:t>
      </w:r>
      <w:bookmarkEnd w:id="113"/>
      <w:r w:rsidRPr="009754F1">
        <w:rPr>
          <w:b w:val="0"/>
        </w:rPr>
        <w:t>5</w:t>
      </w:r>
    </w:p>
    <w:p w:rsidR="004F6899" w:rsidRPr="004F6899" w:rsidRDefault="004F6899" w:rsidP="004F6899">
      <w:r w:rsidRPr="009754F1">
        <w:rPr>
          <w:noProof/>
        </w:rPr>
        <w:drawing>
          <wp:inline distT="0" distB="0" distL="0" distR="0">
            <wp:extent cx="6312224" cy="8153400"/>
            <wp:effectExtent l="1905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srcRect/>
                    <a:stretch>
                      <a:fillRect/>
                    </a:stretch>
                  </pic:blipFill>
                  <pic:spPr bwMode="auto">
                    <a:xfrm>
                      <a:off x="0" y="0"/>
                      <a:ext cx="6327015" cy="8172506"/>
                    </a:xfrm>
                    <a:prstGeom prst="rect">
                      <a:avLst/>
                    </a:prstGeom>
                    <a:noFill/>
                    <a:ln w="9525">
                      <a:noFill/>
                      <a:miter lim="800000"/>
                      <a:headEnd/>
                      <a:tailEnd/>
                    </a:ln>
                  </pic:spPr>
                </pic:pic>
              </a:graphicData>
            </a:graphic>
          </wp:inline>
        </w:drawing>
      </w:r>
    </w:p>
    <w:sectPr w:rsidR="004F6899" w:rsidRPr="004F6899" w:rsidSect="00FD6A5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310" w:rsidRDefault="00E76310" w:rsidP="00A77EA2">
      <w:pPr>
        <w:spacing w:after="0" w:line="240" w:lineRule="auto"/>
      </w:pPr>
      <w:r>
        <w:separator/>
      </w:r>
    </w:p>
  </w:endnote>
  <w:endnote w:type="continuationSeparator" w:id="0">
    <w:p w:rsidR="00E76310" w:rsidRDefault="00E76310" w:rsidP="00A77E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C4" w:rsidRDefault="00020FC4" w:rsidP="0016714D">
    <w:pPr>
      <w:pStyle w:val="Footer"/>
      <w:tabs>
        <w:tab w:val="center" w:pos="5233"/>
        <w:tab w:val="left" w:pos="6331"/>
      </w:tabs>
    </w:pPr>
    <w:r>
      <w:rPr>
        <w:noProof/>
      </w:rPr>
      <w:drawing>
        <wp:anchor distT="0" distB="0" distL="114300" distR="114300" simplePos="0" relativeHeight="251661312" behindDoc="1" locked="0" layoutInCell="1" allowOverlap="1">
          <wp:simplePos x="0" y="0"/>
          <wp:positionH relativeFrom="column">
            <wp:posOffset>4703445</wp:posOffset>
          </wp:positionH>
          <wp:positionV relativeFrom="paragraph">
            <wp:posOffset>477520</wp:posOffset>
          </wp:positionV>
          <wp:extent cx="1518285" cy="403225"/>
          <wp:effectExtent l="19050" t="0" r="5715" b="0"/>
          <wp:wrapTight wrapText="bothSides">
            <wp:wrapPolygon edited="0">
              <wp:start x="6775" y="0"/>
              <wp:lineTo x="-271" y="3061"/>
              <wp:lineTo x="-271" y="10205"/>
              <wp:lineTo x="1626" y="20409"/>
              <wp:lineTo x="20868" y="20409"/>
              <wp:lineTo x="21139" y="16328"/>
              <wp:lineTo x="21681" y="7143"/>
              <wp:lineTo x="21681" y="0"/>
              <wp:lineTo x="6775" y="0"/>
            </wp:wrapPolygon>
          </wp:wrapTight>
          <wp:docPr id="43" name="Picture 1" descr="PR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DE logo"/>
                  <pic:cNvPicPr>
                    <a:picLocks noChangeAspect="1" noChangeArrowheads="1"/>
                  </pic:cNvPicPr>
                </pic:nvPicPr>
                <pic:blipFill>
                  <a:blip r:embed="rId1"/>
                  <a:srcRect/>
                  <a:stretch>
                    <a:fillRect/>
                  </a:stretch>
                </pic:blipFill>
                <pic:spPr bwMode="auto">
                  <a:xfrm>
                    <a:off x="0" y="0"/>
                    <a:ext cx="1518285" cy="403225"/>
                  </a:xfrm>
                  <a:prstGeom prst="rect">
                    <a:avLst/>
                  </a:prstGeom>
                  <a:noFill/>
                  <a:ln w="9525">
                    <a:noFill/>
                    <a:miter lim="800000"/>
                    <a:headEnd/>
                    <a:tailEnd/>
                  </a:ln>
                </pic:spPr>
              </pic:pic>
            </a:graphicData>
          </a:graphic>
        </wp:anchor>
      </w:drawing>
    </w:r>
    <w:sdt>
      <w:sdtPr>
        <w:id w:val="14693516"/>
        <w:docPartObj>
          <w:docPartGallery w:val="Page Numbers (Bottom of Page)"/>
          <w:docPartUnique/>
        </w:docPartObj>
      </w:sdtPr>
      <w:sdtContent>
        <w:r>
          <w:tab/>
        </w:r>
        <w:r>
          <w:tab/>
        </w:r>
        <w:r w:rsidR="00690916">
          <w:rPr>
            <w:noProof/>
          </w:rPr>
        </w:r>
        <w:r w:rsidR="00690916">
          <w:rPr>
            <w:noProof/>
          </w:rPr>
          <w:pict>
            <v:group id="_x0000_s206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NfhZIyMEAADUEgAADgAAAAAAAAAAAAAAAAAuAgAAZHJzL2Uyb0RvYy54bWxQ&#10;SwECLQAUAAYACAAAACEAsJYdF9wAAAADAQAADwAAAAAAAAAAAAAAAAB9BgAAZHJzL2Rvd25yZXYu&#10;eG1sUEsFBgAAAAAEAAQA8wAAAIYHAAAAAA==&#10;">
              <v:shapetype id="_x0000_t202" coordsize="21600,21600" o:spt="202" path="m,l,21600r21600,l21600,xe">
                <v:stroke joinstyle="miter"/>
                <v:path gradientshapeok="t" o:connecttype="rect"/>
              </v:shapetype>
              <v:shape id="Text Box 2" o:spid="_x0000_s2068" type="#_x0000_t202" style="position:absolute;left:5351;top:800;width:659;height: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eQcAA&#10;AADbAAAADwAAAGRycy9kb3ducmV2LnhtbERPzYrCMBC+C/sOYRa8iKa7oE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FeQcAAAADbAAAADwAAAAAAAAAAAAAAAACYAgAAZHJzL2Rvd25y&#10;ZXYueG1sUEsFBgAAAAAEAAQA9QAAAIUDAAAAAA==&#10;" filled="f" stroked="f">
                <v:textbox style="mso-next-textbox:#Text Box 2" inset="0,0,0,0">
                  <w:txbxContent>
                    <w:p w:rsidR="00020FC4" w:rsidRDefault="00690916">
                      <w:pPr>
                        <w:jc w:val="center"/>
                        <w:rPr>
                          <w:szCs w:val="18"/>
                        </w:rPr>
                      </w:pPr>
                      <w:r w:rsidRPr="00690916">
                        <w:fldChar w:fldCharType="begin"/>
                      </w:r>
                      <w:r w:rsidR="00020FC4">
                        <w:instrText xml:space="preserve"> PAGE    \* MERGEFORMAT </w:instrText>
                      </w:r>
                      <w:r w:rsidRPr="00690916">
                        <w:fldChar w:fldCharType="separate"/>
                      </w:r>
                      <w:r w:rsidR="005F6C36" w:rsidRPr="005F6C36">
                        <w:rPr>
                          <w:i/>
                          <w:noProof/>
                          <w:sz w:val="18"/>
                          <w:szCs w:val="18"/>
                        </w:rPr>
                        <w:t>6</w:t>
                      </w:r>
                      <w:r>
                        <w:rPr>
                          <w:i/>
                          <w:noProof/>
                          <w:sz w:val="18"/>
                          <w:szCs w:val="18"/>
                        </w:rPr>
                        <w:fldChar w:fldCharType="end"/>
                      </w:r>
                    </w:p>
                  </w:txbxContent>
                </v:textbox>
              </v:shape>
              <v:group id="Group 3" o:spid="_x0000_s2069"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Oval 4" o:spid="_x0000_s2070" style="position:absolute;left:54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ogsEA&#10;AADbAAAADwAAAGRycy9kb3ducmV2LnhtbERPTYvCMBC9C/6HMII3TV3Bla5RdJeCBw+uyp6HZLbt&#10;2ky6TdTqrzeC4G0e73Nmi9ZW4kyNLx0rGA0TEMTamZJzBYd9NpiC8AHZYOWYFFzJw2Le7cwwNe7C&#10;33TehVzEEPYpKihCqFMpvS7Ioh+6mjhyv66xGCJscmkavMRwW8m3JJlIiyXHhgJr+ixIH3cnq2C8&#10;wa98ddP/+232M03+nNbjzCvV77XLDxCB2vASP91rE+e/w+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l6ILBAAAA2wAAAA8AAAAAAAAAAAAAAAAAmAIAAGRycy9kb3du&#10;cmV2LnhtbFBLBQYAAAAABAAEAPUAAACGAwAAAAA=&#10;" fillcolor="#58bed7 [2420]" stroked="f"/>
                <v:oval id="Oval 5" o:spid="_x0000_s2071" style="position:absolute;left:563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8MQA&#10;AADbAAAADwAAAGRycy9kb3ducmV2LnhtbESPQW/CMAyF75P4D5GRdhspQ5pQISBgqsRhhw0QZysx&#10;baFxShOg26+fD5N2s/We3/s8X/a+UXfqYh3YwHiUgSK2wdVcGjjsi5cpqJiQHTaBycA3RVguBk9z&#10;zF148Bfdd6lUEsIxRwNVSm2udbQVeYyj0BKLdgqdxyRrV2rX4UPCfaNfs+xNe6xZGipsaVORvexu&#10;3sDkA9/L9Y+97j+L4zQ7B2snRTTmedivZqAS9enf/He9dYIvsPKLD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PDEAAAA2wAAAA8AAAAAAAAAAAAAAAAAmAIAAGRycy9k&#10;b3ducmV2LnhtbFBLBQYAAAAABAAEAPUAAACJAwAAAAA=&#10;" fillcolor="#58bed7 [2420]" stroked="f"/>
                <v:oval id="Oval 6" o:spid="_x0000_s2072" style="position:absolute;left:57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Za8EA&#10;AADbAAAADwAAAGRycy9kb3ducmV2LnhtbERPS4vCMBC+L/gfwgje1tQVRLtG0V0KHjz4Ys9DMtt2&#10;bSbdJmr11xtB8DYf33Om89ZW4kyNLx0rGPQTEMTamZJzBYd99j4G4QOywcoxKbiSh/ms8zbF1LgL&#10;b+m8C7mIIexTVFCEUKdSel2QRd93NXHkfl1jMUTY5NI0eInhtpIfSTKSFkuODQXW9FWQPu5OVsFw&#10;jd/58qb/95vsZ5z8Oa2HmVeq120XnyACteElfrpXJs6fwOOXeI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22WvBAAAA2wAAAA8AAAAAAAAAAAAAAAAAmAIAAGRycy9kb3du&#10;cmV2LnhtbFBLBQYAAAAABAAEAPUAAACGAwAAAAA=&#10;" fillcolor="#58bed7 [2420]" stroked="f"/>
              </v:group>
              <w10:wrap type="none"/>
              <w10:anchorlock/>
            </v:group>
          </w:pict>
        </w:r>
      </w:sdtContent>
    </w:sdt>
    <w:r>
      <w:tab/>
    </w:r>
    <w:r>
      <w:tab/>
    </w:r>
    <w:r>
      <w:tab/>
    </w:r>
    <w:r>
      <w:tab/>
    </w:r>
    <w:r>
      <w:tab/>
    </w:r>
    <w:r>
      <w:tab/>
    </w:r>
    <w:r>
      <w:tab/>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C4" w:rsidRDefault="00020FC4">
    <w:pPr>
      <w:pStyle w:val="Footer"/>
      <w:jc w:val="center"/>
    </w:pPr>
  </w:p>
  <w:p w:rsidR="00020FC4" w:rsidRDefault="00020FC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C4" w:rsidRDefault="00020FC4" w:rsidP="0016714D">
    <w:pPr>
      <w:pStyle w:val="Footer"/>
      <w:tabs>
        <w:tab w:val="center" w:pos="5233"/>
        <w:tab w:val="left" w:pos="6331"/>
      </w:tabs>
    </w:pPr>
    <w:r>
      <w:rPr>
        <w:noProof/>
      </w:rPr>
      <w:drawing>
        <wp:anchor distT="0" distB="0" distL="114300" distR="114300" simplePos="0" relativeHeight="251670528" behindDoc="1" locked="0" layoutInCell="1" allowOverlap="1">
          <wp:simplePos x="0" y="0"/>
          <wp:positionH relativeFrom="column">
            <wp:posOffset>4703445</wp:posOffset>
          </wp:positionH>
          <wp:positionV relativeFrom="paragraph">
            <wp:posOffset>477520</wp:posOffset>
          </wp:positionV>
          <wp:extent cx="1518285" cy="403225"/>
          <wp:effectExtent l="19050" t="0" r="5715" b="0"/>
          <wp:wrapTight wrapText="bothSides">
            <wp:wrapPolygon edited="0">
              <wp:start x="6775" y="0"/>
              <wp:lineTo x="-271" y="3061"/>
              <wp:lineTo x="-271" y="10205"/>
              <wp:lineTo x="1626" y="20409"/>
              <wp:lineTo x="20868" y="20409"/>
              <wp:lineTo x="21139" y="16328"/>
              <wp:lineTo x="21681" y="7143"/>
              <wp:lineTo x="21681" y="0"/>
              <wp:lineTo x="6775" y="0"/>
            </wp:wrapPolygon>
          </wp:wrapTight>
          <wp:docPr id="31" name="Picture 1" descr="PR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DE logo"/>
                  <pic:cNvPicPr>
                    <a:picLocks noChangeAspect="1" noChangeArrowheads="1"/>
                  </pic:cNvPicPr>
                </pic:nvPicPr>
                <pic:blipFill>
                  <a:blip r:embed="rId1"/>
                  <a:srcRect/>
                  <a:stretch>
                    <a:fillRect/>
                  </a:stretch>
                </pic:blipFill>
                <pic:spPr bwMode="auto">
                  <a:xfrm>
                    <a:off x="0" y="0"/>
                    <a:ext cx="1518285" cy="403225"/>
                  </a:xfrm>
                  <a:prstGeom prst="rect">
                    <a:avLst/>
                  </a:prstGeom>
                  <a:noFill/>
                  <a:ln w="9525">
                    <a:noFill/>
                    <a:miter lim="800000"/>
                    <a:headEnd/>
                    <a:tailEnd/>
                  </a:ln>
                </pic:spPr>
              </pic:pic>
            </a:graphicData>
          </a:graphic>
        </wp:anchor>
      </w:drawing>
    </w:r>
    <w:sdt>
      <w:sdtPr>
        <w:id w:val="15997170"/>
        <w:docPartObj>
          <w:docPartGallery w:val="Page Numbers (Bottom of Page)"/>
          <w:docPartUnique/>
        </w:docPartObj>
      </w:sdtPr>
      <w:sdtContent>
        <w:r>
          <w:tab/>
        </w:r>
        <w:r>
          <w:tab/>
        </w:r>
        <w:r w:rsidR="00690916">
          <w:rPr>
            <w:noProof/>
          </w:rPr>
        </w:r>
        <w:r w:rsidR="00690916">
          <w:rPr>
            <w:noProof/>
          </w:rPr>
          <w:pict>
            <v:group id="Group 1" o:spid="_x0000_s2061"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NfhZIyMEAADUEgAADgAAAAAAAAAAAAAAAAAuAgAAZHJzL2Uyb0RvYy54bWxQ&#10;SwECLQAUAAYACAAAACEAsJYdF9wAAAADAQAADwAAAAAAAAAAAAAAAAB9BgAAZHJzL2Rvd25yZXYu&#10;eG1sUEsFBgAAAAAEAAQA8wAAAIYHAAAAAA==&#10;">
              <v:shapetype id="_x0000_t202" coordsize="21600,21600" o:spt="202" path="m,l,21600r21600,l21600,xe">
                <v:stroke joinstyle="miter"/>
                <v:path gradientshapeok="t" o:connecttype="rect"/>
              </v:shapetype>
              <v:shape id="Text Box 2" o:spid="_x0000_s2062" type="#_x0000_t202" style="position:absolute;left:5351;top:800;width:659;height: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eQcAA&#10;AADbAAAADwAAAGRycy9kb3ducmV2LnhtbERPzYrCMBC+C/sOYRa8iKa7oE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FeQcAAAADbAAAADwAAAAAAAAAAAAAAAACYAgAAZHJzL2Rvd25y&#10;ZXYueG1sUEsFBgAAAAAEAAQA9QAAAIUDAAAAAA==&#10;" filled="f" stroked="f">
                <v:textbox inset="0,0,0,0">
                  <w:txbxContent>
                    <w:p w:rsidR="00020FC4" w:rsidRDefault="00690916">
                      <w:pPr>
                        <w:jc w:val="center"/>
                        <w:rPr>
                          <w:szCs w:val="18"/>
                        </w:rPr>
                      </w:pPr>
                      <w:r w:rsidRPr="00690916">
                        <w:fldChar w:fldCharType="begin"/>
                      </w:r>
                      <w:r w:rsidR="00020FC4">
                        <w:instrText xml:space="preserve"> PAGE    \* MERGEFORMAT </w:instrText>
                      </w:r>
                      <w:r w:rsidRPr="00690916">
                        <w:fldChar w:fldCharType="separate"/>
                      </w:r>
                      <w:r w:rsidR="005F6C36" w:rsidRPr="005F6C36">
                        <w:rPr>
                          <w:i/>
                          <w:noProof/>
                          <w:sz w:val="18"/>
                          <w:szCs w:val="18"/>
                        </w:rPr>
                        <w:t>10</w:t>
                      </w:r>
                      <w:r>
                        <w:rPr>
                          <w:i/>
                          <w:noProof/>
                          <w:sz w:val="18"/>
                          <w:szCs w:val="18"/>
                        </w:rPr>
                        <w:fldChar w:fldCharType="end"/>
                      </w:r>
                    </w:p>
                  </w:txbxContent>
                </v:textbox>
              </v:shape>
              <v:group id="Group 3" o:spid="_x0000_s2063"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Oval 4" o:spid="_x0000_s2064" style="position:absolute;left:54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ogsEA&#10;AADbAAAADwAAAGRycy9kb3ducmV2LnhtbERPTYvCMBC9C/6HMII3TV3Bla5RdJeCBw+uyp6HZLbt&#10;2ky6TdTqrzeC4G0e73Nmi9ZW4kyNLx0rGA0TEMTamZJzBYd9NpiC8AHZYOWYFFzJw2Le7cwwNe7C&#10;33TehVzEEPYpKihCqFMpvS7Ioh+6mjhyv66xGCJscmkavMRwW8m3JJlIiyXHhgJr+ixIH3cnq2C8&#10;wa98ddP/+232M03+nNbjzCvV77XLDxCB2vASP91rE+e/w+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l6ILBAAAA2wAAAA8AAAAAAAAAAAAAAAAAmAIAAGRycy9kb3du&#10;cmV2LnhtbFBLBQYAAAAABAAEAPUAAACGAwAAAAA=&#10;" fillcolor="#58bed7 [2420]" stroked="f"/>
                <v:oval id="Oval 5" o:spid="_x0000_s2065" style="position:absolute;left:563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8MQA&#10;AADbAAAADwAAAGRycy9kb3ducmV2LnhtbESPQW/CMAyF75P4D5GRdhspQ5pQISBgqsRhhw0QZysx&#10;baFxShOg26+fD5N2s/We3/s8X/a+UXfqYh3YwHiUgSK2wdVcGjjsi5cpqJiQHTaBycA3RVguBk9z&#10;zF148Bfdd6lUEsIxRwNVSm2udbQVeYyj0BKLdgqdxyRrV2rX4UPCfaNfs+xNe6xZGipsaVORvexu&#10;3sDkA9/L9Y+97j+L4zQ7B2snRTTmedivZqAS9enf/He9dYIvsPKLD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PDEAAAA2wAAAA8AAAAAAAAAAAAAAAAAmAIAAGRycy9k&#10;b3ducmV2LnhtbFBLBQYAAAAABAAEAPUAAACJAwAAAAA=&#10;" fillcolor="#58bed7 [2420]" stroked="f"/>
                <v:oval id="Oval 6" o:spid="_x0000_s2066" style="position:absolute;left:57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Za8EA&#10;AADbAAAADwAAAGRycy9kb3ducmV2LnhtbERPS4vCMBC+L/gfwgje1tQVRLtG0V0KHjz4Ys9DMtt2&#10;bSbdJmr11xtB8DYf33Om89ZW4kyNLx0rGPQTEMTamZJzBYd99j4G4QOywcoxKbiSh/ms8zbF1LgL&#10;b+m8C7mIIexTVFCEUKdSel2QRd93NXHkfl1jMUTY5NI0eInhtpIfSTKSFkuODQXW9FWQPu5OVsFw&#10;jd/58qb/95vsZ5z8Oa2HmVeq120XnyACteElfrpXJs6fwOOXeI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22WvBAAAA2wAAAA8AAAAAAAAAAAAAAAAAmAIAAGRycy9kb3du&#10;cmV2LnhtbFBLBQYAAAAABAAEAPUAAACGAwAAAAA=&#10;" fillcolor="#58bed7 [2420]" stroked="f"/>
              </v:group>
              <w10:wrap type="none"/>
              <w10:anchorlock/>
            </v:group>
          </w:pict>
        </w:r>
      </w:sdtContent>
    </w:sdt>
    <w:r>
      <w:tab/>
    </w:r>
    <w:r>
      <w:tab/>
    </w:r>
    <w:r>
      <w:tab/>
    </w:r>
    <w:r>
      <w:tab/>
    </w:r>
    <w:r>
      <w:tab/>
    </w:r>
    <w:r>
      <w:tab/>
    </w:r>
    <w:r>
      <w:tab/>
    </w:r>
    <w:r>
      <w:tab/>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C4" w:rsidRDefault="00020FC4">
    <w:pPr>
      <w:pStyle w:val="Footer"/>
      <w:jc w:val="center"/>
    </w:pPr>
  </w:p>
  <w:p w:rsidR="00020FC4" w:rsidRDefault="00020FC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C4" w:rsidRDefault="00020FC4" w:rsidP="0016714D">
    <w:pPr>
      <w:pStyle w:val="Footer"/>
      <w:tabs>
        <w:tab w:val="center" w:pos="5233"/>
        <w:tab w:val="left" w:pos="6331"/>
      </w:tabs>
    </w:pPr>
    <w:r>
      <w:rPr>
        <w:noProof/>
      </w:rPr>
      <w:drawing>
        <wp:anchor distT="0" distB="0" distL="114300" distR="114300" simplePos="0" relativeHeight="251667456" behindDoc="1" locked="0" layoutInCell="1" allowOverlap="1">
          <wp:simplePos x="0" y="0"/>
          <wp:positionH relativeFrom="column">
            <wp:posOffset>4703445</wp:posOffset>
          </wp:positionH>
          <wp:positionV relativeFrom="paragraph">
            <wp:posOffset>477520</wp:posOffset>
          </wp:positionV>
          <wp:extent cx="1518285" cy="403225"/>
          <wp:effectExtent l="19050" t="0" r="5715" b="0"/>
          <wp:wrapTight wrapText="bothSides">
            <wp:wrapPolygon edited="0">
              <wp:start x="6775" y="0"/>
              <wp:lineTo x="-271" y="3061"/>
              <wp:lineTo x="-271" y="10205"/>
              <wp:lineTo x="1626" y="20409"/>
              <wp:lineTo x="20868" y="20409"/>
              <wp:lineTo x="21139" y="16328"/>
              <wp:lineTo x="21681" y="7143"/>
              <wp:lineTo x="21681" y="0"/>
              <wp:lineTo x="6775" y="0"/>
            </wp:wrapPolygon>
          </wp:wrapTight>
          <wp:docPr id="41" name="Picture 1" descr="PR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DE logo"/>
                  <pic:cNvPicPr>
                    <a:picLocks noChangeAspect="1" noChangeArrowheads="1"/>
                  </pic:cNvPicPr>
                </pic:nvPicPr>
                <pic:blipFill>
                  <a:blip r:embed="rId1"/>
                  <a:srcRect/>
                  <a:stretch>
                    <a:fillRect/>
                  </a:stretch>
                </pic:blipFill>
                <pic:spPr bwMode="auto">
                  <a:xfrm>
                    <a:off x="0" y="0"/>
                    <a:ext cx="1518285" cy="403225"/>
                  </a:xfrm>
                  <a:prstGeom prst="rect">
                    <a:avLst/>
                  </a:prstGeom>
                  <a:noFill/>
                  <a:ln w="9525">
                    <a:noFill/>
                    <a:miter lim="800000"/>
                    <a:headEnd/>
                    <a:tailEnd/>
                  </a:ln>
                </pic:spPr>
              </pic:pic>
            </a:graphicData>
          </a:graphic>
        </wp:anchor>
      </w:drawing>
    </w:r>
    <w:sdt>
      <w:sdtPr>
        <w:id w:val="1254033"/>
        <w:docPartObj>
          <w:docPartGallery w:val="Page Numbers (Bottom of Page)"/>
          <w:docPartUnique/>
        </w:docPartObj>
      </w:sdtPr>
      <w:sdtContent>
        <w:r>
          <w:tab/>
        </w:r>
        <w:r>
          <w:tab/>
        </w:r>
        <w:r w:rsidR="00690916">
          <w:rPr>
            <w:noProof/>
          </w:rPr>
        </w:r>
        <w:r w:rsidR="00690916">
          <w:rPr>
            <w:noProof/>
          </w:rPr>
          <w:pict>
            <v:group id="_x0000_s2055"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NfhZIyMEAADUEgAADgAAAAAAAAAAAAAAAAAuAgAAZHJzL2Uyb0RvYy54bWxQ&#10;SwECLQAUAAYACAAAACEAsJYdF9wAAAADAQAADwAAAAAAAAAAAAAAAAB9BgAAZHJzL2Rvd25yZXYu&#10;eG1sUEsFBgAAAAAEAAQA8wAAAIYHAAAAAA==&#10;">
              <v:shapetype id="_x0000_t202" coordsize="21600,21600" o:spt="202" path="m,l,21600r21600,l21600,xe">
                <v:stroke joinstyle="miter"/>
                <v:path gradientshapeok="t" o:connecttype="rect"/>
              </v:shapetype>
              <v:shape id="Text Box 2" o:spid="_x0000_s2056" type="#_x0000_t202" style="position:absolute;left:5351;top:800;width:659;height: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eQcAA&#10;AADbAAAADwAAAGRycy9kb3ducmV2LnhtbERPzYrCMBC+C/sOYRa8iKa7oE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FeQcAAAADbAAAADwAAAAAAAAAAAAAAAACYAgAAZHJzL2Rvd25y&#10;ZXYueG1sUEsFBgAAAAAEAAQA9QAAAIUDAAAAAA==&#10;" filled="f" stroked="f">
                <v:textbox inset="0,0,0,0">
                  <w:txbxContent>
                    <w:p w:rsidR="00020FC4" w:rsidRDefault="00690916">
                      <w:pPr>
                        <w:jc w:val="center"/>
                        <w:rPr>
                          <w:szCs w:val="18"/>
                        </w:rPr>
                      </w:pPr>
                      <w:r w:rsidRPr="00690916">
                        <w:fldChar w:fldCharType="begin"/>
                      </w:r>
                      <w:r w:rsidR="00020FC4">
                        <w:instrText xml:space="preserve"> PAGE    \* MERGEFORMAT </w:instrText>
                      </w:r>
                      <w:r w:rsidRPr="00690916">
                        <w:fldChar w:fldCharType="separate"/>
                      </w:r>
                      <w:r w:rsidR="005F6C36" w:rsidRPr="005F6C36">
                        <w:rPr>
                          <w:i/>
                          <w:noProof/>
                          <w:sz w:val="18"/>
                          <w:szCs w:val="18"/>
                        </w:rPr>
                        <w:t>13</w:t>
                      </w:r>
                      <w:r>
                        <w:rPr>
                          <w:i/>
                          <w:noProof/>
                          <w:sz w:val="18"/>
                          <w:szCs w:val="18"/>
                        </w:rPr>
                        <w:fldChar w:fldCharType="end"/>
                      </w:r>
                    </w:p>
                  </w:txbxContent>
                </v:textbox>
              </v:shape>
              <v:group id="Group 3" o:spid="_x0000_s2057"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Oval 4" o:spid="_x0000_s2058" style="position:absolute;left:54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ogsEA&#10;AADbAAAADwAAAGRycy9kb3ducmV2LnhtbERPTYvCMBC9C/6HMII3TV3Bla5RdJeCBw+uyp6HZLbt&#10;2ky6TdTqrzeC4G0e73Nmi9ZW4kyNLx0rGA0TEMTamZJzBYd9NpiC8AHZYOWYFFzJw2Le7cwwNe7C&#10;33TehVzEEPYpKihCqFMpvS7Ioh+6mjhyv66xGCJscmkavMRwW8m3JJlIiyXHhgJr+ixIH3cnq2C8&#10;wa98ddP/+232M03+nNbjzCvV77XLDxCB2vASP91rE+e/w+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l6ILBAAAA2wAAAA8AAAAAAAAAAAAAAAAAmAIAAGRycy9kb3du&#10;cmV2LnhtbFBLBQYAAAAABAAEAPUAAACGAwAAAAA=&#10;" fillcolor="#58bed7 [2420]" stroked="f"/>
                <v:oval id="Oval 5" o:spid="_x0000_s2059" style="position:absolute;left:563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8MQA&#10;AADbAAAADwAAAGRycy9kb3ducmV2LnhtbESPQW/CMAyF75P4D5GRdhspQ5pQISBgqsRhhw0QZysx&#10;baFxShOg26+fD5N2s/We3/s8X/a+UXfqYh3YwHiUgSK2wdVcGjjsi5cpqJiQHTaBycA3RVguBk9z&#10;zF148Bfdd6lUEsIxRwNVSm2udbQVeYyj0BKLdgqdxyRrV2rX4UPCfaNfs+xNe6xZGipsaVORvexu&#10;3sDkA9/L9Y+97j+L4zQ7B2snRTTmedivZqAS9enf/He9dYIvsPKLD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PDEAAAA2wAAAA8AAAAAAAAAAAAAAAAAmAIAAGRycy9k&#10;b3ducmV2LnhtbFBLBQYAAAAABAAEAPUAAACJAwAAAAA=&#10;" fillcolor="#58bed7 [2420]" stroked="f"/>
                <v:oval id="Oval 6" o:spid="_x0000_s2060" style="position:absolute;left:57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Za8EA&#10;AADbAAAADwAAAGRycy9kb3ducmV2LnhtbERPS4vCMBC+L/gfwgje1tQVRLtG0V0KHjz4Ys9DMtt2&#10;bSbdJmr11xtB8DYf33Om89ZW4kyNLx0rGPQTEMTamZJzBYd99j4G4QOywcoxKbiSh/ms8zbF1LgL&#10;b+m8C7mIIexTVFCEUKdSel2QRd93NXHkfl1jMUTY5NI0eInhtpIfSTKSFkuODQXW9FWQPu5OVsFw&#10;jd/58qb/95vsZ5z8Oa2HmVeq120XnyACteElfrpXJs6fwOOXeI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22WvBAAAA2wAAAA8AAAAAAAAAAAAAAAAAmAIAAGRycy9kb3du&#10;cmV2LnhtbFBLBQYAAAAABAAEAPUAAACGAwAAAAA=&#10;" fillcolor="#58bed7 [2420]" stroked="f"/>
              </v:group>
              <w10:wrap type="none"/>
              <w10:anchorlock/>
            </v:group>
          </w:pict>
        </w:r>
      </w:sdtContent>
    </w:sdt>
    <w:r>
      <w:tab/>
    </w:r>
    <w:r>
      <w:tab/>
    </w:r>
    <w:r>
      <w:tab/>
    </w:r>
    <w:r>
      <w:tab/>
    </w:r>
    <w:r>
      <w:tab/>
    </w:r>
    <w:r>
      <w:tab/>
    </w:r>
    <w:r>
      <w:tab/>
    </w:r>
    <w:r>
      <w:tab/>
    </w: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C4" w:rsidRDefault="00020FC4">
    <w:pPr>
      <w:pStyle w:val="Footer"/>
      <w:jc w:val="center"/>
    </w:pPr>
  </w:p>
  <w:p w:rsidR="00020FC4" w:rsidRDefault="00020FC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C4" w:rsidRDefault="00020FC4" w:rsidP="0016714D">
    <w:pPr>
      <w:pStyle w:val="Footer"/>
      <w:tabs>
        <w:tab w:val="center" w:pos="5233"/>
        <w:tab w:val="left" w:pos="6331"/>
      </w:tabs>
    </w:pPr>
    <w:r>
      <w:rPr>
        <w:noProof/>
      </w:rPr>
      <w:drawing>
        <wp:anchor distT="0" distB="0" distL="114300" distR="114300" simplePos="0" relativeHeight="251664384" behindDoc="1" locked="0" layoutInCell="1" allowOverlap="1">
          <wp:simplePos x="0" y="0"/>
          <wp:positionH relativeFrom="column">
            <wp:posOffset>4703445</wp:posOffset>
          </wp:positionH>
          <wp:positionV relativeFrom="paragraph">
            <wp:posOffset>477520</wp:posOffset>
          </wp:positionV>
          <wp:extent cx="1518285" cy="403225"/>
          <wp:effectExtent l="19050" t="0" r="5715" b="0"/>
          <wp:wrapTight wrapText="bothSides">
            <wp:wrapPolygon edited="0">
              <wp:start x="6775" y="0"/>
              <wp:lineTo x="-271" y="3061"/>
              <wp:lineTo x="-271" y="10205"/>
              <wp:lineTo x="1626" y="20409"/>
              <wp:lineTo x="20868" y="20409"/>
              <wp:lineTo x="21139" y="16328"/>
              <wp:lineTo x="21681" y="7143"/>
              <wp:lineTo x="21681" y="0"/>
              <wp:lineTo x="6775" y="0"/>
            </wp:wrapPolygon>
          </wp:wrapTight>
          <wp:docPr id="36" name="Picture 1" descr="PR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DE logo"/>
                  <pic:cNvPicPr>
                    <a:picLocks noChangeAspect="1" noChangeArrowheads="1"/>
                  </pic:cNvPicPr>
                </pic:nvPicPr>
                <pic:blipFill>
                  <a:blip r:embed="rId1"/>
                  <a:srcRect/>
                  <a:stretch>
                    <a:fillRect/>
                  </a:stretch>
                </pic:blipFill>
                <pic:spPr bwMode="auto">
                  <a:xfrm>
                    <a:off x="0" y="0"/>
                    <a:ext cx="1518285" cy="403225"/>
                  </a:xfrm>
                  <a:prstGeom prst="rect">
                    <a:avLst/>
                  </a:prstGeom>
                  <a:noFill/>
                  <a:ln w="9525">
                    <a:noFill/>
                    <a:miter lim="800000"/>
                    <a:headEnd/>
                    <a:tailEnd/>
                  </a:ln>
                </pic:spPr>
              </pic:pic>
            </a:graphicData>
          </a:graphic>
        </wp:anchor>
      </w:drawing>
    </w:r>
    <w:sdt>
      <w:sdtPr>
        <w:id w:val="1254032"/>
        <w:docPartObj>
          <w:docPartGallery w:val="Page Numbers (Bottom of Page)"/>
          <w:docPartUnique/>
        </w:docPartObj>
      </w:sdtPr>
      <w:sdtContent>
        <w:r>
          <w:tab/>
        </w:r>
        <w:r>
          <w:tab/>
        </w:r>
        <w:r w:rsidR="00690916">
          <w:rPr>
            <w:noProof/>
          </w:rPr>
        </w:r>
        <w:r w:rsidR="00690916">
          <w:rPr>
            <w:noProof/>
          </w:rPr>
          <w:pict>
            <v:group id="_x0000_s204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NfhZIyMEAADUEgAADgAAAAAAAAAAAAAAAAAuAgAAZHJzL2Uyb0RvYy54bWxQ&#10;SwECLQAUAAYACAAAACEAsJYdF9wAAAADAQAADwAAAAAAAAAAAAAAAAB9BgAAZHJzL2Rvd25yZXYu&#10;eG1sUEsFBgAAAAAEAAQA8wAAAIYHAAAAAA==&#10;">
              <v:shapetype id="_x0000_t202" coordsize="21600,21600" o:spt="202" path="m,l,21600r21600,l21600,xe">
                <v:stroke joinstyle="miter"/>
                <v:path gradientshapeok="t" o:connecttype="rect"/>
              </v:shapetype>
              <v:shape id="Text Box 2" o:spid="_x0000_s2050" type="#_x0000_t202" style="position:absolute;left:5351;top:800;width:659;height: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eQcAA&#10;AADbAAAADwAAAGRycy9kb3ducmV2LnhtbERPzYrCMBC+C/sOYRa8iKa7oE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FeQcAAAADbAAAADwAAAAAAAAAAAAAAAACYAgAAZHJzL2Rvd25y&#10;ZXYueG1sUEsFBgAAAAAEAAQA9QAAAIUDAAAAAA==&#10;" filled="f" stroked="f">
                <v:textbox inset="0,0,0,0">
                  <w:txbxContent>
                    <w:p w:rsidR="00020FC4" w:rsidRDefault="00690916">
                      <w:pPr>
                        <w:jc w:val="center"/>
                        <w:rPr>
                          <w:szCs w:val="18"/>
                        </w:rPr>
                      </w:pPr>
                      <w:r w:rsidRPr="00690916">
                        <w:fldChar w:fldCharType="begin"/>
                      </w:r>
                      <w:r w:rsidR="00020FC4">
                        <w:instrText xml:space="preserve"> PAGE    \* MERGEFORMAT </w:instrText>
                      </w:r>
                      <w:r w:rsidRPr="00690916">
                        <w:fldChar w:fldCharType="separate"/>
                      </w:r>
                      <w:r w:rsidR="005F6C36" w:rsidRPr="005F6C36">
                        <w:rPr>
                          <w:i/>
                          <w:noProof/>
                          <w:sz w:val="18"/>
                          <w:szCs w:val="18"/>
                        </w:rPr>
                        <w:t>75</w:t>
                      </w:r>
                      <w:r>
                        <w:rPr>
                          <w:i/>
                          <w:noProof/>
                          <w:sz w:val="18"/>
                          <w:szCs w:val="18"/>
                        </w:rPr>
                        <w:fldChar w:fldCharType="end"/>
                      </w:r>
                    </w:p>
                  </w:txbxContent>
                </v:textbox>
              </v:shape>
              <v:group id="Group 3" o:spid="_x0000_s2051"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Oval 4" o:spid="_x0000_s2052" style="position:absolute;left:54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ogsEA&#10;AADbAAAADwAAAGRycy9kb3ducmV2LnhtbERPTYvCMBC9C/6HMII3TV3Bla5RdJeCBw+uyp6HZLbt&#10;2ky6TdTqrzeC4G0e73Nmi9ZW4kyNLx0rGA0TEMTamZJzBYd9NpiC8AHZYOWYFFzJw2Le7cwwNe7C&#10;33TehVzEEPYpKihCqFMpvS7Ioh+6mjhyv66xGCJscmkavMRwW8m3JJlIiyXHhgJr+ixIH3cnq2C8&#10;wa98ddP/+232M03+nNbjzCvV77XLDxCB2vASP91rE+e/w+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l6ILBAAAA2wAAAA8AAAAAAAAAAAAAAAAAmAIAAGRycy9kb3du&#10;cmV2LnhtbFBLBQYAAAAABAAEAPUAAACGAwAAAAA=&#10;" fillcolor="#58bed7 [2420]" stroked="f"/>
                <v:oval id="Oval 5" o:spid="_x0000_s2053" style="position:absolute;left:563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8MQA&#10;AADbAAAADwAAAGRycy9kb3ducmV2LnhtbESPQW/CMAyF75P4D5GRdhspQ5pQISBgqsRhhw0QZysx&#10;baFxShOg26+fD5N2s/We3/s8X/a+UXfqYh3YwHiUgSK2wdVcGjjsi5cpqJiQHTaBycA3RVguBk9z&#10;zF148Bfdd6lUEsIxRwNVSm2udbQVeYyj0BKLdgqdxyRrV2rX4UPCfaNfs+xNe6xZGipsaVORvexu&#10;3sDkA9/L9Y+97j+L4zQ7B2snRTTmedivZqAS9enf/He9dYIvsPKLD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PDEAAAA2wAAAA8AAAAAAAAAAAAAAAAAmAIAAGRycy9k&#10;b3ducmV2LnhtbFBLBQYAAAAABAAEAPUAAACJAwAAAAA=&#10;" fillcolor="#58bed7 [2420]" stroked="f"/>
                <v:oval id="Oval 6" o:spid="_x0000_s2054" style="position:absolute;left:57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Za8EA&#10;AADbAAAADwAAAGRycy9kb3ducmV2LnhtbERPS4vCMBC+L/gfwgje1tQVRLtG0V0KHjz4Ys9DMtt2&#10;bSbdJmr11xtB8DYf33Om89ZW4kyNLx0rGPQTEMTamZJzBYd99j4G4QOywcoxKbiSh/ms8zbF1LgL&#10;b+m8C7mIIexTVFCEUKdSel2QRd93NXHkfl1jMUTY5NI0eInhtpIfSTKSFkuODQXW9FWQPu5OVsFw&#10;jd/58qb/95vsZ5z8Oa2HmVeq120XnyACteElfrpXJs6fwOOXeI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22WvBAAAA2wAAAA8AAAAAAAAAAAAAAAAAmAIAAGRycy9kb3du&#10;cmV2LnhtbFBLBQYAAAAABAAEAPUAAACGAwAAAAA=&#10;" fillcolor="#58bed7 [2420]" stroked="f"/>
              </v:group>
              <w10:wrap type="none"/>
              <w10:anchorlock/>
            </v:group>
          </w:pict>
        </w:r>
      </w:sdtContent>
    </w:sdt>
    <w:r>
      <w:tab/>
    </w:r>
    <w:r>
      <w:tab/>
    </w:r>
    <w:r>
      <w:tab/>
    </w:r>
    <w:r>
      <w:tab/>
    </w:r>
    <w:r>
      <w:tab/>
    </w:r>
    <w:r>
      <w:tab/>
    </w:r>
    <w:r>
      <w:tab/>
    </w:r>
    <w:r>
      <w:tab/>
    </w: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C4" w:rsidRDefault="00020FC4">
    <w:pPr>
      <w:pStyle w:val="Footer"/>
      <w:jc w:val="center"/>
    </w:pPr>
  </w:p>
  <w:p w:rsidR="00020FC4" w:rsidRDefault="00020F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310" w:rsidRDefault="00E76310" w:rsidP="00A77EA2">
      <w:pPr>
        <w:spacing w:after="0" w:line="240" w:lineRule="auto"/>
      </w:pPr>
      <w:r>
        <w:separator/>
      </w:r>
    </w:p>
  </w:footnote>
  <w:footnote w:type="continuationSeparator" w:id="0">
    <w:p w:rsidR="00E76310" w:rsidRDefault="00E76310" w:rsidP="00A77E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C4" w:rsidRDefault="00020FC4">
    <w:pPr>
      <w:pStyle w:val="Header"/>
    </w:pPr>
    <w:r w:rsidRPr="00313BAE">
      <w:rPr>
        <w:noProof/>
      </w:rPr>
      <w:drawing>
        <wp:anchor distT="0" distB="0" distL="114300" distR="114300" simplePos="0" relativeHeight="251659264" behindDoc="0" locked="0" layoutInCell="1" allowOverlap="1">
          <wp:simplePos x="0" y="0"/>
          <wp:positionH relativeFrom="column">
            <wp:posOffset>4921250</wp:posOffset>
          </wp:positionH>
          <wp:positionV relativeFrom="paragraph">
            <wp:posOffset>-102870</wp:posOffset>
          </wp:positionV>
          <wp:extent cx="1546860" cy="313055"/>
          <wp:effectExtent l="19050" t="0" r="0" b="0"/>
          <wp:wrapSquare wrapText="bothSides"/>
          <wp:docPr id="1" name="Picture 1" descr="Wahtcol.JPG"/>
          <wp:cNvGraphicFramePr/>
          <a:graphic xmlns:a="http://schemas.openxmlformats.org/drawingml/2006/main">
            <a:graphicData uri="http://schemas.openxmlformats.org/drawingml/2006/picture">
              <pic:pic xmlns:pic="http://schemas.openxmlformats.org/drawingml/2006/picture">
                <pic:nvPicPr>
                  <pic:cNvPr id="14339" name="Picture 3" descr="Wahtcol.JPG"/>
                  <pic:cNvPicPr>
                    <a:picLocks noChangeAspect="1"/>
                  </pic:cNvPicPr>
                </pic:nvPicPr>
                <pic:blipFill>
                  <a:blip r:embed="rId1" cstate="print"/>
                  <a:srcRect/>
                  <a:stretch>
                    <a:fillRect/>
                  </a:stretch>
                </pic:blipFill>
                <pic:spPr bwMode="auto">
                  <a:xfrm>
                    <a:off x="0" y="0"/>
                    <a:ext cx="1546860" cy="3130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C4" w:rsidRDefault="00020FC4">
    <w:pPr>
      <w:pStyle w:val="Header"/>
    </w:pPr>
    <w:r w:rsidRPr="00313BAE">
      <w:rPr>
        <w:noProof/>
      </w:rPr>
      <w:drawing>
        <wp:anchor distT="0" distB="0" distL="114300" distR="114300" simplePos="0" relativeHeight="251669504" behindDoc="0" locked="0" layoutInCell="1" allowOverlap="1">
          <wp:simplePos x="0" y="0"/>
          <wp:positionH relativeFrom="column">
            <wp:posOffset>4921250</wp:posOffset>
          </wp:positionH>
          <wp:positionV relativeFrom="paragraph">
            <wp:posOffset>-102870</wp:posOffset>
          </wp:positionV>
          <wp:extent cx="1546860" cy="313055"/>
          <wp:effectExtent l="19050" t="0" r="0" b="0"/>
          <wp:wrapSquare wrapText="bothSides"/>
          <wp:docPr id="20" name="Picture 1" descr="Wahtcol.JPG"/>
          <wp:cNvGraphicFramePr/>
          <a:graphic xmlns:a="http://schemas.openxmlformats.org/drawingml/2006/main">
            <a:graphicData uri="http://schemas.openxmlformats.org/drawingml/2006/picture">
              <pic:pic xmlns:pic="http://schemas.openxmlformats.org/drawingml/2006/picture">
                <pic:nvPicPr>
                  <pic:cNvPr id="14339" name="Picture 3" descr="Wahtcol.JPG"/>
                  <pic:cNvPicPr>
                    <a:picLocks noChangeAspect="1"/>
                  </pic:cNvPicPr>
                </pic:nvPicPr>
                <pic:blipFill>
                  <a:blip r:embed="rId1" cstate="print"/>
                  <a:srcRect/>
                  <a:stretch>
                    <a:fillRect/>
                  </a:stretch>
                </pic:blipFill>
                <pic:spPr bwMode="auto">
                  <a:xfrm>
                    <a:off x="0" y="0"/>
                    <a:ext cx="1546860" cy="31305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C4" w:rsidRDefault="00020FC4">
    <w:pPr>
      <w:pStyle w:val="Header"/>
    </w:pPr>
    <w:r w:rsidRPr="00313BAE">
      <w:rPr>
        <w:noProof/>
      </w:rPr>
      <w:drawing>
        <wp:anchor distT="0" distB="0" distL="114300" distR="114300" simplePos="0" relativeHeight="251666432" behindDoc="0" locked="0" layoutInCell="1" allowOverlap="1">
          <wp:simplePos x="0" y="0"/>
          <wp:positionH relativeFrom="column">
            <wp:posOffset>4921250</wp:posOffset>
          </wp:positionH>
          <wp:positionV relativeFrom="paragraph">
            <wp:posOffset>-102870</wp:posOffset>
          </wp:positionV>
          <wp:extent cx="1546860" cy="313055"/>
          <wp:effectExtent l="19050" t="0" r="0" b="0"/>
          <wp:wrapSquare wrapText="bothSides"/>
          <wp:docPr id="40" name="Picture 1" descr="Wahtcol.JPG"/>
          <wp:cNvGraphicFramePr/>
          <a:graphic xmlns:a="http://schemas.openxmlformats.org/drawingml/2006/main">
            <a:graphicData uri="http://schemas.openxmlformats.org/drawingml/2006/picture">
              <pic:pic xmlns:pic="http://schemas.openxmlformats.org/drawingml/2006/picture">
                <pic:nvPicPr>
                  <pic:cNvPr id="14339" name="Picture 3" descr="Wahtcol.JPG"/>
                  <pic:cNvPicPr>
                    <a:picLocks noChangeAspect="1"/>
                  </pic:cNvPicPr>
                </pic:nvPicPr>
                <pic:blipFill>
                  <a:blip r:embed="rId1" cstate="print"/>
                  <a:srcRect/>
                  <a:stretch>
                    <a:fillRect/>
                  </a:stretch>
                </pic:blipFill>
                <pic:spPr bwMode="auto">
                  <a:xfrm>
                    <a:off x="0" y="0"/>
                    <a:ext cx="1546860" cy="313055"/>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C4" w:rsidRDefault="00020FC4">
    <w:pPr>
      <w:pStyle w:val="Header"/>
    </w:pPr>
    <w:r w:rsidRPr="00313BAE">
      <w:rPr>
        <w:noProof/>
      </w:rPr>
      <w:drawing>
        <wp:anchor distT="0" distB="0" distL="114300" distR="114300" simplePos="0" relativeHeight="251663360" behindDoc="0" locked="0" layoutInCell="1" allowOverlap="1">
          <wp:simplePos x="0" y="0"/>
          <wp:positionH relativeFrom="column">
            <wp:posOffset>4921250</wp:posOffset>
          </wp:positionH>
          <wp:positionV relativeFrom="paragraph">
            <wp:posOffset>-102870</wp:posOffset>
          </wp:positionV>
          <wp:extent cx="1546860" cy="313055"/>
          <wp:effectExtent l="19050" t="0" r="0" b="0"/>
          <wp:wrapSquare wrapText="bothSides"/>
          <wp:docPr id="35" name="Picture 1" descr="Wahtcol.JPG"/>
          <wp:cNvGraphicFramePr/>
          <a:graphic xmlns:a="http://schemas.openxmlformats.org/drawingml/2006/main">
            <a:graphicData uri="http://schemas.openxmlformats.org/drawingml/2006/picture">
              <pic:pic xmlns:pic="http://schemas.openxmlformats.org/drawingml/2006/picture">
                <pic:nvPicPr>
                  <pic:cNvPr id="14339" name="Picture 3" descr="Wahtcol.JPG"/>
                  <pic:cNvPicPr>
                    <a:picLocks noChangeAspect="1"/>
                  </pic:cNvPicPr>
                </pic:nvPicPr>
                <pic:blipFill>
                  <a:blip r:embed="rId1" cstate="print"/>
                  <a:srcRect/>
                  <a:stretch>
                    <a:fillRect/>
                  </a:stretch>
                </pic:blipFill>
                <pic:spPr bwMode="auto">
                  <a:xfrm>
                    <a:off x="0" y="0"/>
                    <a:ext cx="1546860" cy="31305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21364_"/>
      </v:shape>
    </w:pict>
  </w:numPicBullet>
  <w:numPicBullet w:numPicBulletId="1">
    <w:pict>
      <v:shape id="_x0000_i1029" type="#_x0000_t75" style="width:11.25pt;height:11.25pt" o:bullet="t">
        <v:imagedata r:id="rId2" o:title="BD21364_"/>
      </v:shape>
    </w:pict>
  </w:numPicBullet>
  <w:abstractNum w:abstractNumId="0">
    <w:nsid w:val="02871C15"/>
    <w:multiLevelType w:val="hybridMultilevel"/>
    <w:tmpl w:val="26B67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E22F18"/>
    <w:multiLevelType w:val="hybridMultilevel"/>
    <w:tmpl w:val="DC2E6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56074CA"/>
    <w:multiLevelType w:val="hybridMultilevel"/>
    <w:tmpl w:val="922C2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7114E8B"/>
    <w:multiLevelType w:val="hybridMultilevel"/>
    <w:tmpl w:val="6E74D4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7EF1907"/>
    <w:multiLevelType w:val="hybridMultilevel"/>
    <w:tmpl w:val="91062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BF61350"/>
    <w:multiLevelType w:val="hybridMultilevel"/>
    <w:tmpl w:val="6F3E3C4C"/>
    <w:lvl w:ilvl="0" w:tplc="8E3620D2">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D86D38"/>
    <w:multiLevelType w:val="hybridMultilevel"/>
    <w:tmpl w:val="9A40EF70"/>
    <w:lvl w:ilvl="0" w:tplc="0809000F">
      <w:start w:val="1"/>
      <w:numFmt w:val="decimal"/>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7">
    <w:nsid w:val="0F25370B"/>
    <w:multiLevelType w:val="hybridMultilevel"/>
    <w:tmpl w:val="DAC2F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D2448F"/>
    <w:multiLevelType w:val="hybridMultilevel"/>
    <w:tmpl w:val="9A0C41A8"/>
    <w:lvl w:ilvl="0" w:tplc="294E0520">
      <w:start w:val="1"/>
      <w:numFmt w:val="bullet"/>
      <w:lvlText w:val=""/>
      <w:lvlJc w:val="left"/>
      <w:pPr>
        <w:ind w:left="720" w:hanging="360"/>
      </w:pPr>
      <w:rPr>
        <w:rFonts w:ascii="Symbol" w:hAnsi="Symbol" w:hint="default"/>
        <w:color w:val="000000" w:themeColor="text1"/>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1B094D17"/>
    <w:multiLevelType w:val="multilevel"/>
    <w:tmpl w:val="43F8CCE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2C35864"/>
    <w:multiLevelType w:val="hybridMultilevel"/>
    <w:tmpl w:val="99562370"/>
    <w:lvl w:ilvl="0" w:tplc="67F6C9F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52074D"/>
    <w:multiLevelType w:val="hybridMultilevel"/>
    <w:tmpl w:val="7738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981E99"/>
    <w:multiLevelType w:val="hybridMultilevel"/>
    <w:tmpl w:val="137CD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8BF5E81"/>
    <w:multiLevelType w:val="hybridMultilevel"/>
    <w:tmpl w:val="4470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762B1D"/>
    <w:multiLevelType w:val="hybridMultilevel"/>
    <w:tmpl w:val="B4BC2662"/>
    <w:lvl w:ilvl="0" w:tplc="89F4DB60">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5">
    <w:nsid w:val="37AB5EB3"/>
    <w:multiLevelType w:val="hybridMultilevel"/>
    <w:tmpl w:val="F26E0FC8"/>
    <w:lvl w:ilvl="0" w:tplc="A81CDBD8">
      <w:start w:val="1"/>
      <w:numFmt w:val="decimal"/>
      <w:lvlText w:val="%1."/>
      <w:lvlJc w:val="left"/>
      <w:pPr>
        <w:ind w:left="360" w:hanging="360"/>
      </w:pPr>
      <w:rPr>
        <w:sz w:val="18"/>
        <w:szCs w:val="18"/>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nsid w:val="3CD271EF"/>
    <w:multiLevelType w:val="hybridMultilevel"/>
    <w:tmpl w:val="B38C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E76C59"/>
    <w:multiLevelType w:val="hybridMultilevel"/>
    <w:tmpl w:val="DF60E7F0"/>
    <w:lvl w:ilvl="0" w:tplc="08090001">
      <w:start w:val="1"/>
      <w:numFmt w:val="bullet"/>
      <w:lvlText w:val=""/>
      <w:lvlJc w:val="left"/>
      <w:pPr>
        <w:tabs>
          <w:tab w:val="num" w:pos="-492"/>
        </w:tabs>
        <w:ind w:left="-492" w:hanging="360"/>
      </w:pPr>
      <w:rPr>
        <w:rFonts w:ascii="Symbol" w:hAnsi="Symbol" w:hint="default"/>
      </w:rPr>
    </w:lvl>
    <w:lvl w:ilvl="1" w:tplc="9C48EFD4">
      <w:start w:val="1"/>
      <w:numFmt w:val="bullet"/>
      <w:lvlText w:val=""/>
      <w:lvlJc w:val="left"/>
      <w:pPr>
        <w:tabs>
          <w:tab w:val="num" w:pos="21"/>
        </w:tabs>
        <w:ind w:left="21" w:hanging="153"/>
      </w:pPr>
      <w:rPr>
        <w:rFonts w:ascii="Symbol" w:hAnsi="Symbol" w:hint="default"/>
        <w:color w:val="auto"/>
      </w:rPr>
    </w:lvl>
    <w:lvl w:ilvl="2" w:tplc="08090005" w:tentative="1">
      <w:start w:val="1"/>
      <w:numFmt w:val="bullet"/>
      <w:lvlText w:val=""/>
      <w:lvlJc w:val="left"/>
      <w:pPr>
        <w:tabs>
          <w:tab w:val="num" w:pos="948"/>
        </w:tabs>
        <w:ind w:left="948" w:hanging="360"/>
      </w:pPr>
      <w:rPr>
        <w:rFonts w:ascii="Wingdings" w:hAnsi="Wingdings" w:hint="default"/>
      </w:rPr>
    </w:lvl>
    <w:lvl w:ilvl="3" w:tplc="08090001" w:tentative="1">
      <w:start w:val="1"/>
      <w:numFmt w:val="bullet"/>
      <w:lvlText w:val=""/>
      <w:lvlJc w:val="left"/>
      <w:pPr>
        <w:tabs>
          <w:tab w:val="num" w:pos="1668"/>
        </w:tabs>
        <w:ind w:left="1668" w:hanging="360"/>
      </w:pPr>
      <w:rPr>
        <w:rFonts w:ascii="Symbol" w:hAnsi="Symbol" w:hint="default"/>
      </w:rPr>
    </w:lvl>
    <w:lvl w:ilvl="4" w:tplc="08090003" w:tentative="1">
      <w:start w:val="1"/>
      <w:numFmt w:val="bullet"/>
      <w:lvlText w:val="o"/>
      <w:lvlJc w:val="left"/>
      <w:pPr>
        <w:tabs>
          <w:tab w:val="num" w:pos="2388"/>
        </w:tabs>
        <w:ind w:left="2388" w:hanging="360"/>
      </w:pPr>
      <w:rPr>
        <w:rFonts w:ascii="Courier New" w:hAnsi="Courier New" w:hint="default"/>
      </w:rPr>
    </w:lvl>
    <w:lvl w:ilvl="5" w:tplc="08090005" w:tentative="1">
      <w:start w:val="1"/>
      <w:numFmt w:val="bullet"/>
      <w:lvlText w:val=""/>
      <w:lvlJc w:val="left"/>
      <w:pPr>
        <w:tabs>
          <w:tab w:val="num" w:pos="3108"/>
        </w:tabs>
        <w:ind w:left="3108" w:hanging="360"/>
      </w:pPr>
      <w:rPr>
        <w:rFonts w:ascii="Wingdings" w:hAnsi="Wingdings" w:hint="default"/>
      </w:rPr>
    </w:lvl>
    <w:lvl w:ilvl="6" w:tplc="08090001" w:tentative="1">
      <w:start w:val="1"/>
      <w:numFmt w:val="bullet"/>
      <w:lvlText w:val=""/>
      <w:lvlJc w:val="left"/>
      <w:pPr>
        <w:tabs>
          <w:tab w:val="num" w:pos="3828"/>
        </w:tabs>
        <w:ind w:left="3828" w:hanging="360"/>
      </w:pPr>
      <w:rPr>
        <w:rFonts w:ascii="Symbol" w:hAnsi="Symbol" w:hint="default"/>
      </w:rPr>
    </w:lvl>
    <w:lvl w:ilvl="7" w:tplc="08090003" w:tentative="1">
      <w:start w:val="1"/>
      <w:numFmt w:val="bullet"/>
      <w:lvlText w:val="o"/>
      <w:lvlJc w:val="left"/>
      <w:pPr>
        <w:tabs>
          <w:tab w:val="num" w:pos="4548"/>
        </w:tabs>
        <w:ind w:left="4548" w:hanging="360"/>
      </w:pPr>
      <w:rPr>
        <w:rFonts w:ascii="Courier New" w:hAnsi="Courier New" w:hint="default"/>
      </w:rPr>
    </w:lvl>
    <w:lvl w:ilvl="8" w:tplc="08090005" w:tentative="1">
      <w:start w:val="1"/>
      <w:numFmt w:val="bullet"/>
      <w:lvlText w:val=""/>
      <w:lvlJc w:val="left"/>
      <w:pPr>
        <w:tabs>
          <w:tab w:val="num" w:pos="5268"/>
        </w:tabs>
        <w:ind w:left="5268" w:hanging="360"/>
      </w:pPr>
      <w:rPr>
        <w:rFonts w:ascii="Wingdings" w:hAnsi="Wingdings" w:hint="default"/>
      </w:rPr>
    </w:lvl>
  </w:abstractNum>
  <w:abstractNum w:abstractNumId="18">
    <w:nsid w:val="3FC23C7C"/>
    <w:multiLevelType w:val="hybridMultilevel"/>
    <w:tmpl w:val="42D67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09F54A6"/>
    <w:multiLevelType w:val="hybridMultilevel"/>
    <w:tmpl w:val="3D544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A424CE"/>
    <w:multiLevelType w:val="multilevel"/>
    <w:tmpl w:val="4DE6FF58"/>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16C150D"/>
    <w:multiLevelType w:val="hybridMultilevel"/>
    <w:tmpl w:val="78387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5EC38E1"/>
    <w:multiLevelType w:val="hybridMultilevel"/>
    <w:tmpl w:val="E22C6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8827112"/>
    <w:multiLevelType w:val="hybridMultilevel"/>
    <w:tmpl w:val="EAAC8FFE"/>
    <w:lvl w:ilvl="0" w:tplc="7D86089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B45C56"/>
    <w:multiLevelType w:val="hybridMultilevel"/>
    <w:tmpl w:val="3872BF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4AE6260C"/>
    <w:multiLevelType w:val="hybridMultilevel"/>
    <w:tmpl w:val="BA5AC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B2D31BB"/>
    <w:multiLevelType w:val="hybridMultilevel"/>
    <w:tmpl w:val="3AA0884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7">
    <w:nsid w:val="4C08206F"/>
    <w:multiLevelType w:val="multilevel"/>
    <w:tmpl w:val="050AAA18"/>
    <w:lvl w:ilvl="0">
      <w:start w:val="4"/>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C5F1FD4"/>
    <w:multiLevelType w:val="hybridMultilevel"/>
    <w:tmpl w:val="DC541AF6"/>
    <w:lvl w:ilvl="0" w:tplc="FFFFFFFF">
      <w:start w:val="1"/>
      <w:numFmt w:val="decimal"/>
      <w:lvlText w:val="%1."/>
      <w:lvlJc w:val="left"/>
      <w:pPr>
        <w:tabs>
          <w:tab w:val="num" w:pos="720"/>
        </w:tabs>
        <w:ind w:left="720" w:hanging="360"/>
      </w:pPr>
      <w:rPr>
        <w:rFonts w:cs="Times New Roman"/>
      </w:rPr>
    </w:lvl>
    <w:lvl w:ilvl="1" w:tplc="08090003">
      <w:start w:val="1"/>
      <w:numFmt w:val="bullet"/>
      <w:pStyle w:val="Style8Bullet2After18pt"/>
      <w:lvlText w:val=""/>
      <w:lvlJc w:val="left"/>
      <w:pPr>
        <w:tabs>
          <w:tab w:val="num" w:pos="1440"/>
        </w:tabs>
        <w:ind w:left="1440" w:hanging="360"/>
      </w:pPr>
      <w:rPr>
        <w:rFonts w:ascii="Symbol" w:hAnsi="Symbol" w:hint="default"/>
        <w:color w:val="339966"/>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29">
    <w:nsid w:val="4CAC2A41"/>
    <w:multiLevelType w:val="hybridMultilevel"/>
    <w:tmpl w:val="7C3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B5368D"/>
    <w:multiLevelType w:val="hybridMultilevel"/>
    <w:tmpl w:val="1708C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F07064F"/>
    <w:multiLevelType w:val="hybridMultilevel"/>
    <w:tmpl w:val="89F63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7B1073"/>
    <w:multiLevelType w:val="hybridMultilevel"/>
    <w:tmpl w:val="840C5F7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3">
    <w:nsid w:val="54E77692"/>
    <w:multiLevelType w:val="hybridMultilevel"/>
    <w:tmpl w:val="30220ED0"/>
    <w:lvl w:ilvl="0" w:tplc="67F6C9F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5027AA3"/>
    <w:multiLevelType w:val="hybridMultilevel"/>
    <w:tmpl w:val="1EE6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AFB2566"/>
    <w:multiLevelType w:val="hybridMultilevel"/>
    <w:tmpl w:val="F9F60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C4C21CC"/>
    <w:multiLevelType w:val="hybridMultilevel"/>
    <w:tmpl w:val="839A2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E478BD"/>
    <w:multiLevelType w:val="multilevel"/>
    <w:tmpl w:val="9B7EBD90"/>
    <w:lvl w:ilvl="0">
      <w:start w:val="1"/>
      <w:numFmt w:val="decimal"/>
      <w:lvlText w:val="%1.0"/>
      <w:lvlJc w:val="left"/>
      <w:pPr>
        <w:ind w:left="555" w:hanging="555"/>
      </w:pPr>
      <w:rPr>
        <w:rFonts w:hint="default"/>
      </w:rPr>
    </w:lvl>
    <w:lvl w:ilvl="1">
      <w:start w:val="1"/>
      <w:numFmt w:val="decimal"/>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67771076"/>
    <w:multiLevelType w:val="hybridMultilevel"/>
    <w:tmpl w:val="49BC4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8171375"/>
    <w:multiLevelType w:val="hybridMultilevel"/>
    <w:tmpl w:val="EC5AD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C293B8F"/>
    <w:multiLevelType w:val="hybridMultilevel"/>
    <w:tmpl w:val="DB9A1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FDB713A"/>
    <w:multiLevelType w:val="multilevel"/>
    <w:tmpl w:val="069CF48A"/>
    <w:lvl w:ilvl="0">
      <w:start w:val="1"/>
      <w:numFmt w:val="decimal"/>
      <w:lvlText w:val="%1"/>
      <w:lvlJc w:val="left"/>
      <w:pPr>
        <w:ind w:left="510" w:hanging="510"/>
      </w:pPr>
      <w:rPr>
        <w:rFonts w:asciiTheme="majorHAnsi" w:eastAsiaTheme="majorEastAsia" w:hAnsiTheme="majorHAnsi" w:cstheme="majorBidi" w:hint="default"/>
        <w:b/>
        <w:color w:val="2DA2BF" w:themeColor="accent1"/>
        <w:sz w:val="26"/>
      </w:rPr>
    </w:lvl>
    <w:lvl w:ilvl="1">
      <w:start w:val="1"/>
      <w:numFmt w:val="decimal"/>
      <w:lvlText w:val="%1.%2"/>
      <w:lvlJc w:val="left"/>
      <w:pPr>
        <w:ind w:left="510" w:hanging="510"/>
      </w:pPr>
      <w:rPr>
        <w:rFonts w:asciiTheme="majorHAnsi" w:eastAsiaTheme="majorEastAsia" w:hAnsiTheme="majorHAnsi" w:cstheme="majorBidi" w:hint="default"/>
        <w:b/>
        <w:color w:val="2DA2BF" w:themeColor="accent1"/>
        <w:sz w:val="26"/>
      </w:rPr>
    </w:lvl>
    <w:lvl w:ilvl="2">
      <w:start w:val="1"/>
      <w:numFmt w:val="decimal"/>
      <w:lvlText w:val="%1.%2.%3"/>
      <w:lvlJc w:val="left"/>
      <w:pPr>
        <w:ind w:left="720" w:hanging="720"/>
      </w:pPr>
      <w:rPr>
        <w:rFonts w:asciiTheme="majorHAnsi" w:eastAsiaTheme="majorEastAsia" w:hAnsiTheme="majorHAnsi" w:cstheme="majorBidi" w:hint="default"/>
        <w:b/>
        <w:color w:val="2DA2BF" w:themeColor="accent1"/>
        <w:sz w:val="26"/>
      </w:rPr>
    </w:lvl>
    <w:lvl w:ilvl="3">
      <w:start w:val="1"/>
      <w:numFmt w:val="decimal"/>
      <w:lvlText w:val="%1.%2.%3.%4"/>
      <w:lvlJc w:val="left"/>
      <w:pPr>
        <w:ind w:left="1080" w:hanging="1080"/>
      </w:pPr>
      <w:rPr>
        <w:rFonts w:asciiTheme="majorHAnsi" w:eastAsiaTheme="majorEastAsia" w:hAnsiTheme="majorHAnsi" w:cstheme="majorBidi" w:hint="default"/>
        <w:b/>
        <w:color w:val="2DA2BF" w:themeColor="accent1"/>
        <w:sz w:val="26"/>
      </w:rPr>
    </w:lvl>
    <w:lvl w:ilvl="4">
      <w:start w:val="1"/>
      <w:numFmt w:val="decimal"/>
      <w:lvlText w:val="%1.%2.%3.%4.%5"/>
      <w:lvlJc w:val="left"/>
      <w:pPr>
        <w:ind w:left="1080" w:hanging="1080"/>
      </w:pPr>
      <w:rPr>
        <w:rFonts w:asciiTheme="majorHAnsi" w:eastAsiaTheme="majorEastAsia" w:hAnsiTheme="majorHAnsi" w:cstheme="majorBidi" w:hint="default"/>
        <w:b/>
        <w:color w:val="2DA2BF" w:themeColor="accent1"/>
        <w:sz w:val="26"/>
      </w:rPr>
    </w:lvl>
    <w:lvl w:ilvl="5">
      <w:start w:val="1"/>
      <w:numFmt w:val="decimal"/>
      <w:lvlText w:val="%1.%2.%3.%4.%5.%6"/>
      <w:lvlJc w:val="left"/>
      <w:pPr>
        <w:ind w:left="1440" w:hanging="1440"/>
      </w:pPr>
      <w:rPr>
        <w:rFonts w:asciiTheme="majorHAnsi" w:eastAsiaTheme="majorEastAsia" w:hAnsiTheme="majorHAnsi" w:cstheme="majorBidi" w:hint="default"/>
        <w:b/>
        <w:color w:val="2DA2BF" w:themeColor="accent1"/>
        <w:sz w:val="26"/>
      </w:rPr>
    </w:lvl>
    <w:lvl w:ilvl="6">
      <w:start w:val="1"/>
      <w:numFmt w:val="decimal"/>
      <w:lvlText w:val="%1.%2.%3.%4.%5.%6.%7"/>
      <w:lvlJc w:val="left"/>
      <w:pPr>
        <w:ind w:left="1440" w:hanging="1440"/>
      </w:pPr>
      <w:rPr>
        <w:rFonts w:asciiTheme="majorHAnsi" w:eastAsiaTheme="majorEastAsia" w:hAnsiTheme="majorHAnsi" w:cstheme="majorBidi" w:hint="default"/>
        <w:b/>
        <w:color w:val="2DA2BF" w:themeColor="accent1"/>
        <w:sz w:val="26"/>
      </w:rPr>
    </w:lvl>
    <w:lvl w:ilvl="7">
      <w:start w:val="1"/>
      <w:numFmt w:val="decimal"/>
      <w:lvlText w:val="%1.%2.%3.%4.%5.%6.%7.%8"/>
      <w:lvlJc w:val="left"/>
      <w:pPr>
        <w:ind w:left="1800" w:hanging="1800"/>
      </w:pPr>
      <w:rPr>
        <w:rFonts w:asciiTheme="majorHAnsi" w:eastAsiaTheme="majorEastAsia" w:hAnsiTheme="majorHAnsi" w:cstheme="majorBidi" w:hint="default"/>
        <w:b/>
        <w:color w:val="2DA2BF" w:themeColor="accent1"/>
        <w:sz w:val="26"/>
      </w:rPr>
    </w:lvl>
    <w:lvl w:ilvl="8">
      <w:start w:val="1"/>
      <w:numFmt w:val="decimal"/>
      <w:lvlText w:val="%1.%2.%3.%4.%5.%6.%7.%8.%9"/>
      <w:lvlJc w:val="left"/>
      <w:pPr>
        <w:ind w:left="2160" w:hanging="2160"/>
      </w:pPr>
      <w:rPr>
        <w:rFonts w:asciiTheme="majorHAnsi" w:eastAsiaTheme="majorEastAsia" w:hAnsiTheme="majorHAnsi" w:cstheme="majorBidi" w:hint="default"/>
        <w:b/>
        <w:color w:val="2DA2BF" w:themeColor="accent1"/>
        <w:sz w:val="26"/>
      </w:rPr>
    </w:lvl>
  </w:abstractNum>
  <w:abstractNum w:abstractNumId="42">
    <w:nsid w:val="725156E4"/>
    <w:multiLevelType w:val="multilevel"/>
    <w:tmpl w:val="769EF92E"/>
    <w:lvl w:ilvl="0">
      <w:start w:val="5"/>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74B33555"/>
    <w:multiLevelType w:val="multilevel"/>
    <w:tmpl w:val="FC6EA584"/>
    <w:lvl w:ilvl="0">
      <w:start w:val="1"/>
      <w:numFmt w:val="decimal"/>
      <w:lvlText w:val="%1."/>
      <w:lvlJc w:val="left"/>
      <w:pPr>
        <w:ind w:left="720" w:hanging="360"/>
      </w:pPr>
      <w:rPr>
        <w:rFonts w:hint="default"/>
      </w:rPr>
    </w:lvl>
    <w:lvl w:ilvl="1">
      <w:start w:val="9"/>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75EF1D5E"/>
    <w:multiLevelType w:val="multilevel"/>
    <w:tmpl w:val="C7988A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nsid w:val="76794BE8"/>
    <w:multiLevelType w:val="multilevel"/>
    <w:tmpl w:val="962EF60A"/>
    <w:lvl w:ilvl="0">
      <w:start w:val="5"/>
      <w:numFmt w:val="decimal"/>
      <w:lvlText w:val="%1"/>
      <w:lvlJc w:val="left"/>
      <w:pPr>
        <w:ind w:left="495" w:hanging="495"/>
      </w:pPr>
      <w:rPr>
        <w:rFonts w:hint="default"/>
        <w:b w:val="0"/>
        <w:i w:val="0"/>
      </w:rPr>
    </w:lvl>
    <w:lvl w:ilvl="1">
      <w:start w:val="1"/>
      <w:numFmt w:val="decimal"/>
      <w:lvlText w:val="%1.%2"/>
      <w:lvlJc w:val="left"/>
      <w:pPr>
        <w:ind w:left="495" w:hanging="495"/>
      </w:pPr>
      <w:rPr>
        <w:rFonts w:hint="default"/>
        <w:b w:val="0"/>
        <w:i w:val="0"/>
      </w:rPr>
    </w:lvl>
    <w:lvl w:ilvl="2">
      <w:start w:val="5"/>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6">
    <w:nsid w:val="76C54729"/>
    <w:multiLevelType w:val="hybridMultilevel"/>
    <w:tmpl w:val="A1C47BD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nsid w:val="7AAE45C5"/>
    <w:multiLevelType w:val="hybridMultilevel"/>
    <w:tmpl w:val="C22A5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F5403CD"/>
    <w:multiLevelType w:val="hybridMultilevel"/>
    <w:tmpl w:val="16C84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41"/>
  </w:num>
  <w:num w:numId="3">
    <w:abstractNumId w:val="33"/>
  </w:num>
  <w:num w:numId="4">
    <w:abstractNumId w:val="28"/>
  </w:num>
  <w:num w:numId="5">
    <w:abstractNumId w:val="17"/>
  </w:num>
  <w:num w:numId="6">
    <w:abstractNumId w:val="26"/>
  </w:num>
  <w:num w:numId="7">
    <w:abstractNumId w:val="37"/>
  </w:num>
  <w:num w:numId="8">
    <w:abstractNumId w:val="4"/>
  </w:num>
  <w:num w:numId="9">
    <w:abstractNumId w:val="36"/>
  </w:num>
  <w:num w:numId="10">
    <w:abstractNumId w:val="43"/>
  </w:num>
  <w:num w:numId="11">
    <w:abstractNumId w:val="44"/>
  </w:num>
  <w:num w:numId="12">
    <w:abstractNumId w:val="14"/>
  </w:num>
  <w:num w:numId="13">
    <w:abstractNumId w:val="29"/>
  </w:num>
  <w:num w:numId="14">
    <w:abstractNumId w:val="6"/>
  </w:num>
  <w:num w:numId="15">
    <w:abstractNumId w:val="16"/>
  </w:num>
  <w:num w:numId="16">
    <w:abstractNumId w:val="10"/>
  </w:num>
  <w:num w:numId="17">
    <w:abstractNumId w:val="42"/>
  </w:num>
  <w:num w:numId="18">
    <w:abstractNumId w:val="21"/>
  </w:num>
  <w:num w:numId="19">
    <w:abstractNumId w:val="31"/>
  </w:num>
  <w:num w:numId="20">
    <w:abstractNumId w:val="35"/>
  </w:num>
  <w:num w:numId="21">
    <w:abstractNumId w:val="3"/>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0"/>
  </w:num>
  <w:num w:numId="25">
    <w:abstractNumId w:val="25"/>
  </w:num>
  <w:num w:numId="26">
    <w:abstractNumId w:val="32"/>
  </w:num>
  <w:num w:numId="27">
    <w:abstractNumId w:val="34"/>
  </w:num>
  <w:num w:numId="28">
    <w:abstractNumId w:val="18"/>
  </w:num>
  <w:num w:numId="29">
    <w:abstractNumId w:val="2"/>
  </w:num>
  <w:num w:numId="30">
    <w:abstractNumId w:val="1"/>
  </w:num>
  <w:num w:numId="31">
    <w:abstractNumId w:val="27"/>
  </w:num>
  <w:num w:numId="32">
    <w:abstractNumId w:val="39"/>
  </w:num>
  <w:num w:numId="33">
    <w:abstractNumId w:val="12"/>
  </w:num>
  <w:num w:numId="34">
    <w:abstractNumId w:val="38"/>
  </w:num>
  <w:num w:numId="35">
    <w:abstractNumId w:val="19"/>
  </w:num>
  <w:num w:numId="36">
    <w:abstractNumId w:val="9"/>
  </w:num>
  <w:num w:numId="37">
    <w:abstractNumId w:val="20"/>
  </w:num>
  <w:num w:numId="38">
    <w:abstractNumId w:val="13"/>
  </w:num>
  <w:num w:numId="39">
    <w:abstractNumId w:val="23"/>
  </w:num>
  <w:num w:numId="40">
    <w:abstractNumId w:val="45"/>
  </w:num>
  <w:num w:numId="4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num>
  <w:num w:numId="45">
    <w:abstractNumId w:val="40"/>
  </w:num>
  <w:num w:numId="46">
    <w:abstractNumId w:val="0"/>
  </w:num>
  <w:num w:numId="47">
    <w:abstractNumId w:val="47"/>
  </w:num>
  <w:num w:numId="48">
    <w:abstractNumId w:val="22"/>
  </w:num>
  <w:num w:numId="49">
    <w:abstractNumId w:val="4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73" fillcolor="none [3201]" strokecolor="none [1940]">
      <v:fill color="none [3201]" color2="none [1300]" focusposition="1" focussize="" focus="100%" type="gradient"/>
      <v:stroke color="none [1940]" weight="1pt"/>
      <v:shadow on="t" type="perspective" color="none [1604]" opacity=".5" offset="1pt" offset2="-3pt"/>
    </o:shapedefaults>
    <o:shapelayout v:ext="edit">
      <o:idmap v:ext="edit" data="2"/>
    </o:shapelayout>
  </w:hdrShapeDefaults>
  <w:footnotePr>
    <w:footnote w:id="-1"/>
    <w:footnote w:id="0"/>
  </w:footnotePr>
  <w:endnotePr>
    <w:endnote w:id="-1"/>
    <w:endnote w:id="0"/>
  </w:endnotePr>
  <w:compat>
    <w:useFELayout/>
  </w:compat>
  <w:rsids>
    <w:rsidRoot w:val="00AB3CF2"/>
    <w:rsid w:val="0000090B"/>
    <w:rsid w:val="00000B99"/>
    <w:rsid w:val="000016EC"/>
    <w:rsid w:val="00001C96"/>
    <w:rsid w:val="000024C5"/>
    <w:rsid w:val="00002858"/>
    <w:rsid w:val="00002B46"/>
    <w:rsid w:val="00002B84"/>
    <w:rsid w:val="00002EA3"/>
    <w:rsid w:val="00003531"/>
    <w:rsid w:val="0000354B"/>
    <w:rsid w:val="00003930"/>
    <w:rsid w:val="00003F64"/>
    <w:rsid w:val="00004669"/>
    <w:rsid w:val="000051CC"/>
    <w:rsid w:val="00005333"/>
    <w:rsid w:val="00005FFB"/>
    <w:rsid w:val="000073C9"/>
    <w:rsid w:val="000075D5"/>
    <w:rsid w:val="00007ABE"/>
    <w:rsid w:val="0001047A"/>
    <w:rsid w:val="000130B7"/>
    <w:rsid w:val="0001343E"/>
    <w:rsid w:val="00013AB8"/>
    <w:rsid w:val="00014394"/>
    <w:rsid w:val="00014A40"/>
    <w:rsid w:val="00014CBC"/>
    <w:rsid w:val="00014E2A"/>
    <w:rsid w:val="00015ACC"/>
    <w:rsid w:val="0001615B"/>
    <w:rsid w:val="00017954"/>
    <w:rsid w:val="00017BAC"/>
    <w:rsid w:val="00017E65"/>
    <w:rsid w:val="00020125"/>
    <w:rsid w:val="00020242"/>
    <w:rsid w:val="00020319"/>
    <w:rsid w:val="00020B64"/>
    <w:rsid w:val="00020C0E"/>
    <w:rsid w:val="00020EAF"/>
    <w:rsid w:val="00020F24"/>
    <w:rsid w:val="00020FB5"/>
    <w:rsid w:val="00020FC4"/>
    <w:rsid w:val="00021082"/>
    <w:rsid w:val="000217AE"/>
    <w:rsid w:val="000218F9"/>
    <w:rsid w:val="00022506"/>
    <w:rsid w:val="00022653"/>
    <w:rsid w:val="0002267E"/>
    <w:rsid w:val="000229BF"/>
    <w:rsid w:val="00023C44"/>
    <w:rsid w:val="000242DF"/>
    <w:rsid w:val="00024841"/>
    <w:rsid w:val="00025127"/>
    <w:rsid w:val="000252B9"/>
    <w:rsid w:val="00025B1D"/>
    <w:rsid w:val="00025DAD"/>
    <w:rsid w:val="00025FD9"/>
    <w:rsid w:val="00026541"/>
    <w:rsid w:val="00026779"/>
    <w:rsid w:val="00027678"/>
    <w:rsid w:val="0002776D"/>
    <w:rsid w:val="00027BF8"/>
    <w:rsid w:val="0003244B"/>
    <w:rsid w:val="0003345A"/>
    <w:rsid w:val="0003387F"/>
    <w:rsid w:val="0003388D"/>
    <w:rsid w:val="00033A3A"/>
    <w:rsid w:val="00034556"/>
    <w:rsid w:val="000349F5"/>
    <w:rsid w:val="0003639D"/>
    <w:rsid w:val="00037166"/>
    <w:rsid w:val="0003730C"/>
    <w:rsid w:val="00037B85"/>
    <w:rsid w:val="00040C76"/>
    <w:rsid w:val="000413BB"/>
    <w:rsid w:val="0004183E"/>
    <w:rsid w:val="00042A5D"/>
    <w:rsid w:val="000431B4"/>
    <w:rsid w:val="000436D7"/>
    <w:rsid w:val="00043ED8"/>
    <w:rsid w:val="0004656D"/>
    <w:rsid w:val="00050213"/>
    <w:rsid w:val="0005133C"/>
    <w:rsid w:val="00052791"/>
    <w:rsid w:val="00053433"/>
    <w:rsid w:val="00054029"/>
    <w:rsid w:val="00055768"/>
    <w:rsid w:val="00055EE1"/>
    <w:rsid w:val="000561FE"/>
    <w:rsid w:val="000562D4"/>
    <w:rsid w:val="000569D2"/>
    <w:rsid w:val="000577A1"/>
    <w:rsid w:val="00057BA5"/>
    <w:rsid w:val="000615D6"/>
    <w:rsid w:val="000619F7"/>
    <w:rsid w:val="00061A1C"/>
    <w:rsid w:val="00061B8B"/>
    <w:rsid w:val="00061EE9"/>
    <w:rsid w:val="00062875"/>
    <w:rsid w:val="00063F7B"/>
    <w:rsid w:val="00064347"/>
    <w:rsid w:val="000646D9"/>
    <w:rsid w:val="00064CC0"/>
    <w:rsid w:val="00064D62"/>
    <w:rsid w:val="00067216"/>
    <w:rsid w:val="0006772C"/>
    <w:rsid w:val="00070155"/>
    <w:rsid w:val="000705C7"/>
    <w:rsid w:val="0007071E"/>
    <w:rsid w:val="0007143D"/>
    <w:rsid w:val="00071970"/>
    <w:rsid w:val="00072343"/>
    <w:rsid w:val="00072368"/>
    <w:rsid w:val="00072F15"/>
    <w:rsid w:val="00073310"/>
    <w:rsid w:val="00074BC8"/>
    <w:rsid w:val="00075530"/>
    <w:rsid w:val="00076CF4"/>
    <w:rsid w:val="000818AD"/>
    <w:rsid w:val="00083361"/>
    <w:rsid w:val="00083973"/>
    <w:rsid w:val="00083E3B"/>
    <w:rsid w:val="00083E7A"/>
    <w:rsid w:val="00084993"/>
    <w:rsid w:val="00084C77"/>
    <w:rsid w:val="00084E0D"/>
    <w:rsid w:val="00085FB6"/>
    <w:rsid w:val="00087F23"/>
    <w:rsid w:val="00087F60"/>
    <w:rsid w:val="00090852"/>
    <w:rsid w:val="000908D4"/>
    <w:rsid w:val="00090AA8"/>
    <w:rsid w:val="00090BFF"/>
    <w:rsid w:val="000918CB"/>
    <w:rsid w:val="000923AF"/>
    <w:rsid w:val="00093148"/>
    <w:rsid w:val="00093B68"/>
    <w:rsid w:val="00093ED0"/>
    <w:rsid w:val="00094A8C"/>
    <w:rsid w:val="00095C85"/>
    <w:rsid w:val="00095C98"/>
    <w:rsid w:val="000964F5"/>
    <w:rsid w:val="00097179"/>
    <w:rsid w:val="000974D9"/>
    <w:rsid w:val="000A0191"/>
    <w:rsid w:val="000A133B"/>
    <w:rsid w:val="000A1BD5"/>
    <w:rsid w:val="000A1D70"/>
    <w:rsid w:val="000A349C"/>
    <w:rsid w:val="000A4101"/>
    <w:rsid w:val="000A5C20"/>
    <w:rsid w:val="000A5D4A"/>
    <w:rsid w:val="000A67A9"/>
    <w:rsid w:val="000A7301"/>
    <w:rsid w:val="000B073C"/>
    <w:rsid w:val="000B0C9B"/>
    <w:rsid w:val="000B1022"/>
    <w:rsid w:val="000B14A0"/>
    <w:rsid w:val="000B236E"/>
    <w:rsid w:val="000B2672"/>
    <w:rsid w:val="000B2A9E"/>
    <w:rsid w:val="000B2C52"/>
    <w:rsid w:val="000B2F16"/>
    <w:rsid w:val="000B3FAC"/>
    <w:rsid w:val="000B4143"/>
    <w:rsid w:val="000B44EA"/>
    <w:rsid w:val="000B5F0B"/>
    <w:rsid w:val="000B6079"/>
    <w:rsid w:val="000B74E2"/>
    <w:rsid w:val="000B7727"/>
    <w:rsid w:val="000C019A"/>
    <w:rsid w:val="000C01DB"/>
    <w:rsid w:val="000C08AA"/>
    <w:rsid w:val="000C0C71"/>
    <w:rsid w:val="000C0CE6"/>
    <w:rsid w:val="000C0DF1"/>
    <w:rsid w:val="000C2046"/>
    <w:rsid w:val="000C2C79"/>
    <w:rsid w:val="000C3392"/>
    <w:rsid w:val="000C3924"/>
    <w:rsid w:val="000C3AAB"/>
    <w:rsid w:val="000C3B94"/>
    <w:rsid w:val="000C47D5"/>
    <w:rsid w:val="000C4D08"/>
    <w:rsid w:val="000C4FD9"/>
    <w:rsid w:val="000C50AA"/>
    <w:rsid w:val="000C56E1"/>
    <w:rsid w:val="000C5CB3"/>
    <w:rsid w:val="000C6FC6"/>
    <w:rsid w:val="000C77A2"/>
    <w:rsid w:val="000C795D"/>
    <w:rsid w:val="000C7E16"/>
    <w:rsid w:val="000D001F"/>
    <w:rsid w:val="000D0822"/>
    <w:rsid w:val="000D1026"/>
    <w:rsid w:val="000D1258"/>
    <w:rsid w:val="000D1396"/>
    <w:rsid w:val="000D181F"/>
    <w:rsid w:val="000D4197"/>
    <w:rsid w:val="000D41DB"/>
    <w:rsid w:val="000D4F61"/>
    <w:rsid w:val="000D5A10"/>
    <w:rsid w:val="000D5C74"/>
    <w:rsid w:val="000D61DC"/>
    <w:rsid w:val="000D64A0"/>
    <w:rsid w:val="000D6520"/>
    <w:rsid w:val="000D66BA"/>
    <w:rsid w:val="000D726F"/>
    <w:rsid w:val="000E004D"/>
    <w:rsid w:val="000E0307"/>
    <w:rsid w:val="000E072F"/>
    <w:rsid w:val="000E1026"/>
    <w:rsid w:val="000E1C50"/>
    <w:rsid w:val="000E1CC5"/>
    <w:rsid w:val="000E2457"/>
    <w:rsid w:val="000E3A13"/>
    <w:rsid w:val="000E561A"/>
    <w:rsid w:val="000E6080"/>
    <w:rsid w:val="000E643F"/>
    <w:rsid w:val="000E7650"/>
    <w:rsid w:val="000F11DD"/>
    <w:rsid w:val="000F1393"/>
    <w:rsid w:val="000F1A1C"/>
    <w:rsid w:val="000F1E4F"/>
    <w:rsid w:val="000F20A6"/>
    <w:rsid w:val="000F27EC"/>
    <w:rsid w:val="000F2A73"/>
    <w:rsid w:val="000F317A"/>
    <w:rsid w:val="000F36F2"/>
    <w:rsid w:val="000F3AD4"/>
    <w:rsid w:val="000F4010"/>
    <w:rsid w:val="000F4046"/>
    <w:rsid w:val="000F481F"/>
    <w:rsid w:val="000F4A71"/>
    <w:rsid w:val="000F5895"/>
    <w:rsid w:val="000F7D93"/>
    <w:rsid w:val="000F7E6A"/>
    <w:rsid w:val="00101493"/>
    <w:rsid w:val="00101E0C"/>
    <w:rsid w:val="001027B5"/>
    <w:rsid w:val="00102A8F"/>
    <w:rsid w:val="00102C1C"/>
    <w:rsid w:val="00103564"/>
    <w:rsid w:val="001058B5"/>
    <w:rsid w:val="00105EDA"/>
    <w:rsid w:val="00107B23"/>
    <w:rsid w:val="0011029F"/>
    <w:rsid w:val="00110742"/>
    <w:rsid w:val="00110BAD"/>
    <w:rsid w:val="00111766"/>
    <w:rsid w:val="00112200"/>
    <w:rsid w:val="00112521"/>
    <w:rsid w:val="00112627"/>
    <w:rsid w:val="00112A70"/>
    <w:rsid w:val="0011380E"/>
    <w:rsid w:val="0011581E"/>
    <w:rsid w:val="00115BCD"/>
    <w:rsid w:val="00115E87"/>
    <w:rsid w:val="00116129"/>
    <w:rsid w:val="00116145"/>
    <w:rsid w:val="0011656B"/>
    <w:rsid w:val="0011688E"/>
    <w:rsid w:val="00116DA0"/>
    <w:rsid w:val="001174AF"/>
    <w:rsid w:val="001179A7"/>
    <w:rsid w:val="00117EBA"/>
    <w:rsid w:val="00120376"/>
    <w:rsid w:val="001209E1"/>
    <w:rsid w:val="00121F8C"/>
    <w:rsid w:val="0012260A"/>
    <w:rsid w:val="0012293C"/>
    <w:rsid w:val="00123203"/>
    <w:rsid w:val="0012342B"/>
    <w:rsid w:val="00123AC4"/>
    <w:rsid w:val="001245B7"/>
    <w:rsid w:val="001263C0"/>
    <w:rsid w:val="00126AC6"/>
    <w:rsid w:val="0013021D"/>
    <w:rsid w:val="00130867"/>
    <w:rsid w:val="00130FAF"/>
    <w:rsid w:val="00131D93"/>
    <w:rsid w:val="0013224F"/>
    <w:rsid w:val="0013339C"/>
    <w:rsid w:val="00133F4E"/>
    <w:rsid w:val="00134534"/>
    <w:rsid w:val="001347AF"/>
    <w:rsid w:val="00135F11"/>
    <w:rsid w:val="00136EAB"/>
    <w:rsid w:val="00137406"/>
    <w:rsid w:val="0014003B"/>
    <w:rsid w:val="00140D79"/>
    <w:rsid w:val="001423E0"/>
    <w:rsid w:val="00142518"/>
    <w:rsid w:val="0014271A"/>
    <w:rsid w:val="001433B2"/>
    <w:rsid w:val="001433C9"/>
    <w:rsid w:val="001435C1"/>
    <w:rsid w:val="00144E44"/>
    <w:rsid w:val="0014558F"/>
    <w:rsid w:val="00145CDF"/>
    <w:rsid w:val="00145DD6"/>
    <w:rsid w:val="00145EB6"/>
    <w:rsid w:val="00146038"/>
    <w:rsid w:val="00146B7B"/>
    <w:rsid w:val="00147458"/>
    <w:rsid w:val="00150C05"/>
    <w:rsid w:val="00150D0D"/>
    <w:rsid w:val="001510BB"/>
    <w:rsid w:val="001513CF"/>
    <w:rsid w:val="00152146"/>
    <w:rsid w:val="00152492"/>
    <w:rsid w:val="00152CF9"/>
    <w:rsid w:val="0015407B"/>
    <w:rsid w:val="00154DE4"/>
    <w:rsid w:val="0015628B"/>
    <w:rsid w:val="0015632C"/>
    <w:rsid w:val="00156872"/>
    <w:rsid w:val="00157B5C"/>
    <w:rsid w:val="001603CC"/>
    <w:rsid w:val="00160D68"/>
    <w:rsid w:val="00162748"/>
    <w:rsid w:val="001633DA"/>
    <w:rsid w:val="001633E0"/>
    <w:rsid w:val="00164F10"/>
    <w:rsid w:val="001666CC"/>
    <w:rsid w:val="001669FD"/>
    <w:rsid w:val="0016714D"/>
    <w:rsid w:val="00167DA7"/>
    <w:rsid w:val="0017079A"/>
    <w:rsid w:val="00170A77"/>
    <w:rsid w:val="0017190D"/>
    <w:rsid w:val="0017227E"/>
    <w:rsid w:val="0017236D"/>
    <w:rsid w:val="00172552"/>
    <w:rsid w:val="001726A4"/>
    <w:rsid w:val="00172B81"/>
    <w:rsid w:val="00174469"/>
    <w:rsid w:val="00174D43"/>
    <w:rsid w:val="00174F79"/>
    <w:rsid w:val="00175C94"/>
    <w:rsid w:val="001763A8"/>
    <w:rsid w:val="00176560"/>
    <w:rsid w:val="001768A4"/>
    <w:rsid w:val="00177679"/>
    <w:rsid w:val="001779B4"/>
    <w:rsid w:val="00177E0B"/>
    <w:rsid w:val="00177F87"/>
    <w:rsid w:val="001802FF"/>
    <w:rsid w:val="001808CB"/>
    <w:rsid w:val="00180C26"/>
    <w:rsid w:val="00180F3B"/>
    <w:rsid w:val="00181136"/>
    <w:rsid w:val="001821EF"/>
    <w:rsid w:val="00182851"/>
    <w:rsid w:val="00183722"/>
    <w:rsid w:val="00183FC7"/>
    <w:rsid w:val="0018416F"/>
    <w:rsid w:val="0018436B"/>
    <w:rsid w:val="001860A7"/>
    <w:rsid w:val="001864C3"/>
    <w:rsid w:val="0018717A"/>
    <w:rsid w:val="00190A4A"/>
    <w:rsid w:val="001916BC"/>
    <w:rsid w:val="0019177C"/>
    <w:rsid w:val="0019199D"/>
    <w:rsid w:val="00191A1B"/>
    <w:rsid w:val="00191E5D"/>
    <w:rsid w:val="00192411"/>
    <w:rsid w:val="00192808"/>
    <w:rsid w:val="00193598"/>
    <w:rsid w:val="00193DD5"/>
    <w:rsid w:val="0019504C"/>
    <w:rsid w:val="00195962"/>
    <w:rsid w:val="00195B4B"/>
    <w:rsid w:val="00195F2C"/>
    <w:rsid w:val="001963C2"/>
    <w:rsid w:val="001969AF"/>
    <w:rsid w:val="001A1396"/>
    <w:rsid w:val="001A18DF"/>
    <w:rsid w:val="001A1E20"/>
    <w:rsid w:val="001A2F20"/>
    <w:rsid w:val="001A4B9D"/>
    <w:rsid w:val="001A503C"/>
    <w:rsid w:val="001A53A7"/>
    <w:rsid w:val="001A5D58"/>
    <w:rsid w:val="001A5D91"/>
    <w:rsid w:val="001A6673"/>
    <w:rsid w:val="001B014D"/>
    <w:rsid w:val="001B0999"/>
    <w:rsid w:val="001B17D3"/>
    <w:rsid w:val="001B1AFB"/>
    <w:rsid w:val="001B1B66"/>
    <w:rsid w:val="001B1B68"/>
    <w:rsid w:val="001B1CEF"/>
    <w:rsid w:val="001B1D27"/>
    <w:rsid w:val="001B1DC1"/>
    <w:rsid w:val="001B2D2A"/>
    <w:rsid w:val="001B3B3A"/>
    <w:rsid w:val="001B3E35"/>
    <w:rsid w:val="001B3F67"/>
    <w:rsid w:val="001B586D"/>
    <w:rsid w:val="001B59FF"/>
    <w:rsid w:val="001B5FAE"/>
    <w:rsid w:val="001B6079"/>
    <w:rsid w:val="001B6E2E"/>
    <w:rsid w:val="001B7226"/>
    <w:rsid w:val="001C0E10"/>
    <w:rsid w:val="001C0E15"/>
    <w:rsid w:val="001C1371"/>
    <w:rsid w:val="001C1617"/>
    <w:rsid w:val="001C16A2"/>
    <w:rsid w:val="001C248F"/>
    <w:rsid w:val="001C2664"/>
    <w:rsid w:val="001C2BA5"/>
    <w:rsid w:val="001C2EE7"/>
    <w:rsid w:val="001C386B"/>
    <w:rsid w:val="001C38FE"/>
    <w:rsid w:val="001C3AA3"/>
    <w:rsid w:val="001C3CB2"/>
    <w:rsid w:val="001C5705"/>
    <w:rsid w:val="001C58B7"/>
    <w:rsid w:val="001C5D74"/>
    <w:rsid w:val="001C5D8D"/>
    <w:rsid w:val="001C65F2"/>
    <w:rsid w:val="001C6980"/>
    <w:rsid w:val="001C7B00"/>
    <w:rsid w:val="001C7B82"/>
    <w:rsid w:val="001C7E4A"/>
    <w:rsid w:val="001D0B2F"/>
    <w:rsid w:val="001D0BDC"/>
    <w:rsid w:val="001D0D25"/>
    <w:rsid w:val="001D20DD"/>
    <w:rsid w:val="001D22E8"/>
    <w:rsid w:val="001D322F"/>
    <w:rsid w:val="001D3873"/>
    <w:rsid w:val="001D4A10"/>
    <w:rsid w:val="001D5948"/>
    <w:rsid w:val="001D5B4E"/>
    <w:rsid w:val="001D5DC9"/>
    <w:rsid w:val="001D70DF"/>
    <w:rsid w:val="001E03B2"/>
    <w:rsid w:val="001E03ED"/>
    <w:rsid w:val="001E07A1"/>
    <w:rsid w:val="001E07C0"/>
    <w:rsid w:val="001E1878"/>
    <w:rsid w:val="001E1CA5"/>
    <w:rsid w:val="001E210D"/>
    <w:rsid w:val="001E283F"/>
    <w:rsid w:val="001E28F9"/>
    <w:rsid w:val="001E39F7"/>
    <w:rsid w:val="001E3CE5"/>
    <w:rsid w:val="001E4F9A"/>
    <w:rsid w:val="001E5B5D"/>
    <w:rsid w:val="001E6142"/>
    <w:rsid w:val="001E6545"/>
    <w:rsid w:val="001E6910"/>
    <w:rsid w:val="001E76E9"/>
    <w:rsid w:val="001E7BD1"/>
    <w:rsid w:val="001F070E"/>
    <w:rsid w:val="001F0B8E"/>
    <w:rsid w:val="001F168E"/>
    <w:rsid w:val="001F170B"/>
    <w:rsid w:val="001F2158"/>
    <w:rsid w:val="001F3473"/>
    <w:rsid w:val="001F42FC"/>
    <w:rsid w:val="001F4443"/>
    <w:rsid w:val="001F475D"/>
    <w:rsid w:val="001F49B0"/>
    <w:rsid w:val="001F67E8"/>
    <w:rsid w:val="001F71E1"/>
    <w:rsid w:val="001F7842"/>
    <w:rsid w:val="001F7D4D"/>
    <w:rsid w:val="002002A7"/>
    <w:rsid w:val="002005B8"/>
    <w:rsid w:val="002005DF"/>
    <w:rsid w:val="00200DC5"/>
    <w:rsid w:val="0020289C"/>
    <w:rsid w:val="00202A81"/>
    <w:rsid w:val="0020326D"/>
    <w:rsid w:val="002037E2"/>
    <w:rsid w:val="00203DD9"/>
    <w:rsid w:val="0020403C"/>
    <w:rsid w:val="0020425B"/>
    <w:rsid w:val="002046B4"/>
    <w:rsid w:val="00204D4D"/>
    <w:rsid w:val="002061F0"/>
    <w:rsid w:val="00206DFF"/>
    <w:rsid w:val="00207AE6"/>
    <w:rsid w:val="00210480"/>
    <w:rsid w:val="00210748"/>
    <w:rsid w:val="00210A68"/>
    <w:rsid w:val="00210B82"/>
    <w:rsid w:val="00210BEF"/>
    <w:rsid w:val="00211AEC"/>
    <w:rsid w:val="00211B11"/>
    <w:rsid w:val="00211C67"/>
    <w:rsid w:val="002129A2"/>
    <w:rsid w:val="00213AD2"/>
    <w:rsid w:val="00213C21"/>
    <w:rsid w:val="002145C8"/>
    <w:rsid w:val="00214D95"/>
    <w:rsid w:val="00214F8C"/>
    <w:rsid w:val="00216557"/>
    <w:rsid w:val="00216A0B"/>
    <w:rsid w:val="00217838"/>
    <w:rsid w:val="0022019A"/>
    <w:rsid w:val="002202FB"/>
    <w:rsid w:val="00220A63"/>
    <w:rsid w:val="00222869"/>
    <w:rsid w:val="00222D7C"/>
    <w:rsid w:val="002254F4"/>
    <w:rsid w:val="00226AB5"/>
    <w:rsid w:val="00226C2A"/>
    <w:rsid w:val="00226FD4"/>
    <w:rsid w:val="00227C38"/>
    <w:rsid w:val="00227F30"/>
    <w:rsid w:val="0023114B"/>
    <w:rsid w:val="0023125B"/>
    <w:rsid w:val="0023158A"/>
    <w:rsid w:val="00231DE4"/>
    <w:rsid w:val="00232F7E"/>
    <w:rsid w:val="00233193"/>
    <w:rsid w:val="00233332"/>
    <w:rsid w:val="002339FA"/>
    <w:rsid w:val="00233A01"/>
    <w:rsid w:val="00234C35"/>
    <w:rsid w:val="00235A07"/>
    <w:rsid w:val="002364F3"/>
    <w:rsid w:val="002366CB"/>
    <w:rsid w:val="00236A2F"/>
    <w:rsid w:val="00236DF4"/>
    <w:rsid w:val="00237E13"/>
    <w:rsid w:val="002404FA"/>
    <w:rsid w:val="00241059"/>
    <w:rsid w:val="00241166"/>
    <w:rsid w:val="0024164C"/>
    <w:rsid w:val="00241833"/>
    <w:rsid w:val="00242236"/>
    <w:rsid w:val="00243146"/>
    <w:rsid w:val="002434A7"/>
    <w:rsid w:val="002436C9"/>
    <w:rsid w:val="002439B5"/>
    <w:rsid w:val="002447D7"/>
    <w:rsid w:val="00244888"/>
    <w:rsid w:val="002458C4"/>
    <w:rsid w:val="00245F3C"/>
    <w:rsid w:val="00252E48"/>
    <w:rsid w:val="00252FE3"/>
    <w:rsid w:val="00253218"/>
    <w:rsid w:val="00253D96"/>
    <w:rsid w:val="002551AA"/>
    <w:rsid w:val="00255468"/>
    <w:rsid w:val="002554CA"/>
    <w:rsid w:val="0025606B"/>
    <w:rsid w:val="002566C3"/>
    <w:rsid w:val="002572DA"/>
    <w:rsid w:val="00257A8C"/>
    <w:rsid w:val="00257ACD"/>
    <w:rsid w:val="00260A0D"/>
    <w:rsid w:val="00260F5F"/>
    <w:rsid w:val="00262253"/>
    <w:rsid w:val="00262513"/>
    <w:rsid w:val="00262C6F"/>
    <w:rsid w:val="00262CF4"/>
    <w:rsid w:val="0026328D"/>
    <w:rsid w:val="002634DC"/>
    <w:rsid w:val="0026357C"/>
    <w:rsid w:val="002641D2"/>
    <w:rsid w:val="00264520"/>
    <w:rsid w:val="00264652"/>
    <w:rsid w:val="00265688"/>
    <w:rsid w:val="00265A83"/>
    <w:rsid w:val="00265B12"/>
    <w:rsid w:val="002666AB"/>
    <w:rsid w:val="0026783C"/>
    <w:rsid w:val="00270040"/>
    <w:rsid w:val="00270AB2"/>
    <w:rsid w:val="00270D48"/>
    <w:rsid w:val="00270E6A"/>
    <w:rsid w:val="00271799"/>
    <w:rsid w:val="00273525"/>
    <w:rsid w:val="00273985"/>
    <w:rsid w:val="00274001"/>
    <w:rsid w:val="0027420D"/>
    <w:rsid w:val="00275225"/>
    <w:rsid w:val="002755F8"/>
    <w:rsid w:val="00275CB4"/>
    <w:rsid w:val="0027666E"/>
    <w:rsid w:val="00280563"/>
    <w:rsid w:val="002813CC"/>
    <w:rsid w:val="002815F8"/>
    <w:rsid w:val="00282830"/>
    <w:rsid w:val="002835BC"/>
    <w:rsid w:val="002837F9"/>
    <w:rsid w:val="00283DA1"/>
    <w:rsid w:val="00284434"/>
    <w:rsid w:val="002847FE"/>
    <w:rsid w:val="00285C87"/>
    <w:rsid w:val="002865F6"/>
    <w:rsid w:val="002872BD"/>
    <w:rsid w:val="00287913"/>
    <w:rsid w:val="00287ABC"/>
    <w:rsid w:val="00287D7D"/>
    <w:rsid w:val="002909B1"/>
    <w:rsid w:val="00291C9B"/>
    <w:rsid w:val="0029270C"/>
    <w:rsid w:val="00293522"/>
    <w:rsid w:val="00293B7D"/>
    <w:rsid w:val="00293F08"/>
    <w:rsid w:val="002940E0"/>
    <w:rsid w:val="002946D4"/>
    <w:rsid w:val="00294FC8"/>
    <w:rsid w:val="002960FA"/>
    <w:rsid w:val="00296D51"/>
    <w:rsid w:val="00297B2D"/>
    <w:rsid w:val="002A0162"/>
    <w:rsid w:val="002A0215"/>
    <w:rsid w:val="002A0CF1"/>
    <w:rsid w:val="002A0D1E"/>
    <w:rsid w:val="002A1A6B"/>
    <w:rsid w:val="002A1D94"/>
    <w:rsid w:val="002A35BF"/>
    <w:rsid w:val="002A3C02"/>
    <w:rsid w:val="002A3EF4"/>
    <w:rsid w:val="002A417D"/>
    <w:rsid w:val="002A46EF"/>
    <w:rsid w:val="002A5E93"/>
    <w:rsid w:val="002A7BC5"/>
    <w:rsid w:val="002B0932"/>
    <w:rsid w:val="002B118A"/>
    <w:rsid w:val="002B1277"/>
    <w:rsid w:val="002B14CF"/>
    <w:rsid w:val="002B437E"/>
    <w:rsid w:val="002B47C5"/>
    <w:rsid w:val="002B4AA5"/>
    <w:rsid w:val="002B4B08"/>
    <w:rsid w:val="002B5038"/>
    <w:rsid w:val="002B5092"/>
    <w:rsid w:val="002B542C"/>
    <w:rsid w:val="002B5FC9"/>
    <w:rsid w:val="002B7250"/>
    <w:rsid w:val="002B7423"/>
    <w:rsid w:val="002B76BB"/>
    <w:rsid w:val="002C073C"/>
    <w:rsid w:val="002C0C3A"/>
    <w:rsid w:val="002C0D9D"/>
    <w:rsid w:val="002C20F3"/>
    <w:rsid w:val="002C3248"/>
    <w:rsid w:val="002C3A04"/>
    <w:rsid w:val="002C3FB4"/>
    <w:rsid w:val="002C4E19"/>
    <w:rsid w:val="002C502E"/>
    <w:rsid w:val="002C52A6"/>
    <w:rsid w:val="002C5BBD"/>
    <w:rsid w:val="002C6698"/>
    <w:rsid w:val="002C6DFC"/>
    <w:rsid w:val="002C6E93"/>
    <w:rsid w:val="002C7C19"/>
    <w:rsid w:val="002D01E1"/>
    <w:rsid w:val="002D0304"/>
    <w:rsid w:val="002D1898"/>
    <w:rsid w:val="002D1E8F"/>
    <w:rsid w:val="002D2AB4"/>
    <w:rsid w:val="002D2D1F"/>
    <w:rsid w:val="002D2ED8"/>
    <w:rsid w:val="002D316E"/>
    <w:rsid w:val="002D32DC"/>
    <w:rsid w:val="002D3722"/>
    <w:rsid w:val="002D39AB"/>
    <w:rsid w:val="002D4603"/>
    <w:rsid w:val="002D4CCD"/>
    <w:rsid w:val="002D525F"/>
    <w:rsid w:val="002D569F"/>
    <w:rsid w:val="002D5D05"/>
    <w:rsid w:val="002D7236"/>
    <w:rsid w:val="002D7EBC"/>
    <w:rsid w:val="002D7F24"/>
    <w:rsid w:val="002E0150"/>
    <w:rsid w:val="002E03FB"/>
    <w:rsid w:val="002E06EB"/>
    <w:rsid w:val="002E07B6"/>
    <w:rsid w:val="002E14FA"/>
    <w:rsid w:val="002E1943"/>
    <w:rsid w:val="002E19A3"/>
    <w:rsid w:val="002E22C1"/>
    <w:rsid w:val="002E2A62"/>
    <w:rsid w:val="002E3EAF"/>
    <w:rsid w:val="002E49EA"/>
    <w:rsid w:val="002E5188"/>
    <w:rsid w:val="002E56A6"/>
    <w:rsid w:val="002E5C9C"/>
    <w:rsid w:val="002E6425"/>
    <w:rsid w:val="002E65ED"/>
    <w:rsid w:val="002E69A2"/>
    <w:rsid w:val="002F075E"/>
    <w:rsid w:val="002F0D35"/>
    <w:rsid w:val="002F1D19"/>
    <w:rsid w:val="002F204C"/>
    <w:rsid w:val="002F22B4"/>
    <w:rsid w:val="002F2F30"/>
    <w:rsid w:val="002F309B"/>
    <w:rsid w:val="002F3751"/>
    <w:rsid w:val="002F4A04"/>
    <w:rsid w:val="002F516B"/>
    <w:rsid w:val="002F530C"/>
    <w:rsid w:val="002F6A19"/>
    <w:rsid w:val="002F6B07"/>
    <w:rsid w:val="002F6ED6"/>
    <w:rsid w:val="002F7335"/>
    <w:rsid w:val="002F78D9"/>
    <w:rsid w:val="003002CE"/>
    <w:rsid w:val="00300523"/>
    <w:rsid w:val="00300608"/>
    <w:rsid w:val="003007E2"/>
    <w:rsid w:val="00300E5B"/>
    <w:rsid w:val="003011CA"/>
    <w:rsid w:val="003012E8"/>
    <w:rsid w:val="003015B9"/>
    <w:rsid w:val="00301BD1"/>
    <w:rsid w:val="00301DBB"/>
    <w:rsid w:val="0030348D"/>
    <w:rsid w:val="00304297"/>
    <w:rsid w:val="003048DC"/>
    <w:rsid w:val="003055CD"/>
    <w:rsid w:val="00305CD6"/>
    <w:rsid w:val="00306048"/>
    <w:rsid w:val="00306665"/>
    <w:rsid w:val="00306ECE"/>
    <w:rsid w:val="0030785F"/>
    <w:rsid w:val="00310227"/>
    <w:rsid w:val="003106A7"/>
    <w:rsid w:val="00310819"/>
    <w:rsid w:val="00311E1A"/>
    <w:rsid w:val="0031263D"/>
    <w:rsid w:val="00313465"/>
    <w:rsid w:val="00313BAE"/>
    <w:rsid w:val="00313DD9"/>
    <w:rsid w:val="0031443E"/>
    <w:rsid w:val="003163DF"/>
    <w:rsid w:val="00316A1F"/>
    <w:rsid w:val="00317546"/>
    <w:rsid w:val="00317A79"/>
    <w:rsid w:val="00321356"/>
    <w:rsid w:val="003222A3"/>
    <w:rsid w:val="00322D4C"/>
    <w:rsid w:val="00323E94"/>
    <w:rsid w:val="0032495F"/>
    <w:rsid w:val="00326230"/>
    <w:rsid w:val="00326B5F"/>
    <w:rsid w:val="003274E8"/>
    <w:rsid w:val="003277DA"/>
    <w:rsid w:val="00327885"/>
    <w:rsid w:val="00327929"/>
    <w:rsid w:val="00327EA5"/>
    <w:rsid w:val="00330053"/>
    <w:rsid w:val="003308EE"/>
    <w:rsid w:val="0033100F"/>
    <w:rsid w:val="0033107A"/>
    <w:rsid w:val="003330D7"/>
    <w:rsid w:val="00333672"/>
    <w:rsid w:val="00333B10"/>
    <w:rsid w:val="00334158"/>
    <w:rsid w:val="00334887"/>
    <w:rsid w:val="00334959"/>
    <w:rsid w:val="00335179"/>
    <w:rsid w:val="00335F9D"/>
    <w:rsid w:val="003361E4"/>
    <w:rsid w:val="003378B6"/>
    <w:rsid w:val="00340DB6"/>
    <w:rsid w:val="00343D78"/>
    <w:rsid w:val="00344403"/>
    <w:rsid w:val="00344A76"/>
    <w:rsid w:val="0034582F"/>
    <w:rsid w:val="00346F66"/>
    <w:rsid w:val="00347787"/>
    <w:rsid w:val="00347877"/>
    <w:rsid w:val="00347906"/>
    <w:rsid w:val="00347A8D"/>
    <w:rsid w:val="003514DC"/>
    <w:rsid w:val="00351B6A"/>
    <w:rsid w:val="00351CB3"/>
    <w:rsid w:val="00351CCF"/>
    <w:rsid w:val="00352DBB"/>
    <w:rsid w:val="0035334A"/>
    <w:rsid w:val="003534E5"/>
    <w:rsid w:val="003538B7"/>
    <w:rsid w:val="003543B8"/>
    <w:rsid w:val="00354D75"/>
    <w:rsid w:val="00356EDF"/>
    <w:rsid w:val="00357B27"/>
    <w:rsid w:val="0036088E"/>
    <w:rsid w:val="003623A8"/>
    <w:rsid w:val="00363707"/>
    <w:rsid w:val="003641BB"/>
    <w:rsid w:val="00364A67"/>
    <w:rsid w:val="00364CFD"/>
    <w:rsid w:val="00364ECA"/>
    <w:rsid w:val="0036512E"/>
    <w:rsid w:val="003655D0"/>
    <w:rsid w:val="003655FE"/>
    <w:rsid w:val="0036646F"/>
    <w:rsid w:val="003670DE"/>
    <w:rsid w:val="00367D0D"/>
    <w:rsid w:val="0037147E"/>
    <w:rsid w:val="0037169B"/>
    <w:rsid w:val="00371910"/>
    <w:rsid w:val="00371A0F"/>
    <w:rsid w:val="0037209A"/>
    <w:rsid w:val="003728C1"/>
    <w:rsid w:val="00372BB4"/>
    <w:rsid w:val="00373214"/>
    <w:rsid w:val="00373358"/>
    <w:rsid w:val="003735AB"/>
    <w:rsid w:val="00373936"/>
    <w:rsid w:val="00376555"/>
    <w:rsid w:val="00376585"/>
    <w:rsid w:val="00377569"/>
    <w:rsid w:val="0037756A"/>
    <w:rsid w:val="00377B3E"/>
    <w:rsid w:val="00380396"/>
    <w:rsid w:val="0038084B"/>
    <w:rsid w:val="003837D0"/>
    <w:rsid w:val="00383FF8"/>
    <w:rsid w:val="003849AB"/>
    <w:rsid w:val="0038593E"/>
    <w:rsid w:val="00385FA5"/>
    <w:rsid w:val="003871C1"/>
    <w:rsid w:val="00387444"/>
    <w:rsid w:val="003875CF"/>
    <w:rsid w:val="00387645"/>
    <w:rsid w:val="00387B6A"/>
    <w:rsid w:val="00387BD6"/>
    <w:rsid w:val="00390733"/>
    <w:rsid w:val="00390F4F"/>
    <w:rsid w:val="00391CBD"/>
    <w:rsid w:val="00392402"/>
    <w:rsid w:val="00392786"/>
    <w:rsid w:val="00392A76"/>
    <w:rsid w:val="00392B14"/>
    <w:rsid w:val="00392C94"/>
    <w:rsid w:val="00395AFA"/>
    <w:rsid w:val="003960F5"/>
    <w:rsid w:val="00397595"/>
    <w:rsid w:val="00397BB1"/>
    <w:rsid w:val="00397F47"/>
    <w:rsid w:val="003A04B6"/>
    <w:rsid w:val="003A16CD"/>
    <w:rsid w:val="003A17AA"/>
    <w:rsid w:val="003A1D05"/>
    <w:rsid w:val="003A2389"/>
    <w:rsid w:val="003A319B"/>
    <w:rsid w:val="003A3703"/>
    <w:rsid w:val="003A398D"/>
    <w:rsid w:val="003A3B21"/>
    <w:rsid w:val="003A4307"/>
    <w:rsid w:val="003A48F0"/>
    <w:rsid w:val="003A5F5D"/>
    <w:rsid w:val="003A6787"/>
    <w:rsid w:val="003A77C6"/>
    <w:rsid w:val="003B1940"/>
    <w:rsid w:val="003B1E3B"/>
    <w:rsid w:val="003B2E79"/>
    <w:rsid w:val="003B3C83"/>
    <w:rsid w:val="003B43E8"/>
    <w:rsid w:val="003B44F3"/>
    <w:rsid w:val="003B4597"/>
    <w:rsid w:val="003B51A2"/>
    <w:rsid w:val="003B5AF2"/>
    <w:rsid w:val="003B6774"/>
    <w:rsid w:val="003B6A06"/>
    <w:rsid w:val="003B6F03"/>
    <w:rsid w:val="003B76D6"/>
    <w:rsid w:val="003C0979"/>
    <w:rsid w:val="003C119C"/>
    <w:rsid w:val="003C1F6C"/>
    <w:rsid w:val="003C203D"/>
    <w:rsid w:val="003C34DB"/>
    <w:rsid w:val="003C443B"/>
    <w:rsid w:val="003C4932"/>
    <w:rsid w:val="003C4951"/>
    <w:rsid w:val="003C4E3B"/>
    <w:rsid w:val="003C592B"/>
    <w:rsid w:val="003C5A33"/>
    <w:rsid w:val="003C5D27"/>
    <w:rsid w:val="003C68B9"/>
    <w:rsid w:val="003C7F6E"/>
    <w:rsid w:val="003D09ED"/>
    <w:rsid w:val="003D13B5"/>
    <w:rsid w:val="003D14C6"/>
    <w:rsid w:val="003D1DAD"/>
    <w:rsid w:val="003D24ED"/>
    <w:rsid w:val="003D3379"/>
    <w:rsid w:val="003D342D"/>
    <w:rsid w:val="003D4384"/>
    <w:rsid w:val="003D4509"/>
    <w:rsid w:val="003D4A64"/>
    <w:rsid w:val="003D5087"/>
    <w:rsid w:val="003D6E55"/>
    <w:rsid w:val="003D7003"/>
    <w:rsid w:val="003D7420"/>
    <w:rsid w:val="003E16B6"/>
    <w:rsid w:val="003E1BF4"/>
    <w:rsid w:val="003E22C5"/>
    <w:rsid w:val="003E2C96"/>
    <w:rsid w:val="003E2E61"/>
    <w:rsid w:val="003E356D"/>
    <w:rsid w:val="003E3E86"/>
    <w:rsid w:val="003E4123"/>
    <w:rsid w:val="003E4C07"/>
    <w:rsid w:val="003E6708"/>
    <w:rsid w:val="003E6E40"/>
    <w:rsid w:val="003E7785"/>
    <w:rsid w:val="003E7DB0"/>
    <w:rsid w:val="003F02DD"/>
    <w:rsid w:val="003F0C18"/>
    <w:rsid w:val="003F159A"/>
    <w:rsid w:val="003F2715"/>
    <w:rsid w:val="003F2CBB"/>
    <w:rsid w:val="003F3556"/>
    <w:rsid w:val="003F3A01"/>
    <w:rsid w:val="003F3BE9"/>
    <w:rsid w:val="003F4995"/>
    <w:rsid w:val="003F4B9B"/>
    <w:rsid w:val="003F7C12"/>
    <w:rsid w:val="0040000A"/>
    <w:rsid w:val="00400136"/>
    <w:rsid w:val="004008A8"/>
    <w:rsid w:val="004016EC"/>
    <w:rsid w:val="004025EB"/>
    <w:rsid w:val="00402F18"/>
    <w:rsid w:val="00402FB9"/>
    <w:rsid w:val="004031F3"/>
    <w:rsid w:val="00404581"/>
    <w:rsid w:val="00404C63"/>
    <w:rsid w:val="00405ED3"/>
    <w:rsid w:val="004069BF"/>
    <w:rsid w:val="00407C7A"/>
    <w:rsid w:val="004102D3"/>
    <w:rsid w:val="0041121E"/>
    <w:rsid w:val="004119B9"/>
    <w:rsid w:val="00411DB3"/>
    <w:rsid w:val="004132E9"/>
    <w:rsid w:val="004140A1"/>
    <w:rsid w:val="00414AE1"/>
    <w:rsid w:val="00414F90"/>
    <w:rsid w:val="00415268"/>
    <w:rsid w:val="004156FF"/>
    <w:rsid w:val="0041581A"/>
    <w:rsid w:val="00415C8A"/>
    <w:rsid w:val="004167B7"/>
    <w:rsid w:val="00416B1C"/>
    <w:rsid w:val="00416C99"/>
    <w:rsid w:val="00417C05"/>
    <w:rsid w:val="00417CE5"/>
    <w:rsid w:val="0042000A"/>
    <w:rsid w:val="00421C45"/>
    <w:rsid w:val="00421F6B"/>
    <w:rsid w:val="004221AE"/>
    <w:rsid w:val="00422324"/>
    <w:rsid w:val="00423037"/>
    <w:rsid w:val="0042354C"/>
    <w:rsid w:val="00423E82"/>
    <w:rsid w:val="0042462F"/>
    <w:rsid w:val="00424940"/>
    <w:rsid w:val="00424FD0"/>
    <w:rsid w:val="00425431"/>
    <w:rsid w:val="00425818"/>
    <w:rsid w:val="00425D5C"/>
    <w:rsid w:val="00426C19"/>
    <w:rsid w:val="00426D26"/>
    <w:rsid w:val="0042724B"/>
    <w:rsid w:val="004276F2"/>
    <w:rsid w:val="00427DF3"/>
    <w:rsid w:val="004305D8"/>
    <w:rsid w:val="004307F5"/>
    <w:rsid w:val="004312AC"/>
    <w:rsid w:val="00431E92"/>
    <w:rsid w:val="00432E1B"/>
    <w:rsid w:val="0043391A"/>
    <w:rsid w:val="00433D60"/>
    <w:rsid w:val="00435038"/>
    <w:rsid w:val="004355A6"/>
    <w:rsid w:val="00435832"/>
    <w:rsid w:val="00435837"/>
    <w:rsid w:val="00437C4B"/>
    <w:rsid w:val="0044178A"/>
    <w:rsid w:val="004418C6"/>
    <w:rsid w:val="004429F1"/>
    <w:rsid w:val="004430A6"/>
    <w:rsid w:val="0044348D"/>
    <w:rsid w:val="00446938"/>
    <w:rsid w:val="00447C1B"/>
    <w:rsid w:val="00450400"/>
    <w:rsid w:val="0045132A"/>
    <w:rsid w:val="004517E5"/>
    <w:rsid w:val="00451EE5"/>
    <w:rsid w:val="004525F8"/>
    <w:rsid w:val="004531D8"/>
    <w:rsid w:val="00453892"/>
    <w:rsid w:val="004539EA"/>
    <w:rsid w:val="00453F5E"/>
    <w:rsid w:val="004541C5"/>
    <w:rsid w:val="00454331"/>
    <w:rsid w:val="00454DFE"/>
    <w:rsid w:val="00455057"/>
    <w:rsid w:val="004558FA"/>
    <w:rsid w:val="004562E5"/>
    <w:rsid w:val="004567C9"/>
    <w:rsid w:val="00456A77"/>
    <w:rsid w:val="004574CF"/>
    <w:rsid w:val="004608A8"/>
    <w:rsid w:val="00461BD6"/>
    <w:rsid w:val="00461ED6"/>
    <w:rsid w:val="00461FF0"/>
    <w:rsid w:val="0046309F"/>
    <w:rsid w:val="004631AE"/>
    <w:rsid w:val="004633B9"/>
    <w:rsid w:val="004640B6"/>
    <w:rsid w:val="004641CD"/>
    <w:rsid w:val="004643EE"/>
    <w:rsid w:val="00464610"/>
    <w:rsid w:val="00465660"/>
    <w:rsid w:val="00466424"/>
    <w:rsid w:val="00466929"/>
    <w:rsid w:val="00466995"/>
    <w:rsid w:val="00467093"/>
    <w:rsid w:val="004675B6"/>
    <w:rsid w:val="0046763E"/>
    <w:rsid w:val="00470231"/>
    <w:rsid w:val="0047072A"/>
    <w:rsid w:val="00470FCA"/>
    <w:rsid w:val="00471B9A"/>
    <w:rsid w:val="00472219"/>
    <w:rsid w:val="00472334"/>
    <w:rsid w:val="00472394"/>
    <w:rsid w:val="00472CF0"/>
    <w:rsid w:val="00472D79"/>
    <w:rsid w:val="004734A3"/>
    <w:rsid w:val="004735EA"/>
    <w:rsid w:val="0047470D"/>
    <w:rsid w:val="00474E80"/>
    <w:rsid w:val="004757B0"/>
    <w:rsid w:val="00475D6B"/>
    <w:rsid w:val="0047630D"/>
    <w:rsid w:val="004763C8"/>
    <w:rsid w:val="004777D1"/>
    <w:rsid w:val="00477CC7"/>
    <w:rsid w:val="004803A0"/>
    <w:rsid w:val="00480BA5"/>
    <w:rsid w:val="00481315"/>
    <w:rsid w:val="00481825"/>
    <w:rsid w:val="004818DF"/>
    <w:rsid w:val="0048239A"/>
    <w:rsid w:val="004824B1"/>
    <w:rsid w:val="00482A0C"/>
    <w:rsid w:val="004839AD"/>
    <w:rsid w:val="0048610A"/>
    <w:rsid w:val="00486C78"/>
    <w:rsid w:val="0049006A"/>
    <w:rsid w:val="00491270"/>
    <w:rsid w:val="00491979"/>
    <w:rsid w:val="004925C8"/>
    <w:rsid w:val="00492EBA"/>
    <w:rsid w:val="004932CA"/>
    <w:rsid w:val="00493586"/>
    <w:rsid w:val="00493658"/>
    <w:rsid w:val="004954D9"/>
    <w:rsid w:val="00495638"/>
    <w:rsid w:val="004956ED"/>
    <w:rsid w:val="00496391"/>
    <w:rsid w:val="004969F7"/>
    <w:rsid w:val="00496A0A"/>
    <w:rsid w:val="0049707A"/>
    <w:rsid w:val="00497391"/>
    <w:rsid w:val="004973DD"/>
    <w:rsid w:val="00497711"/>
    <w:rsid w:val="004A0112"/>
    <w:rsid w:val="004A0C84"/>
    <w:rsid w:val="004A11E0"/>
    <w:rsid w:val="004A14DE"/>
    <w:rsid w:val="004A1533"/>
    <w:rsid w:val="004A2D9D"/>
    <w:rsid w:val="004A2E63"/>
    <w:rsid w:val="004A321E"/>
    <w:rsid w:val="004A3365"/>
    <w:rsid w:val="004A3A84"/>
    <w:rsid w:val="004A43A5"/>
    <w:rsid w:val="004A47F0"/>
    <w:rsid w:val="004A4D2B"/>
    <w:rsid w:val="004A50DB"/>
    <w:rsid w:val="004A5299"/>
    <w:rsid w:val="004A56BE"/>
    <w:rsid w:val="004A6B55"/>
    <w:rsid w:val="004A6B5F"/>
    <w:rsid w:val="004A7B27"/>
    <w:rsid w:val="004B16E0"/>
    <w:rsid w:val="004B1DBB"/>
    <w:rsid w:val="004B2AC2"/>
    <w:rsid w:val="004B2D9B"/>
    <w:rsid w:val="004B47D4"/>
    <w:rsid w:val="004B5273"/>
    <w:rsid w:val="004B5CA6"/>
    <w:rsid w:val="004B5D59"/>
    <w:rsid w:val="004B67E7"/>
    <w:rsid w:val="004B696F"/>
    <w:rsid w:val="004B76A1"/>
    <w:rsid w:val="004B77D4"/>
    <w:rsid w:val="004C00E5"/>
    <w:rsid w:val="004C01A4"/>
    <w:rsid w:val="004C06AD"/>
    <w:rsid w:val="004C0819"/>
    <w:rsid w:val="004C08A0"/>
    <w:rsid w:val="004C10F2"/>
    <w:rsid w:val="004C12F3"/>
    <w:rsid w:val="004C1461"/>
    <w:rsid w:val="004C149E"/>
    <w:rsid w:val="004C1C49"/>
    <w:rsid w:val="004C1D5C"/>
    <w:rsid w:val="004C2191"/>
    <w:rsid w:val="004C22F8"/>
    <w:rsid w:val="004C2911"/>
    <w:rsid w:val="004C38FF"/>
    <w:rsid w:val="004C460A"/>
    <w:rsid w:val="004C475C"/>
    <w:rsid w:val="004C506A"/>
    <w:rsid w:val="004C57F7"/>
    <w:rsid w:val="004C6DED"/>
    <w:rsid w:val="004C7386"/>
    <w:rsid w:val="004C741B"/>
    <w:rsid w:val="004C747F"/>
    <w:rsid w:val="004D1FDD"/>
    <w:rsid w:val="004D30D8"/>
    <w:rsid w:val="004D4597"/>
    <w:rsid w:val="004D4738"/>
    <w:rsid w:val="004D490E"/>
    <w:rsid w:val="004D5B91"/>
    <w:rsid w:val="004E14A9"/>
    <w:rsid w:val="004E155F"/>
    <w:rsid w:val="004E1A1C"/>
    <w:rsid w:val="004E3F6C"/>
    <w:rsid w:val="004E48A7"/>
    <w:rsid w:val="004E4B20"/>
    <w:rsid w:val="004E52E7"/>
    <w:rsid w:val="004E535A"/>
    <w:rsid w:val="004E6319"/>
    <w:rsid w:val="004E6330"/>
    <w:rsid w:val="004E660C"/>
    <w:rsid w:val="004E78F2"/>
    <w:rsid w:val="004E7BAD"/>
    <w:rsid w:val="004F0087"/>
    <w:rsid w:val="004F1111"/>
    <w:rsid w:val="004F1607"/>
    <w:rsid w:val="004F1EBA"/>
    <w:rsid w:val="004F2456"/>
    <w:rsid w:val="004F2CA8"/>
    <w:rsid w:val="004F3DA5"/>
    <w:rsid w:val="004F4D5A"/>
    <w:rsid w:val="004F5281"/>
    <w:rsid w:val="004F581D"/>
    <w:rsid w:val="004F5DCA"/>
    <w:rsid w:val="004F6899"/>
    <w:rsid w:val="004F69B7"/>
    <w:rsid w:val="004F742A"/>
    <w:rsid w:val="004F7B8E"/>
    <w:rsid w:val="004F7E85"/>
    <w:rsid w:val="00500200"/>
    <w:rsid w:val="005003F5"/>
    <w:rsid w:val="00500D36"/>
    <w:rsid w:val="005023A2"/>
    <w:rsid w:val="00502928"/>
    <w:rsid w:val="005031C9"/>
    <w:rsid w:val="005052C1"/>
    <w:rsid w:val="0050555B"/>
    <w:rsid w:val="00505A58"/>
    <w:rsid w:val="00505E87"/>
    <w:rsid w:val="00506A29"/>
    <w:rsid w:val="005071C0"/>
    <w:rsid w:val="005078C9"/>
    <w:rsid w:val="0051031D"/>
    <w:rsid w:val="005112F5"/>
    <w:rsid w:val="005113EB"/>
    <w:rsid w:val="00512965"/>
    <w:rsid w:val="00512B79"/>
    <w:rsid w:val="00513B3D"/>
    <w:rsid w:val="00513F99"/>
    <w:rsid w:val="00514B59"/>
    <w:rsid w:val="00514B73"/>
    <w:rsid w:val="00514F28"/>
    <w:rsid w:val="00515670"/>
    <w:rsid w:val="005165C0"/>
    <w:rsid w:val="005168CD"/>
    <w:rsid w:val="00516DE7"/>
    <w:rsid w:val="00517695"/>
    <w:rsid w:val="005217AC"/>
    <w:rsid w:val="00522B0A"/>
    <w:rsid w:val="00523326"/>
    <w:rsid w:val="00524069"/>
    <w:rsid w:val="005243ED"/>
    <w:rsid w:val="00524578"/>
    <w:rsid w:val="005249AD"/>
    <w:rsid w:val="00524A94"/>
    <w:rsid w:val="005251FB"/>
    <w:rsid w:val="00525683"/>
    <w:rsid w:val="00525AFC"/>
    <w:rsid w:val="005262CD"/>
    <w:rsid w:val="005263A3"/>
    <w:rsid w:val="00526E6D"/>
    <w:rsid w:val="00527D0A"/>
    <w:rsid w:val="00530096"/>
    <w:rsid w:val="00530F87"/>
    <w:rsid w:val="005311D1"/>
    <w:rsid w:val="0053243C"/>
    <w:rsid w:val="005339C5"/>
    <w:rsid w:val="00533FEB"/>
    <w:rsid w:val="00534D8E"/>
    <w:rsid w:val="00537675"/>
    <w:rsid w:val="0053788D"/>
    <w:rsid w:val="00540251"/>
    <w:rsid w:val="00540C6D"/>
    <w:rsid w:val="00540D6C"/>
    <w:rsid w:val="00541445"/>
    <w:rsid w:val="00541920"/>
    <w:rsid w:val="00541D88"/>
    <w:rsid w:val="00542807"/>
    <w:rsid w:val="00542E63"/>
    <w:rsid w:val="005434F5"/>
    <w:rsid w:val="00543FD7"/>
    <w:rsid w:val="0054545A"/>
    <w:rsid w:val="0054582E"/>
    <w:rsid w:val="00545CDF"/>
    <w:rsid w:val="0054629B"/>
    <w:rsid w:val="00546710"/>
    <w:rsid w:val="00546719"/>
    <w:rsid w:val="00547936"/>
    <w:rsid w:val="00547CAC"/>
    <w:rsid w:val="00547DCE"/>
    <w:rsid w:val="005505C6"/>
    <w:rsid w:val="005516FC"/>
    <w:rsid w:val="00552146"/>
    <w:rsid w:val="005522B8"/>
    <w:rsid w:val="0055263E"/>
    <w:rsid w:val="00553182"/>
    <w:rsid w:val="00553476"/>
    <w:rsid w:val="00553ACD"/>
    <w:rsid w:val="00554343"/>
    <w:rsid w:val="00554657"/>
    <w:rsid w:val="00554ED4"/>
    <w:rsid w:val="00555429"/>
    <w:rsid w:val="00555F87"/>
    <w:rsid w:val="005561FC"/>
    <w:rsid w:val="00557B15"/>
    <w:rsid w:val="00560615"/>
    <w:rsid w:val="0056083B"/>
    <w:rsid w:val="00561132"/>
    <w:rsid w:val="005611B5"/>
    <w:rsid w:val="0056122A"/>
    <w:rsid w:val="005613CF"/>
    <w:rsid w:val="00561901"/>
    <w:rsid w:val="005624A0"/>
    <w:rsid w:val="00562D31"/>
    <w:rsid w:val="005636D0"/>
    <w:rsid w:val="00563CB9"/>
    <w:rsid w:val="005647E3"/>
    <w:rsid w:val="005647F9"/>
    <w:rsid w:val="00564D74"/>
    <w:rsid w:val="00564F08"/>
    <w:rsid w:val="00566578"/>
    <w:rsid w:val="00566AE0"/>
    <w:rsid w:val="00566B26"/>
    <w:rsid w:val="00567329"/>
    <w:rsid w:val="00567C49"/>
    <w:rsid w:val="005702A8"/>
    <w:rsid w:val="005705B4"/>
    <w:rsid w:val="00570961"/>
    <w:rsid w:val="00571922"/>
    <w:rsid w:val="00572A3A"/>
    <w:rsid w:val="00573928"/>
    <w:rsid w:val="00573BFF"/>
    <w:rsid w:val="00573FC5"/>
    <w:rsid w:val="005741C6"/>
    <w:rsid w:val="005741C9"/>
    <w:rsid w:val="005742DF"/>
    <w:rsid w:val="0057431D"/>
    <w:rsid w:val="00576134"/>
    <w:rsid w:val="0057752D"/>
    <w:rsid w:val="00577B7D"/>
    <w:rsid w:val="005803C7"/>
    <w:rsid w:val="00580562"/>
    <w:rsid w:val="00580D76"/>
    <w:rsid w:val="005830CB"/>
    <w:rsid w:val="005831DE"/>
    <w:rsid w:val="00583297"/>
    <w:rsid w:val="00584AF4"/>
    <w:rsid w:val="00584C2F"/>
    <w:rsid w:val="00584EE2"/>
    <w:rsid w:val="00585F33"/>
    <w:rsid w:val="0058637A"/>
    <w:rsid w:val="00586466"/>
    <w:rsid w:val="00590363"/>
    <w:rsid w:val="00591CA7"/>
    <w:rsid w:val="00591CD5"/>
    <w:rsid w:val="0059246D"/>
    <w:rsid w:val="005926DF"/>
    <w:rsid w:val="00592A2F"/>
    <w:rsid w:val="00592D60"/>
    <w:rsid w:val="00592DDC"/>
    <w:rsid w:val="00592E1D"/>
    <w:rsid w:val="0059343E"/>
    <w:rsid w:val="00593843"/>
    <w:rsid w:val="00593FD6"/>
    <w:rsid w:val="0059407D"/>
    <w:rsid w:val="005947CA"/>
    <w:rsid w:val="00594902"/>
    <w:rsid w:val="0059504E"/>
    <w:rsid w:val="00595195"/>
    <w:rsid w:val="005954ED"/>
    <w:rsid w:val="00595C2A"/>
    <w:rsid w:val="0059689B"/>
    <w:rsid w:val="00597CB9"/>
    <w:rsid w:val="005A0115"/>
    <w:rsid w:val="005A0BFB"/>
    <w:rsid w:val="005A1188"/>
    <w:rsid w:val="005A1610"/>
    <w:rsid w:val="005A16F3"/>
    <w:rsid w:val="005A17A8"/>
    <w:rsid w:val="005A3698"/>
    <w:rsid w:val="005A3E96"/>
    <w:rsid w:val="005A4111"/>
    <w:rsid w:val="005A4712"/>
    <w:rsid w:val="005A4F17"/>
    <w:rsid w:val="005A531A"/>
    <w:rsid w:val="005A5868"/>
    <w:rsid w:val="005A59BC"/>
    <w:rsid w:val="005A60ED"/>
    <w:rsid w:val="005A66F2"/>
    <w:rsid w:val="005A6AA6"/>
    <w:rsid w:val="005A6BF7"/>
    <w:rsid w:val="005A77E2"/>
    <w:rsid w:val="005B038D"/>
    <w:rsid w:val="005B045A"/>
    <w:rsid w:val="005B04E3"/>
    <w:rsid w:val="005B08B8"/>
    <w:rsid w:val="005B107B"/>
    <w:rsid w:val="005B11AD"/>
    <w:rsid w:val="005B15AE"/>
    <w:rsid w:val="005B1971"/>
    <w:rsid w:val="005B1A95"/>
    <w:rsid w:val="005B20D9"/>
    <w:rsid w:val="005B34D8"/>
    <w:rsid w:val="005B3E4A"/>
    <w:rsid w:val="005B3F44"/>
    <w:rsid w:val="005B44C4"/>
    <w:rsid w:val="005B5279"/>
    <w:rsid w:val="005B629E"/>
    <w:rsid w:val="005B651D"/>
    <w:rsid w:val="005B66B1"/>
    <w:rsid w:val="005B74FF"/>
    <w:rsid w:val="005B75ED"/>
    <w:rsid w:val="005B790F"/>
    <w:rsid w:val="005B7ECB"/>
    <w:rsid w:val="005C0AA4"/>
    <w:rsid w:val="005C23EA"/>
    <w:rsid w:val="005C3DEC"/>
    <w:rsid w:val="005C3EC3"/>
    <w:rsid w:val="005C43B5"/>
    <w:rsid w:val="005C4454"/>
    <w:rsid w:val="005C44A9"/>
    <w:rsid w:val="005C4C86"/>
    <w:rsid w:val="005C4CEA"/>
    <w:rsid w:val="005C5199"/>
    <w:rsid w:val="005C533A"/>
    <w:rsid w:val="005C5487"/>
    <w:rsid w:val="005C6100"/>
    <w:rsid w:val="005C6276"/>
    <w:rsid w:val="005C63CD"/>
    <w:rsid w:val="005C6DFF"/>
    <w:rsid w:val="005C7F0F"/>
    <w:rsid w:val="005D11D6"/>
    <w:rsid w:val="005D15E8"/>
    <w:rsid w:val="005D1D02"/>
    <w:rsid w:val="005D1FC9"/>
    <w:rsid w:val="005D241B"/>
    <w:rsid w:val="005D24D0"/>
    <w:rsid w:val="005D4A4E"/>
    <w:rsid w:val="005D62B9"/>
    <w:rsid w:val="005D7719"/>
    <w:rsid w:val="005D775F"/>
    <w:rsid w:val="005D7BA4"/>
    <w:rsid w:val="005D7DC2"/>
    <w:rsid w:val="005D7F19"/>
    <w:rsid w:val="005E0FD8"/>
    <w:rsid w:val="005E101D"/>
    <w:rsid w:val="005E237D"/>
    <w:rsid w:val="005E2F05"/>
    <w:rsid w:val="005E3375"/>
    <w:rsid w:val="005E34DE"/>
    <w:rsid w:val="005E3711"/>
    <w:rsid w:val="005E3A99"/>
    <w:rsid w:val="005E566D"/>
    <w:rsid w:val="005E5E2D"/>
    <w:rsid w:val="005E62BE"/>
    <w:rsid w:val="005E6E01"/>
    <w:rsid w:val="005E6E87"/>
    <w:rsid w:val="005F00E3"/>
    <w:rsid w:val="005F05DB"/>
    <w:rsid w:val="005F0F7F"/>
    <w:rsid w:val="005F145C"/>
    <w:rsid w:val="005F1958"/>
    <w:rsid w:val="005F29D6"/>
    <w:rsid w:val="005F2A96"/>
    <w:rsid w:val="005F3601"/>
    <w:rsid w:val="005F388D"/>
    <w:rsid w:val="005F389B"/>
    <w:rsid w:val="005F4671"/>
    <w:rsid w:val="005F5D9D"/>
    <w:rsid w:val="005F5EA9"/>
    <w:rsid w:val="005F68A8"/>
    <w:rsid w:val="005F6C36"/>
    <w:rsid w:val="005F77E2"/>
    <w:rsid w:val="00600906"/>
    <w:rsid w:val="00601334"/>
    <w:rsid w:val="00601BC8"/>
    <w:rsid w:val="0060209B"/>
    <w:rsid w:val="00602242"/>
    <w:rsid w:val="00602FF4"/>
    <w:rsid w:val="006046C6"/>
    <w:rsid w:val="00604AB7"/>
    <w:rsid w:val="00604BA9"/>
    <w:rsid w:val="00604F8F"/>
    <w:rsid w:val="006062BA"/>
    <w:rsid w:val="00606E96"/>
    <w:rsid w:val="00607111"/>
    <w:rsid w:val="0060730B"/>
    <w:rsid w:val="00607A65"/>
    <w:rsid w:val="006101CF"/>
    <w:rsid w:val="006115B5"/>
    <w:rsid w:val="00611E3C"/>
    <w:rsid w:val="00612172"/>
    <w:rsid w:val="006150F0"/>
    <w:rsid w:val="00615B92"/>
    <w:rsid w:val="006166A1"/>
    <w:rsid w:val="00616ACD"/>
    <w:rsid w:val="006204A0"/>
    <w:rsid w:val="00620640"/>
    <w:rsid w:val="0062076A"/>
    <w:rsid w:val="00620CE6"/>
    <w:rsid w:val="00621117"/>
    <w:rsid w:val="006215E4"/>
    <w:rsid w:val="00621D87"/>
    <w:rsid w:val="00621EEE"/>
    <w:rsid w:val="0062232B"/>
    <w:rsid w:val="0062294B"/>
    <w:rsid w:val="00622AA8"/>
    <w:rsid w:val="00622C2D"/>
    <w:rsid w:val="006230D0"/>
    <w:rsid w:val="006231F5"/>
    <w:rsid w:val="006236D1"/>
    <w:rsid w:val="006236ED"/>
    <w:rsid w:val="00623F0B"/>
    <w:rsid w:val="0062470A"/>
    <w:rsid w:val="00624D6A"/>
    <w:rsid w:val="0062534A"/>
    <w:rsid w:val="0062568F"/>
    <w:rsid w:val="006267E3"/>
    <w:rsid w:val="006267F3"/>
    <w:rsid w:val="00626810"/>
    <w:rsid w:val="00627FBA"/>
    <w:rsid w:val="006315A7"/>
    <w:rsid w:val="0063216E"/>
    <w:rsid w:val="00632319"/>
    <w:rsid w:val="0063269A"/>
    <w:rsid w:val="0063287F"/>
    <w:rsid w:val="0063315B"/>
    <w:rsid w:val="006335A0"/>
    <w:rsid w:val="006338C3"/>
    <w:rsid w:val="00633913"/>
    <w:rsid w:val="0063473E"/>
    <w:rsid w:val="00635297"/>
    <w:rsid w:val="00636285"/>
    <w:rsid w:val="0063675D"/>
    <w:rsid w:val="0063688C"/>
    <w:rsid w:val="00636BBC"/>
    <w:rsid w:val="0063700E"/>
    <w:rsid w:val="00637436"/>
    <w:rsid w:val="00637820"/>
    <w:rsid w:val="0064183F"/>
    <w:rsid w:val="00641B83"/>
    <w:rsid w:val="00642881"/>
    <w:rsid w:val="00642CED"/>
    <w:rsid w:val="00642D5D"/>
    <w:rsid w:val="00643F14"/>
    <w:rsid w:val="0064411F"/>
    <w:rsid w:val="00644E65"/>
    <w:rsid w:val="00645C24"/>
    <w:rsid w:val="00645DC6"/>
    <w:rsid w:val="006462A8"/>
    <w:rsid w:val="00646FCB"/>
    <w:rsid w:val="0064753C"/>
    <w:rsid w:val="006476B8"/>
    <w:rsid w:val="00647948"/>
    <w:rsid w:val="00647995"/>
    <w:rsid w:val="00650F78"/>
    <w:rsid w:val="006516C3"/>
    <w:rsid w:val="00652850"/>
    <w:rsid w:val="0065294E"/>
    <w:rsid w:val="00653AB1"/>
    <w:rsid w:val="00653BF5"/>
    <w:rsid w:val="00653F1D"/>
    <w:rsid w:val="0065472A"/>
    <w:rsid w:val="00654859"/>
    <w:rsid w:val="006559D3"/>
    <w:rsid w:val="00657BD7"/>
    <w:rsid w:val="00657C97"/>
    <w:rsid w:val="0066039F"/>
    <w:rsid w:val="0066113E"/>
    <w:rsid w:val="00661BC9"/>
    <w:rsid w:val="0066241D"/>
    <w:rsid w:val="00662A8A"/>
    <w:rsid w:val="0066316C"/>
    <w:rsid w:val="00664EF5"/>
    <w:rsid w:val="00665306"/>
    <w:rsid w:val="006658B6"/>
    <w:rsid w:val="00665C3F"/>
    <w:rsid w:val="00665E0A"/>
    <w:rsid w:val="00667020"/>
    <w:rsid w:val="006671C7"/>
    <w:rsid w:val="00667A5D"/>
    <w:rsid w:val="00667D17"/>
    <w:rsid w:val="006711E8"/>
    <w:rsid w:val="006712C4"/>
    <w:rsid w:val="00671331"/>
    <w:rsid w:val="006718CD"/>
    <w:rsid w:val="00673E59"/>
    <w:rsid w:val="006751D6"/>
    <w:rsid w:val="006755EC"/>
    <w:rsid w:val="00675994"/>
    <w:rsid w:val="00676438"/>
    <w:rsid w:val="006765DB"/>
    <w:rsid w:val="00676BCA"/>
    <w:rsid w:val="0067733D"/>
    <w:rsid w:val="00677E1D"/>
    <w:rsid w:val="0068025D"/>
    <w:rsid w:val="00680513"/>
    <w:rsid w:val="006806BF"/>
    <w:rsid w:val="006807D0"/>
    <w:rsid w:val="00680CCE"/>
    <w:rsid w:val="00681442"/>
    <w:rsid w:val="0068148C"/>
    <w:rsid w:val="00681C21"/>
    <w:rsid w:val="006823DE"/>
    <w:rsid w:val="00682524"/>
    <w:rsid w:val="00682934"/>
    <w:rsid w:val="006836F5"/>
    <w:rsid w:val="006847A1"/>
    <w:rsid w:val="006847BD"/>
    <w:rsid w:val="00684CB4"/>
    <w:rsid w:val="0068563F"/>
    <w:rsid w:val="0068625D"/>
    <w:rsid w:val="006867DD"/>
    <w:rsid w:val="00686D0B"/>
    <w:rsid w:val="006870D5"/>
    <w:rsid w:val="00687896"/>
    <w:rsid w:val="00687FFC"/>
    <w:rsid w:val="006901AC"/>
    <w:rsid w:val="006902AD"/>
    <w:rsid w:val="00690916"/>
    <w:rsid w:val="00690DA4"/>
    <w:rsid w:val="00691EBE"/>
    <w:rsid w:val="00692093"/>
    <w:rsid w:val="006922A8"/>
    <w:rsid w:val="00692455"/>
    <w:rsid w:val="006924D3"/>
    <w:rsid w:val="006925C9"/>
    <w:rsid w:val="00692A98"/>
    <w:rsid w:val="00693A60"/>
    <w:rsid w:val="00693DA8"/>
    <w:rsid w:val="006953B9"/>
    <w:rsid w:val="00695464"/>
    <w:rsid w:val="006978BC"/>
    <w:rsid w:val="006A031B"/>
    <w:rsid w:val="006A03C3"/>
    <w:rsid w:val="006A0E39"/>
    <w:rsid w:val="006A15CF"/>
    <w:rsid w:val="006A1DCB"/>
    <w:rsid w:val="006A2B15"/>
    <w:rsid w:val="006A307C"/>
    <w:rsid w:val="006A30AD"/>
    <w:rsid w:val="006A3ED6"/>
    <w:rsid w:val="006A50FF"/>
    <w:rsid w:val="006A54E2"/>
    <w:rsid w:val="006A5984"/>
    <w:rsid w:val="006A63A3"/>
    <w:rsid w:val="006A6C58"/>
    <w:rsid w:val="006B00E3"/>
    <w:rsid w:val="006B0A5B"/>
    <w:rsid w:val="006B0B07"/>
    <w:rsid w:val="006B1E51"/>
    <w:rsid w:val="006B1F2C"/>
    <w:rsid w:val="006B3772"/>
    <w:rsid w:val="006B3B45"/>
    <w:rsid w:val="006B446D"/>
    <w:rsid w:val="006B4FED"/>
    <w:rsid w:val="006B5D17"/>
    <w:rsid w:val="006B60D1"/>
    <w:rsid w:val="006B6827"/>
    <w:rsid w:val="006B6C77"/>
    <w:rsid w:val="006B6F3C"/>
    <w:rsid w:val="006B74C0"/>
    <w:rsid w:val="006B7CAB"/>
    <w:rsid w:val="006C1366"/>
    <w:rsid w:val="006C2050"/>
    <w:rsid w:val="006C26C4"/>
    <w:rsid w:val="006C33EB"/>
    <w:rsid w:val="006C34AC"/>
    <w:rsid w:val="006C3767"/>
    <w:rsid w:val="006C3A50"/>
    <w:rsid w:val="006C3B27"/>
    <w:rsid w:val="006C4B7C"/>
    <w:rsid w:val="006C4BCB"/>
    <w:rsid w:val="006C4DE7"/>
    <w:rsid w:val="006C6B7D"/>
    <w:rsid w:val="006C7738"/>
    <w:rsid w:val="006C783D"/>
    <w:rsid w:val="006C7E10"/>
    <w:rsid w:val="006D0842"/>
    <w:rsid w:val="006D098E"/>
    <w:rsid w:val="006D0C72"/>
    <w:rsid w:val="006D1389"/>
    <w:rsid w:val="006D15DE"/>
    <w:rsid w:val="006D1C36"/>
    <w:rsid w:val="006D207F"/>
    <w:rsid w:val="006D5B37"/>
    <w:rsid w:val="006D616A"/>
    <w:rsid w:val="006D68CE"/>
    <w:rsid w:val="006D75EF"/>
    <w:rsid w:val="006D772A"/>
    <w:rsid w:val="006E0824"/>
    <w:rsid w:val="006E0D95"/>
    <w:rsid w:val="006E1093"/>
    <w:rsid w:val="006E178D"/>
    <w:rsid w:val="006E1972"/>
    <w:rsid w:val="006E19FC"/>
    <w:rsid w:val="006E2D85"/>
    <w:rsid w:val="006E3745"/>
    <w:rsid w:val="006E383D"/>
    <w:rsid w:val="006E49CF"/>
    <w:rsid w:val="006E4A99"/>
    <w:rsid w:val="006E4E6B"/>
    <w:rsid w:val="006E5DF1"/>
    <w:rsid w:val="006E6096"/>
    <w:rsid w:val="006E6A04"/>
    <w:rsid w:val="006E7516"/>
    <w:rsid w:val="006E7E7C"/>
    <w:rsid w:val="006F04EC"/>
    <w:rsid w:val="006F1220"/>
    <w:rsid w:val="006F1B50"/>
    <w:rsid w:val="006F27DE"/>
    <w:rsid w:val="006F3879"/>
    <w:rsid w:val="006F4260"/>
    <w:rsid w:val="006F427C"/>
    <w:rsid w:val="006F42F6"/>
    <w:rsid w:val="006F5C49"/>
    <w:rsid w:val="006F5C7D"/>
    <w:rsid w:val="006F6E0F"/>
    <w:rsid w:val="00700699"/>
    <w:rsid w:val="0070070B"/>
    <w:rsid w:val="00700B0F"/>
    <w:rsid w:val="007014E9"/>
    <w:rsid w:val="007024A2"/>
    <w:rsid w:val="00702C84"/>
    <w:rsid w:val="00703EE3"/>
    <w:rsid w:val="0070411C"/>
    <w:rsid w:val="00704A49"/>
    <w:rsid w:val="00705523"/>
    <w:rsid w:val="00705A42"/>
    <w:rsid w:val="00705C48"/>
    <w:rsid w:val="00706967"/>
    <w:rsid w:val="00706AC4"/>
    <w:rsid w:val="0070717C"/>
    <w:rsid w:val="00712140"/>
    <w:rsid w:val="0071232D"/>
    <w:rsid w:val="00712DB0"/>
    <w:rsid w:val="00713143"/>
    <w:rsid w:val="00713381"/>
    <w:rsid w:val="00713523"/>
    <w:rsid w:val="007147F3"/>
    <w:rsid w:val="00714D79"/>
    <w:rsid w:val="007152BE"/>
    <w:rsid w:val="00715706"/>
    <w:rsid w:val="007157A4"/>
    <w:rsid w:val="0071687A"/>
    <w:rsid w:val="00716FD5"/>
    <w:rsid w:val="0071794B"/>
    <w:rsid w:val="00717B95"/>
    <w:rsid w:val="00717CEC"/>
    <w:rsid w:val="00717F80"/>
    <w:rsid w:val="007204C2"/>
    <w:rsid w:val="007218B4"/>
    <w:rsid w:val="00722111"/>
    <w:rsid w:val="0072302D"/>
    <w:rsid w:val="00723489"/>
    <w:rsid w:val="00723FD5"/>
    <w:rsid w:val="007240FA"/>
    <w:rsid w:val="007260CC"/>
    <w:rsid w:val="00726CE2"/>
    <w:rsid w:val="00727436"/>
    <w:rsid w:val="00727EDD"/>
    <w:rsid w:val="00730835"/>
    <w:rsid w:val="00730E16"/>
    <w:rsid w:val="00732145"/>
    <w:rsid w:val="00732911"/>
    <w:rsid w:val="00732A1F"/>
    <w:rsid w:val="007332DC"/>
    <w:rsid w:val="007333AE"/>
    <w:rsid w:val="0073425F"/>
    <w:rsid w:val="00734B4C"/>
    <w:rsid w:val="00734DC5"/>
    <w:rsid w:val="0073533B"/>
    <w:rsid w:val="0073589F"/>
    <w:rsid w:val="00735DD1"/>
    <w:rsid w:val="00736069"/>
    <w:rsid w:val="007364B8"/>
    <w:rsid w:val="007365FA"/>
    <w:rsid w:val="007366FD"/>
    <w:rsid w:val="00736977"/>
    <w:rsid w:val="007374C0"/>
    <w:rsid w:val="00740923"/>
    <w:rsid w:val="00740A04"/>
    <w:rsid w:val="007413C5"/>
    <w:rsid w:val="00742110"/>
    <w:rsid w:val="0074288D"/>
    <w:rsid w:val="007463C5"/>
    <w:rsid w:val="00746C01"/>
    <w:rsid w:val="0074757C"/>
    <w:rsid w:val="00747976"/>
    <w:rsid w:val="00747B5E"/>
    <w:rsid w:val="0075086F"/>
    <w:rsid w:val="00750E29"/>
    <w:rsid w:val="00750F8B"/>
    <w:rsid w:val="00754188"/>
    <w:rsid w:val="00754589"/>
    <w:rsid w:val="00754649"/>
    <w:rsid w:val="00754D05"/>
    <w:rsid w:val="007554AC"/>
    <w:rsid w:val="0075553E"/>
    <w:rsid w:val="007556AF"/>
    <w:rsid w:val="00757E4D"/>
    <w:rsid w:val="00760FE7"/>
    <w:rsid w:val="00761A73"/>
    <w:rsid w:val="007622FC"/>
    <w:rsid w:val="00762D82"/>
    <w:rsid w:val="0076300C"/>
    <w:rsid w:val="007633C6"/>
    <w:rsid w:val="00763664"/>
    <w:rsid w:val="007644D3"/>
    <w:rsid w:val="00764A15"/>
    <w:rsid w:val="00764AAF"/>
    <w:rsid w:val="00765A80"/>
    <w:rsid w:val="00765BD2"/>
    <w:rsid w:val="007662CA"/>
    <w:rsid w:val="00767A5E"/>
    <w:rsid w:val="00767E98"/>
    <w:rsid w:val="00770541"/>
    <w:rsid w:val="007712AA"/>
    <w:rsid w:val="00771820"/>
    <w:rsid w:val="00771AB1"/>
    <w:rsid w:val="00772998"/>
    <w:rsid w:val="00773323"/>
    <w:rsid w:val="007737E0"/>
    <w:rsid w:val="0077398A"/>
    <w:rsid w:val="00773F91"/>
    <w:rsid w:val="0077401B"/>
    <w:rsid w:val="00774D58"/>
    <w:rsid w:val="00775094"/>
    <w:rsid w:val="00775720"/>
    <w:rsid w:val="007759D5"/>
    <w:rsid w:val="00776DFD"/>
    <w:rsid w:val="007779C6"/>
    <w:rsid w:val="007817B2"/>
    <w:rsid w:val="00781B61"/>
    <w:rsid w:val="00781E77"/>
    <w:rsid w:val="00782DB9"/>
    <w:rsid w:val="007835A7"/>
    <w:rsid w:val="00783A44"/>
    <w:rsid w:val="00783CA3"/>
    <w:rsid w:val="00784FFE"/>
    <w:rsid w:val="007854D1"/>
    <w:rsid w:val="00786258"/>
    <w:rsid w:val="0078675C"/>
    <w:rsid w:val="00786829"/>
    <w:rsid w:val="00786E01"/>
    <w:rsid w:val="007876FA"/>
    <w:rsid w:val="00787905"/>
    <w:rsid w:val="00787AA9"/>
    <w:rsid w:val="0079066C"/>
    <w:rsid w:val="0079070A"/>
    <w:rsid w:val="00790E28"/>
    <w:rsid w:val="00791750"/>
    <w:rsid w:val="00791F16"/>
    <w:rsid w:val="007924BE"/>
    <w:rsid w:val="00793728"/>
    <w:rsid w:val="00794525"/>
    <w:rsid w:val="007949D5"/>
    <w:rsid w:val="00794B1D"/>
    <w:rsid w:val="007951B4"/>
    <w:rsid w:val="00795534"/>
    <w:rsid w:val="00795947"/>
    <w:rsid w:val="007961F5"/>
    <w:rsid w:val="00796496"/>
    <w:rsid w:val="007964CA"/>
    <w:rsid w:val="00796557"/>
    <w:rsid w:val="00797F4D"/>
    <w:rsid w:val="007A0291"/>
    <w:rsid w:val="007A04FF"/>
    <w:rsid w:val="007A06A9"/>
    <w:rsid w:val="007A0D14"/>
    <w:rsid w:val="007A0D27"/>
    <w:rsid w:val="007A0EC2"/>
    <w:rsid w:val="007A115C"/>
    <w:rsid w:val="007A17C9"/>
    <w:rsid w:val="007A1A7B"/>
    <w:rsid w:val="007A2680"/>
    <w:rsid w:val="007A2E4C"/>
    <w:rsid w:val="007A3101"/>
    <w:rsid w:val="007A42DC"/>
    <w:rsid w:val="007A4481"/>
    <w:rsid w:val="007A4984"/>
    <w:rsid w:val="007A5E25"/>
    <w:rsid w:val="007A5E5A"/>
    <w:rsid w:val="007A642E"/>
    <w:rsid w:val="007A7335"/>
    <w:rsid w:val="007A78BA"/>
    <w:rsid w:val="007A7FC1"/>
    <w:rsid w:val="007B02A3"/>
    <w:rsid w:val="007B11EF"/>
    <w:rsid w:val="007B1498"/>
    <w:rsid w:val="007B1BED"/>
    <w:rsid w:val="007B2370"/>
    <w:rsid w:val="007B2D6B"/>
    <w:rsid w:val="007B4064"/>
    <w:rsid w:val="007B4219"/>
    <w:rsid w:val="007B42E3"/>
    <w:rsid w:val="007B44B1"/>
    <w:rsid w:val="007B77C5"/>
    <w:rsid w:val="007C012F"/>
    <w:rsid w:val="007C11B6"/>
    <w:rsid w:val="007C16F7"/>
    <w:rsid w:val="007C315B"/>
    <w:rsid w:val="007C395E"/>
    <w:rsid w:val="007C4F78"/>
    <w:rsid w:val="007C5259"/>
    <w:rsid w:val="007C5751"/>
    <w:rsid w:val="007C63BA"/>
    <w:rsid w:val="007C64E7"/>
    <w:rsid w:val="007C67AE"/>
    <w:rsid w:val="007C7184"/>
    <w:rsid w:val="007C7868"/>
    <w:rsid w:val="007C794C"/>
    <w:rsid w:val="007C7C3F"/>
    <w:rsid w:val="007D0247"/>
    <w:rsid w:val="007D0D40"/>
    <w:rsid w:val="007D1066"/>
    <w:rsid w:val="007D1221"/>
    <w:rsid w:val="007D17C5"/>
    <w:rsid w:val="007D17EA"/>
    <w:rsid w:val="007D2456"/>
    <w:rsid w:val="007D2AE4"/>
    <w:rsid w:val="007D3224"/>
    <w:rsid w:val="007D46A1"/>
    <w:rsid w:val="007D4C6A"/>
    <w:rsid w:val="007D4E3C"/>
    <w:rsid w:val="007D5CB7"/>
    <w:rsid w:val="007D661C"/>
    <w:rsid w:val="007D71E1"/>
    <w:rsid w:val="007D71E9"/>
    <w:rsid w:val="007D73E4"/>
    <w:rsid w:val="007E04BB"/>
    <w:rsid w:val="007E0F41"/>
    <w:rsid w:val="007E1348"/>
    <w:rsid w:val="007E1E21"/>
    <w:rsid w:val="007E1FD6"/>
    <w:rsid w:val="007E2318"/>
    <w:rsid w:val="007E28D6"/>
    <w:rsid w:val="007E350A"/>
    <w:rsid w:val="007E3B60"/>
    <w:rsid w:val="007E41FF"/>
    <w:rsid w:val="007E45AB"/>
    <w:rsid w:val="007E51EF"/>
    <w:rsid w:val="007E548B"/>
    <w:rsid w:val="007E6266"/>
    <w:rsid w:val="007E6A69"/>
    <w:rsid w:val="007F0DF8"/>
    <w:rsid w:val="007F11ED"/>
    <w:rsid w:val="007F194C"/>
    <w:rsid w:val="007F2B01"/>
    <w:rsid w:val="007F43E0"/>
    <w:rsid w:val="007F4487"/>
    <w:rsid w:val="007F521B"/>
    <w:rsid w:val="007F5484"/>
    <w:rsid w:val="007F5D0A"/>
    <w:rsid w:val="007F5DFD"/>
    <w:rsid w:val="007F6764"/>
    <w:rsid w:val="007F6C4F"/>
    <w:rsid w:val="007F6DFD"/>
    <w:rsid w:val="008007D0"/>
    <w:rsid w:val="00802045"/>
    <w:rsid w:val="008027FE"/>
    <w:rsid w:val="00802A71"/>
    <w:rsid w:val="00802DE7"/>
    <w:rsid w:val="00803854"/>
    <w:rsid w:val="008044B7"/>
    <w:rsid w:val="00804DBD"/>
    <w:rsid w:val="00805670"/>
    <w:rsid w:val="008058B6"/>
    <w:rsid w:val="00805D6A"/>
    <w:rsid w:val="008066A1"/>
    <w:rsid w:val="00806CE8"/>
    <w:rsid w:val="0080727C"/>
    <w:rsid w:val="00807685"/>
    <w:rsid w:val="008100BE"/>
    <w:rsid w:val="008101F1"/>
    <w:rsid w:val="00810573"/>
    <w:rsid w:val="0081117D"/>
    <w:rsid w:val="008116B7"/>
    <w:rsid w:val="0081205A"/>
    <w:rsid w:val="008129A8"/>
    <w:rsid w:val="00812BB3"/>
    <w:rsid w:val="00813267"/>
    <w:rsid w:val="00813629"/>
    <w:rsid w:val="0081366C"/>
    <w:rsid w:val="0081524D"/>
    <w:rsid w:val="00815B09"/>
    <w:rsid w:val="0081601E"/>
    <w:rsid w:val="0081643F"/>
    <w:rsid w:val="0081748F"/>
    <w:rsid w:val="00817D27"/>
    <w:rsid w:val="00820D88"/>
    <w:rsid w:val="00820D91"/>
    <w:rsid w:val="0082142C"/>
    <w:rsid w:val="00821FF3"/>
    <w:rsid w:val="00824651"/>
    <w:rsid w:val="0082543F"/>
    <w:rsid w:val="00825A6E"/>
    <w:rsid w:val="00825A7C"/>
    <w:rsid w:val="0082608B"/>
    <w:rsid w:val="0082687F"/>
    <w:rsid w:val="00826D36"/>
    <w:rsid w:val="00827B0C"/>
    <w:rsid w:val="00827E37"/>
    <w:rsid w:val="00827F0C"/>
    <w:rsid w:val="008305EF"/>
    <w:rsid w:val="00831139"/>
    <w:rsid w:val="0083138E"/>
    <w:rsid w:val="008344AE"/>
    <w:rsid w:val="008346DA"/>
    <w:rsid w:val="00834775"/>
    <w:rsid w:val="0083485A"/>
    <w:rsid w:val="00834CE7"/>
    <w:rsid w:val="00835D15"/>
    <w:rsid w:val="00836623"/>
    <w:rsid w:val="00836C61"/>
    <w:rsid w:val="00837318"/>
    <w:rsid w:val="008407C7"/>
    <w:rsid w:val="00840B22"/>
    <w:rsid w:val="00840D0B"/>
    <w:rsid w:val="008425F9"/>
    <w:rsid w:val="00844D23"/>
    <w:rsid w:val="0084523F"/>
    <w:rsid w:val="00845FB4"/>
    <w:rsid w:val="00846AC8"/>
    <w:rsid w:val="00846DC4"/>
    <w:rsid w:val="00847462"/>
    <w:rsid w:val="0085013B"/>
    <w:rsid w:val="0085018C"/>
    <w:rsid w:val="008503D4"/>
    <w:rsid w:val="0085075A"/>
    <w:rsid w:val="00850906"/>
    <w:rsid w:val="008517BD"/>
    <w:rsid w:val="00851C0A"/>
    <w:rsid w:val="00851CF0"/>
    <w:rsid w:val="00851EE2"/>
    <w:rsid w:val="00852390"/>
    <w:rsid w:val="00853A15"/>
    <w:rsid w:val="00853AC2"/>
    <w:rsid w:val="00853EA1"/>
    <w:rsid w:val="008540C4"/>
    <w:rsid w:val="008542CE"/>
    <w:rsid w:val="00854E06"/>
    <w:rsid w:val="00854E93"/>
    <w:rsid w:val="00855BA9"/>
    <w:rsid w:val="0085615F"/>
    <w:rsid w:val="00856748"/>
    <w:rsid w:val="00856C8B"/>
    <w:rsid w:val="008570B2"/>
    <w:rsid w:val="00857133"/>
    <w:rsid w:val="00857860"/>
    <w:rsid w:val="008578E8"/>
    <w:rsid w:val="00857C36"/>
    <w:rsid w:val="00860941"/>
    <w:rsid w:val="00860CA6"/>
    <w:rsid w:val="00860D76"/>
    <w:rsid w:val="00861242"/>
    <w:rsid w:val="00861409"/>
    <w:rsid w:val="0086212A"/>
    <w:rsid w:val="0086261A"/>
    <w:rsid w:val="00862668"/>
    <w:rsid w:val="00862918"/>
    <w:rsid w:val="00862E1E"/>
    <w:rsid w:val="00863242"/>
    <w:rsid w:val="0086444C"/>
    <w:rsid w:val="00864BE2"/>
    <w:rsid w:val="00864E39"/>
    <w:rsid w:val="00867317"/>
    <w:rsid w:val="008675A6"/>
    <w:rsid w:val="00867641"/>
    <w:rsid w:val="00867686"/>
    <w:rsid w:val="00867815"/>
    <w:rsid w:val="00867AEE"/>
    <w:rsid w:val="00870270"/>
    <w:rsid w:val="00870286"/>
    <w:rsid w:val="0087040C"/>
    <w:rsid w:val="00870561"/>
    <w:rsid w:val="00871032"/>
    <w:rsid w:val="00871852"/>
    <w:rsid w:val="0087281E"/>
    <w:rsid w:val="00872E73"/>
    <w:rsid w:val="00873F07"/>
    <w:rsid w:val="00874424"/>
    <w:rsid w:val="008753A6"/>
    <w:rsid w:val="0087559A"/>
    <w:rsid w:val="008756D3"/>
    <w:rsid w:val="008760D2"/>
    <w:rsid w:val="00876BEF"/>
    <w:rsid w:val="00877014"/>
    <w:rsid w:val="008773D4"/>
    <w:rsid w:val="00877476"/>
    <w:rsid w:val="00877B91"/>
    <w:rsid w:val="00877D8F"/>
    <w:rsid w:val="00880B4C"/>
    <w:rsid w:val="00880C1A"/>
    <w:rsid w:val="00880E89"/>
    <w:rsid w:val="00880EA1"/>
    <w:rsid w:val="008818AF"/>
    <w:rsid w:val="008819E3"/>
    <w:rsid w:val="0088522A"/>
    <w:rsid w:val="0088566A"/>
    <w:rsid w:val="008860A4"/>
    <w:rsid w:val="0088624B"/>
    <w:rsid w:val="00886A72"/>
    <w:rsid w:val="00886D79"/>
    <w:rsid w:val="00886F31"/>
    <w:rsid w:val="0088712C"/>
    <w:rsid w:val="0088794B"/>
    <w:rsid w:val="0089059B"/>
    <w:rsid w:val="008910A5"/>
    <w:rsid w:val="00891D1F"/>
    <w:rsid w:val="0089223B"/>
    <w:rsid w:val="00893C04"/>
    <w:rsid w:val="0089445E"/>
    <w:rsid w:val="0089449F"/>
    <w:rsid w:val="00894826"/>
    <w:rsid w:val="0089494B"/>
    <w:rsid w:val="00894A1D"/>
    <w:rsid w:val="00894BB9"/>
    <w:rsid w:val="008954E7"/>
    <w:rsid w:val="008956D9"/>
    <w:rsid w:val="00895AB4"/>
    <w:rsid w:val="00896599"/>
    <w:rsid w:val="0089700E"/>
    <w:rsid w:val="00897298"/>
    <w:rsid w:val="00897BB8"/>
    <w:rsid w:val="008A0314"/>
    <w:rsid w:val="008A0993"/>
    <w:rsid w:val="008A149A"/>
    <w:rsid w:val="008A2EEA"/>
    <w:rsid w:val="008A3BAD"/>
    <w:rsid w:val="008A48A5"/>
    <w:rsid w:val="008A4BBD"/>
    <w:rsid w:val="008A4C7A"/>
    <w:rsid w:val="008A52D3"/>
    <w:rsid w:val="008A7A2D"/>
    <w:rsid w:val="008A7B81"/>
    <w:rsid w:val="008A7FF1"/>
    <w:rsid w:val="008B0C98"/>
    <w:rsid w:val="008B0E4B"/>
    <w:rsid w:val="008B2D0E"/>
    <w:rsid w:val="008B4085"/>
    <w:rsid w:val="008B43A0"/>
    <w:rsid w:val="008B4D1E"/>
    <w:rsid w:val="008B51D0"/>
    <w:rsid w:val="008B51D3"/>
    <w:rsid w:val="008B5588"/>
    <w:rsid w:val="008B591B"/>
    <w:rsid w:val="008B5CB2"/>
    <w:rsid w:val="008B5FB0"/>
    <w:rsid w:val="008B66DC"/>
    <w:rsid w:val="008B69B5"/>
    <w:rsid w:val="008B73BA"/>
    <w:rsid w:val="008B73D3"/>
    <w:rsid w:val="008B7D02"/>
    <w:rsid w:val="008C0682"/>
    <w:rsid w:val="008C0832"/>
    <w:rsid w:val="008C0AED"/>
    <w:rsid w:val="008C0DEB"/>
    <w:rsid w:val="008C127F"/>
    <w:rsid w:val="008C13C4"/>
    <w:rsid w:val="008C2AE7"/>
    <w:rsid w:val="008C2BCC"/>
    <w:rsid w:val="008C31E6"/>
    <w:rsid w:val="008C327C"/>
    <w:rsid w:val="008C35A1"/>
    <w:rsid w:val="008C418F"/>
    <w:rsid w:val="008C43F0"/>
    <w:rsid w:val="008C467A"/>
    <w:rsid w:val="008C48CC"/>
    <w:rsid w:val="008C4B16"/>
    <w:rsid w:val="008C4D32"/>
    <w:rsid w:val="008C549B"/>
    <w:rsid w:val="008C5790"/>
    <w:rsid w:val="008C5A5E"/>
    <w:rsid w:val="008C71C2"/>
    <w:rsid w:val="008C76FA"/>
    <w:rsid w:val="008C7911"/>
    <w:rsid w:val="008D0C5F"/>
    <w:rsid w:val="008D0C96"/>
    <w:rsid w:val="008D0DA0"/>
    <w:rsid w:val="008D17CF"/>
    <w:rsid w:val="008D1E92"/>
    <w:rsid w:val="008D1F50"/>
    <w:rsid w:val="008D23FE"/>
    <w:rsid w:val="008D2C29"/>
    <w:rsid w:val="008D308D"/>
    <w:rsid w:val="008D45FD"/>
    <w:rsid w:val="008D620D"/>
    <w:rsid w:val="008D637D"/>
    <w:rsid w:val="008D64EA"/>
    <w:rsid w:val="008D6BCD"/>
    <w:rsid w:val="008D779D"/>
    <w:rsid w:val="008D78F8"/>
    <w:rsid w:val="008E036C"/>
    <w:rsid w:val="008E0A00"/>
    <w:rsid w:val="008E1A17"/>
    <w:rsid w:val="008E1AC0"/>
    <w:rsid w:val="008E1EE8"/>
    <w:rsid w:val="008E2A90"/>
    <w:rsid w:val="008E2FE4"/>
    <w:rsid w:val="008E39A6"/>
    <w:rsid w:val="008E4039"/>
    <w:rsid w:val="008E42F6"/>
    <w:rsid w:val="008E50CA"/>
    <w:rsid w:val="008E58F2"/>
    <w:rsid w:val="008E5A8F"/>
    <w:rsid w:val="008E61AF"/>
    <w:rsid w:val="008E6439"/>
    <w:rsid w:val="008E673D"/>
    <w:rsid w:val="008E7CC7"/>
    <w:rsid w:val="008F087C"/>
    <w:rsid w:val="008F0AD1"/>
    <w:rsid w:val="008F0D15"/>
    <w:rsid w:val="008F0ECB"/>
    <w:rsid w:val="008F1BE2"/>
    <w:rsid w:val="008F22EE"/>
    <w:rsid w:val="008F29FA"/>
    <w:rsid w:val="008F2BA3"/>
    <w:rsid w:val="008F3288"/>
    <w:rsid w:val="008F33E7"/>
    <w:rsid w:val="008F3587"/>
    <w:rsid w:val="008F3F86"/>
    <w:rsid w:val="008F3FFA"/>
    <w:rsid w:val="008F4BEA"/>
    <w:rsid w:val="008F4F3B"/>
    <w:rsid w:val="008F4F8B"/>
    <w:rsid w:val="008F5373"/>
    <w:rsid w:val="008F53BA"/>
    <w:rsid w:val="008F56CB"/>
    <w:rsid w:val="008F5760"/>
    <w:rsid w:val="008F597E"/>
    <w:rsid w:val="008F5C0B"/>
    <w:rsid w:val="008F5D63"/>
    <w:rsid w:val="008F663B"/>
    <w:rsid w:val="008F737A"/>
    <w:rsid w:val="008F77DF"/>
    <w:rsid w:val="008F7A4B"/>
    <w:rsid w:val="00900644"/>
    <w:rsid w:val="0090095D"/>
    <w:rsid w:val="0090104D"/>
    <w:rsid w:val="00901931"/>
    <w:rsid w:val="00901C7D"/>
    <w:rsid w:val="00902766"/>
    <w:rsid w:val="00903F3C"/>
    <w:rsid w:val="00904E31"/>
    <w:rsid w:val="009054CB"/>
    <w:rsid w:val="0090671E"/>
    <w:rsid w:val="009068E8"/>
    <w:rsid w:val="00907901"/>
    <w:rsid w:val="00907A88"/>
    <w:rsid w:val="00911193"/>
    <w:rsid w:val="00911C78"/>
    <w:rsid w:val="0091242C"/>
    <w:rsid w:val="009128D1"/>
    <w:rsid w:val="00912D91"/>
    <w:rsid w:val="009136C2"/>
    <w:rsid w:val="00913B53"/>
    <w:rsid w:val="00913BB9"/>
    <w:rsid w:val="00914569"/>
    <w:rsid w:val="00914BB9"/>
    <w:rsid w:val="009150F7"/>
    <w:rsid w:val="00915A49"/>
    <w:rsid w:val="00915DDC"/>
    <w:rsid w:val="00916532"/>
    <w:rsid w:val="00917310"/>
    <w:rsid w:val="00917417"/>
    <w:rsid w:val="00917E6F"/>
    <w:rsid w:val="009203D2"/>
    <w:rsid w:val="009205FB"/>
    <w:rsid w:val="00920E9C"/>
    <w:rsid w:val="0092140D"/>
    <w:rsid w:val="00921573"/>
    <w:rsid w:val="00921A8B"/>
    <w:rsid w:val="00923086"/>
    <w:rsid w:val="0092347D"/>
    <w:rsid w:val="0092370C"/>
    <w:rsid w:val="009242E1"/>
    <w:rsid w:val="00924732"/>
    <w:rsid w:val="00924973"/>
    <w:rsid w:val="0092574E"/>
    <w:rsid w:val="00925AAB"/>
    <w:rsid w:val="009266DA"/>
    <w:rsid w:val="00930286"/>
    <w:rsid w:val="00931413"/>
    <w:rsid w:val="009314B6"/>
    <w:rsid w:val="0093152C"/>
    <w:rsid w:val="00932DFA"/>
    <w:rsid w:val="0093333C"/>
    <w:rsid w:val="009335DC"/>
    <w:rsid w:val="009339B0"/>
    <w:rsid w:val="00933FFC"/>
    <w:rsid w:val="0093510F"/>
    <w:rsid w:val="00935B7B"/>
    <w:rsid w:val="00935BB0"/>
    <w:rsid w:val="00935F2B"/>
    <w:rsid w:val="0093689B"/>
    <w:rsid w:val="00936EDC"/>
    <w:rsid w:val="00936F3B"/>
    <w:rsid w:val="00937F88"/>
    <w:rsid w:val="00940BA5"/>
    <w:rsid w:val="009420C7"/>
    <w:rsid w:val="00942A93"/>
    <w:rsid w:val="0094351E"/>
    <w:rsid w:val="00943694"/>
    <w:rsid w:val="00944810"/>
    <w:rsid w:val="00945159"/>
    <w:rsid w:val="0094644F"/>
    <w:rsid w:val="00946E81"/>
    <w:rsid w:val="009504B3"/>
    <w:rsid w:val="009505C1"/>
    <w:rsid w:val="00953199"/>
    <w:rsid w:val="00953F4B"/>
    <w:rsid w:val="009568A9"/>
    <w:rsid w:val="00956979"/>
    <w:rsid w:val="0095758C"/>
    <w:rsid w:val="0096059F"/>
    <w:rsid w:val="009618D5"/>
    <w:rsid w:val="00961B08"/>
    <w:rsid w:val="0096254D"/>
    <w:rsid w:val="00962B4B"/>
    <w:rsid w:val="0096359A"/>
    <w:rsid w:val="00963B8E"/>
    <w:rsid w:val="009648EB"/>
    <w:rsid w:val="00964900"/>
    <w:rsid w:val="009651F5"/>
    <w:rsid w:val="009655F9"/>
    <w:rsid w:val="00966221"/>
    <w:rsid w:val="009670A8"/>
    <w:rsid w:val="00970B9B"/>
    <w:rsid w:val="00971E14"/>
    <w:rsid w:val="009720FA"/>
    <w:rsid w:val="009751B6"/>
    <w:rsid w:val="009757AE"/>
    <w:rsid w:val="009758E9"/>
    <w:rsid w:val="00976052"/>
    <w:rsid w:val="00976680"/>
    <w:rsid w:val="00976874"/>
    <w:rsid w:val="00977416"/>
    <w:rsid w:val="00977449"/>
    <w:rsid w:val="00977913"/>
    <w:rsid w:val="00980848"/>
    <w:rsid w:val="009825E1"/>
    <w:rsid w:val="00982AD0"/>
    <w:rsid w:val="00983420"/>
    <w:rsid w:val="00983EF4"/>
    <w:rsid w:val="009845F5"/>
    <w:rsid w:val="00984AC1"/>
    <w:rsid w:val="00985AF2"/>
    <w:rsid w:val="00985C30"/>
    <w:rsid w:val="00985EFD"/>
    <w:rsid w:val="0098634D"/>
    <w:rsid w:val="00986453"/>
    <w:rsid w:val="00986680"/>
    <w:rsid w:val="00986D9F"/>
    <w:rsid w:val="00987AB8"/>
    <w:rsid w:val="009909AD"/>
    <w:rsid w:val="00990F93"/>
    <w:rsid w:val="009914D4"/>
    <w:rsid w:val="009933AC"/>
    <w:rsid w:val="009946AD"/>
    <w:rsid w:val="00994D74"/>
    <w:rsid w:val="009950AA"/>
    <w:rsid w:val="00996FB7"/>
    <w:rsid w:val="009A0764"/>
    <w:rsid w:val="009A0A6A"/>
    <w:rsid w:val="009A0E65"/>
    <w:rsid w:val="009A1067"/>
    <w:rsid w:val="009A1381"/>
    <w:rsid w:val="009A1528"/>
    <w:rsid w:val="009A15AA"/>
    <w:rsid w:val="009A1939"/>
    <w:rsid w:val="009A24E8"/>
    <w:rsid w:val="009A28FC"/>
    <w:rsid w:val="009A292E"/>
    <w:rsid w:val="009A2B74"/>
    <w:rsid w:val="009A2D9D"/>
    <w:rsid w:val="009A3199"/>
    <w:rsid w:val="009A3A0D"/>
    <w:rsid w:val="009A48FD"/>
    <w:rsid w:val="009A4D0E"/>
    <w:rsid w:val="009A4E8C"/>
    <w:rsid w:val="009A544B"/>
    <w:rsid w:val="009A5613"/>
    <w:rsid w:val="009A5AC9"/>
    <w:rsid w:val="009A6A71"/>
    <w:rsid w:val="009A6E2D"/>
    <w:rsid w:val="009B0ACF"/>
    <w:rsid w:val="009B2849"/>
    <w:rsid w:val="009B3014"/>
    <w:rsid w:val="009B3EA5"/>
    <w:rsid w:val="009B411A"/>
    <w:rsid w:val="009B41BF"/>
    <w:rsid w:val="009B4515"/>
    <w:rsid w:val="009B4920"/>
    <w:rsid w:val="009B49F9"/>
    <w:rsid w:val="009B4C41"/>
    <w:rsid w:val="009B5C4F"/>
    <w:rsid w:val="009B5FFC"/>
    <w:rsid w:val="009B6368"/>
    <w:rsid w:val="009B6CF3"/>
    <w:rsid w:val="009B6D65"/>
    <w:rsid w:val="009B774B"/>
    <w:rsid w:val="009B7DA6"/>
    <w:rsid w:val="009C009F"/>
    <w:rsid w:val="009C0A76"/>
    <w:rsid w:val="009C15FA"/>
    <w:rsid w:val="009C2B72"/>
    <w:rsid w:val="009C308B"/>
    <w:rsid w:val="009C32C1"/>
    <w:rsid w:val="009C335A"/>
    <w:rsid w:val="009C346F"/>
    <w:rsid w:val="009C376F"/>
    <w:rsid w:val="009C417C"/>
    <w:rsid w:val="009C609C"/>
    <w:rsid w:val="009C61CA"/>
    <w:rsid w:val="009C66FE"/>
    <w:rsid w:val="009C7315"/>
    <w:rsid w:val="009C731B"/>
    <w:rsid w:val="009C763C"/>
    <w:rsid w:val="009C7F16"/>
    <w:rsid w:val="009C7F28"/>
    <w:rsid w:val="009D03C2"/>
    <w:rsid w:val="009D0ECE"/>
    <w:rsid w:val="009D1E2B"/>
    <w:rsid w:val="009D2694"/>
    <w:rsid w:val="009D3B0E"/>
    <w:rsid w:val="009D3D94"/>
    <w:rsid w:val="009D4BD2"/>
    <w:rsid w:val="009D5BB5"/>
    <w:rsid w:val="009D622E"/>
    <w:rsid w:val="009D63D4"/>
    <w:rsid w:val="009D6779"/>
    <w:rsid w:val="009D6BC5"/>
    <w:rsid w:val="009D7824"/>
    <w:rsid w:val="009D78B5"/>
    <w:rsid w:val="009E0F61"/>
    <w:rsid w:val="009E1293"/>
    <w:rsid w:val="009E1792"/>
    <w:rsid w:val="009E17B6"/>
    <w:rsid w:val="009E1938"/>
    <w:rsid w:val="009E1CE3"/>
    <w:rsid w:val="009E220A"/>
    <w:rsid w:val="009E25ED"/>
    <w:rsid w:val="009E356B"/>
    <w:rsid w:val="009E3771"/>
    <w:rsid w:val="009E4DEB"/>
    <w:rsid w:val="009E541D"/>
    <w:rsid w:val="009E5613"/>
    <w:rsid w:val="009E5D4D"/>
    <w:rsid w:val="009E6828"/>
    <w:rsid w:val="009E6857"/>
    <w:rsid w:val="009E7A91"/>
    <w:rsid w:val="009F0C5C"/>
    <w:rsid w:val="009F1A62"/>
    <w:rsid w:val="009F1B96"/>
    <w:rsid w:val="009F219E"/>
    <w:rsid w:val="009F233D"/>
    <w:rsid w:val="009F2BDF"/>
    <w:rsid w:val="009F31B6"/>
    <w:rsid w:val="009F38CB"/>
    <w:rsid w:val="009F3E3C"/>
    <w:rsid w:val="009F466B"/>
    <w:rsid w:val="009F4A56"/>
    <w:rsid w:val="009F4CAA"/>
    <w:rsid w:val="009F4D37"/>
    <w:rsid w:val="009F5CFF"/>
    <w:rsid w:val="00A0058D"/>
    <w:rsid w:val="00A0233C"/>
    <w:rsid w:val="00A03ACC"/>
    <w:rsid w:val="00A04317"/>
    <w:rsid w:val="00A047BC"/>
    <w:rsid w:val="00A054BA"/>
    <w:rsid w:val="00A058A7"/>
    <w:rsid w:val="00A06E47"/>
    <w:rsid w:val="00A06E88"/>
    <w:rsid w:val="00A10BC6"/>
    <w:rsid w:val="00A114FA"/>
    <w:rsid w:val="00A12223"/>
    <w:rsid w:val="00A12390"/>
    <w:rsid w:val="00A12B76"/>
    <w:rsid w:val="00A13963"/>
    <w:rsid w:val="00A14327"/>
    <w:rsid w:val="00A143F5"/>
    <w:rsid w:val="00A15105"/>
    <w:rsid w:val="00A15BBB"/>
    <w:rsid w:val="00A16603"/>
    <w:rsid w:val="00A1673E"/>
    <w:rsid w:val="00A16F1D"/>
    <w:rsid w:val="00A17549"/>
    <w:rsid w:val="00A17671"/>
    <w:rsid w:val="00A2142D"/>
    <w:rsid w:val="00A216E2"/>
    <w:rsid w:val="00A21D00"/>
    <w:rsid w:val="00A220EB"/>
    <w:rsid w:val="00A2269F"/>
    <w:rsid w:val="00A22DAA"/>
    <w:rsid w:val="00A237DD"/>
    <w:rsid w:val="00A23BE2"/>
    <w:rsid w:val="00A23F70"/>
    <w:rsid w:val="00A258C1"/>
    <w:rsid w:val="00A25BC8"/>
    <w:rsid w:val="00A2623F"/>
    <w:rsid w:val="00A262BB"/>
    <w:rsid w:val="00A262F2"/>
    <w:rsid w:val="00A2647B"/>
    <w:rsid w:val="00A27465"/>
    <w:rsid w:val="00A27DFC"/>
    <w:rsid w:val="00A30A62"/>
    <w:rsid w:val="00A30C42"/>
    <w:rsid w:val="00A30D49"/>
    <w:rsid w:val="00A310A5"/>
    <w:rsid w:val="00A31443"/>
    <w:rsid w:val="00A31711"/>
    <w:rsid w:val="00A31F23"/>
    <w:rsid w:val="00A33B0F"/>
    <w:rsid w:val="00A33B4A"/>
    <w:rsid w:val="00A35BC5"/>
    <w:rsid w:val="00A35D63"/>
    <w:rsid w:val="00A41409"/>
    <w:rsid w:val="00A415D9"/>
    <w:rsid w:val="00A42485"/>
    <w:rsid w:val="00A4340E"/>
    <w:rsid w:val="00A435B4"/>
    <w:rsid w:val="00A44414"/>
    <w:rsid w:val="00A459C8"/>
    <w:rsid w:val="00A467D8"/>
    <w:rsid w:val="00A47172"/>
    <w:rsid w:val="00A47FC8"/>
    <w:rsid w:val="00A505E4"/>
    <w:rsid w:val="00A51BF8"/>
    <w:rsid w:val="00A5343F"/>
    <w:rsid w:val="00A534A7"/>
    <w:rsid w:val="00A5357F"/>
    <w:rsid w:val="00A53CE8"/>
    <w:rsid w:val="00A53D61"/>
    <w:rsid w:val="00A54124"/>
    <w:rsid w:val="00A542CB"/>
    <w:rsid w:val="00A549EC"/>
    <w:rsid w:val="00A55329"/>
    <w:rsid w:val="00A5573B"/>
    <w:rsid w:val="00A5582F"/>
    <w:rsid w:val="00A56679"/>
    <w:rsid w:val="00A567C7"/>
    <w:rsid w:val="00A5745B"/>
    <w:rsid w:val="00A57DBE"/>
    <w:rsid w:val="00A57E00"/>
    <w:rsid w:val="00A57F43"/>
    <w:rsid w:val="00A604B2"/>
    <w:rsid w:val="00A60C23"/>
    <w:rsid w:val="00A60E8C"/>
    <w:rsid w:val="00A6127B"/>
    <w:rsid w:val="00A61A67"/>
    <w:rsid w:val="00A62C24"/>
    <w:rsid w:val="00A62F6D"/>
    <w:rsid w:val="00A63E10"/>
    <w:rsid w:val="00A64B30"/>
    <w:rsid w:val="00A6519F"/>
    <w:rsid w:val="00A653AE"/>
    <w:rsid w:val="00A65CF8"/>
    <w:rsid w:val="00A669A9"/>
    <w:rsid w:val="00A67521"/>
    <w:rsid w:val="00A6781A"/>
    <w:rsid w:val="00A67904"/>
    <w:rsid w:val="00A67AFC"/>
    <w:rsid w:val="00A67BF6"/>
    <w:rsid w:val="00A7047B"/>
    <w:rsid w:val="00A70712"/>
    <w:rsid w:val="00A70E23"/>
    <w:rsid w:val="00A71D9E"/>
    <w:rsid w:val="00A71E8F"/>
    <w:rsid w:val="00A7220A"/>
    <w:rsid w:val="00A73067"/>
    <w:rsid w:val="00A7330A"/>
    <w:rsid w:val="00A7409C"/>
    <w:rsid w:val="00A74E61"/>
    <w:rsid w:val="00A76292"/>
    <w:rsid w:val="00A7692F"/>
    <w:rsid w:val="00A76E69"/>
    <w:rsid w:val="00A77E96"/>
    <w:rsid w:val="00A77EA2"/>
    <w:rsid w:val="00A817C7"/>
    <w:rsid w:val="00A83E92"/>
    <w:rsid w:val="00A84262"/>
    <w:rsid w:val="00A842F2"/>
    <w:rsid w:val="00A865A0"/>
    <w:rsid w:val="00A867AB"/>
    <w:rsid w:val="00A868C1"/>
    <w:rsid w:val="00A869B3"/>
    <w:rsid w:val="00A86C80"/>
    <w:rsid w:val="00A86FC2"/>
    <w:rsid w:val="00A8796A"/>
    <w:rsid w:val="00A87BB3"/>
    <w:rsid w:val="00A90431"/>
    <w:rsid w:val="00A90495"/>
    <w:rsid w:val="00A906B9"/>
    <w:rsid w:val="00A906E8"/>
    <w:rsid w:val="00A90921"/>
    <w:rsid w:val="00A90D80"/>
    <w:rsid w:val="00A913B0"/>
    <w:rsid w:val="00A92503"/>
    <w:rsid w:val="00A925D1"/>
    <w:rsid w:val="00A92843"/>
    <w:rsid w:val="00A92D8B"/>
    <w:rsid w:val="00A9342B"/>
    <w:rsid w:val="00A936C8"/>
    <w:rsid w:val="00A944D5"/>
    <w:rsid w:val="00A9452C"/>
    <w:rsid w:val="00A94C98"/>
    <w:rsid w:val="00A94FD7"/>
    <w:rsid w:val="00A9562A"/>
    <w:rsid w:val="00A95F6D"/>
    <w:rsid w:val="00A96094"/>
    <w:rsid w:val="00A9650F"/>
    <w:rsid w:val="00A96708"/>
    <w:rsid w:val="00A97F46"/>
    <w:rsid w:val="00AA016F"/>
    <w:rsid w:val="00AA0D8A"/>
    <w:rsid w:val="00AA1948"/>
    <w:rsid w:val="00AA1962"/>
    <w:rsid w:val="00AA2022"/>
    <w:rsid w:val="00AA24F4"/>
    <w:rsid w:val="00AA2937"/>
    <w:rsid w:val="00AA4DCE"/>
    <w:rsid w:val="00AA4E97"/>
    <w:rsid w:val="00AA54CA"/>
    <w:rsid w:val="00AA6E36"/>
    <w:rsid w:val="00AA70AE"/>
    <w:rsid w:val="00AA7902"/>
    <w:rsid w:val="00AB0CD9"/>
    <w:rsid w:val="00AB1682"/>
    <w:rsid w:val="00AB1DA7"/>
    <w:rsid w:val="00AB2C84"/>
    <w:rsid w:val="00AB357C"/>
    <w:rsid w:val="00AB3CF2"/>
    <w:rsid w:val="00AB51B9"/>
    <w:rsid w:val="00AB53E0"/>
    <w:rsid w:val="00AB56C3"/>
    <w:rsid w:val="00AB57D4"/>
    <w:rsid w:val="00AB693B"/>
    <w:rsid w:val="00AC1B82"/>
    <w:rsid w:val="00AC1FB4"/>
    <w:rsid w:val="00AC2D84"/>
    <w:rsid w:val="00AC2EE8"/>
    <w:rsid w:val="00AC3913"/>
    <w:rsid w:val="00AC3C60"/>
    <w:rsid w:val="00AC3C8C"/>
    <w:rsid w:val="00AC5082"/>
    <w:rsid w:val="00AC6468"/>
    <w:rsid w:val="00AC678C"/>
    <w:rsid w:val="00AC6BEB"/>
    <w:rsid w:val="00AC6D2C"/>
    <w:rsid w:val="00AC743C"/>
    <w:rsid w:val="00AD0637"/>
    <w:rsid w:val="00AD0CB6"/>
    <w:rsid w:val="00AD1534"/>
    <w:rsid w:val="00AD1F48"/>
    <w:rsid w:val="00AD2858"/>
    <w:rsid w:val="00AD28E4"/>
    <w:rsid w:val="00AD3306"/>
    <w:rsid w:val="00AD33EB"/>
    <w:rsid w:val="00AD34CE"/>
    <w:rsid w:val="00AD3959"/>
    <w:rsid w:val="00AD4150"/>
    <w:rsid w:val="00AD433A"/>
    <w:rsid w:val="00AD4863"/>
    <w:rsid w:val="00AD5A21"/>
    <w:rsid w:val="00AD701F"/>
    <w:rsid w:val="00AD7642"/>
    <w:rsid w:val="00AD7EA3"/>
    <w:rsid w:val="00AE0018"/>
    <w:rsid w:val="00AE028F"/>
    <w:rsid w:val="00AE0743"/>
    <w:rsid w:val="00AE1173"/>
    <w:rsid w:val="00AE26A9"/>
    <w:rsid w:val="00AE2992"/>
    <w:rsid w:val="00AE33F9"/>
    <w:rsid w:val="00AE3DA6"/>
    <w:rsid w:val="00AE3ECE"/>
    <w:rsid w:val="00AE471F"/>
    <w:rsid w:val="00AE49A0"/>
    <w:rsid w:val="00AE4D17"/>
    <w:rsid w:val="00AE4EE8"/>
    <w:rsid w:val="00AE5240"/>
    <w:rsid w:val="00AE5A8F"/>
    <w:rsid w:val="00AE5BDB"/>
    <w:rsid w:val="00AE62EA"/>
    <w:rsid w:val="00AE63F6"/>
    <w:rsid w:val="00AE6548"/>
    <w:rsid w:val="00AE6B35"/>
    <w:rsid w:val="00AE6D69"/>
    <w:rsid w:val="00AE7136"/>
    <w:rsid w:val="00AE7F11"/>
    <w:rsid w:val="00AF0671"/>
    <w:rsid w:val="00AF1E0C"/>
    <w:rsid w:val="00AF1FA0"/>
    <w:rsid w:val="00AF35DF"/>
    <w:rsid w:val="00AF3B18"/>
    <w:rsid w:val="00AF3BF9"/>
    <w:rsid w:val="00AF4E35"/>
    <w:rsid w:val="00AF52FD"/>
    <w:rsid w:val="00AF54F2"/>
    <w:rsid w:val="00AF652C"/>
    <w:rsid w:val="00AF6FCF"/>
    <w:rsid w:val="00AF7A5E"/>
    <w:rsid w:val="00B00EA9"/>
    <w:rsid w:val="00B01052"/>
    <w:rsid w:val="00B02AD7"/>
    <w:rsid w:val="00B02CC7"/>
    <w:rsid w:val="00B02FFC"/>
    <w:rsid w:val="00B035D3"/>
    <w:rsid w:val="00B047A1"/>
    <w:rsid w:val="00B05722"/>
    <w:rsid w:val="00B06701"/>
    <w:rsid w:val="00B073CD"/>
    <w:rsid w:val="00B07811"/>
    <w:rsid w:val="00B105A0"/>
    <w:rsid w:val="00B105D8"/>
    <w:rsid w:val="00B10C52"/>
    <w:rsid w:val="00B10CE6"/>
    <w:rsid w:val="00B10F5D"/>
    <w:rsid w:val="00B1362F"/>
    <w:rsid w:val="00B1563A"/>
    <w:rsid w:val="00B15ED1"/>
    <w:rsid w:val="00B165EC"/>
    <w:rsid w:val="00B168F8"/>
    <w:rsid w:val="00B16A17"/>
    <w:rsid w:val="00B1775D"/>
    <w:rsid w:val="00B17FB2"/>
    <w:rsid w:val="00B20498"/>
    <w:rsid w:val="00B2128B"/>
    <w:rsid w:val="00B214BA"/>
    <w:rsid w:val="00B219A5"/>
    <w:rsid w:val="00B21FA7"/>
    <w:rsid w:val="00B222D6"/>
    <w:rsid w:val="00B2312D"/>
    <w:rsid w:val="00B23248"/>
    <w:rsid w:val="00B23630"/>
    <w:rsid w:val="00B238FD"/>
    <w:rsid w:val="00B24D42"/>
    <w:rsid w:val="00B24E9C"/>
    <w:rsid w:val="00B24EAD"/>
    <w:rsid w:val="00B253BC"/>
    <w:rsid w:val="00B25647"/>
    <w:rsid w:val="00B2574A"/>
    <w:rsid w:val="00B27C49"/>
    <w:rsid w:val="00B308F3"/>
    <w:rsid w:val="00B31106"/>
    <w:rsid w:val="00B31339"/>
    <w:rsid w:val="00B31449"/>
    <w:rsid w:val="00B316E2"/>
    <w:rsid w:val="00B316F4"/>
    <w:rsid w:val="00B33175"/>
    <w:rsid w:val="00B33541"/>
    <w:rsid w:val="00B3479D"/>
    <w:rsid w:val="00B34A0F"/>
    <w:rsid w:val="00B35181"/>
    <w:rsid w:val="00B352EE"/>
    <w:rsid w:val="00B35B8B"/>
    <w:rsid w:val="00B35BF3"/>
    <w:rsid w:val="00B36B0E"/>
    <w:rsid w:val="00B37202"/>
    <w:rsid w:val="00B37C9D"/>
    <w:rsid w:val="00B37D3B"/>
    <w:rsid w:val="00B37DD2"/>
    <w:rsid w:val="00B4008C"/>
    <w:rsid w:val="00B40120"/>
    <w:rsid w:val="00B40A7F"/>
    <w:rsid w:val="00B43C79"/>
    <w:rsid w:val="00B447FC"/>
    <w:rsid w:val="00B4552C"/>
    <w:rsid w:val="00B459AE"/>
    <w:rsid w:val="00B46A87"/>
    <w:rsid w:val="00B47E2A"/>
    <w:rsid w:val="00B50857"/>
    <w:rsid w:val="00B51964"/>
    <w:rsid w:val="00B51F80"/>
    <w:rsid w:val="00B53BC2"/>
    <w:rsid w:val="00B548DF"/>
    <w:rsid w:val="00B549FC"/>
    <w:rsid w:val="00B56877"/>
    <w:rsid w:val="00B56A67"/>
    <w:rsid w:val="00B56C4E"/>
    <w:rsid w:val="00B56D63"/>
    <w:rsid w:val="00B56ECB"/>
    <w:rsid w:val="00B57C23"/>
    <w:rsid w:val="00B60E17"/>
    <w:rsid w:val="00B64289"/>
    <w:rsid w:val="00B64398"/>
    <w:rsid w:val="00B6488D"/>
    <w:rsid w:val="00B65280"/>
    <w:rsid w:val="00B660B0"/>
    <w:rsid w:val="00B6687A"/>
    <w:rsid w:val="00B66A3E"/>
    <w:rsid w:val="00B678BF"/>
    <w:rsid w:val="00B70971"/>
    <w:rsid w:val="00B711E1"/>
    <w:rsid w:val="00B71772"/>
    <w:rsid w:val="00B71C31"/>
    <w:rsid w:val="00B71DC7"/>
    <w:rsid w:val="00B73B48"/>
    <w:rsid w:val="00B73D14"/>
    <w:rsid w:val="00B746DB"/>
    <w:rsid w:val="00B750CF"/>
    <w:rsid w:val="00B750D4"/>
    <w:rsid w:val="00B759E9"/>
    <w:rsid w:val="00B76DC9"/>
    <w:rsid w:val="00B76E87"/>
    <w:rsid w:val="00B801BF"/>
    <w:rsid w:val="00B810AC"/>
    <w:rsid w:val="00B8132A"/>
    <w:rsid w:val="00B81933"/>
    <w:rsid w:val="00B81D37"/>
    <w:rsid w:val="00B81EC2"/>
    <w:rsid w:val="00B82845"/>
    <w:rsid w:val="00B8353E"/>
    <w:rsid w:val="00B83726"/>
    <w:rsid w:val="00B84AE2"/>
    <w:rsid w:val="00B85863"/>
    <w:rsid w:val="00B864AD"/>
    <w:rsid w:val="00B876CE"/>
    <w:rsid w:val="00B87BD1"/>
    <w:rsid w:val="00B90239"/>
    <w:rsid w:val="00B90521"/>
    <w:rsid w:val="00B90A15"/>
    <w:rsid w:val="00B90C0D"/>
    <w:rsid w:val="00B91C2A"/>
    <w:rsid w:val="00B92233"/>
    <w:rsid w:val="00B92568"/>
    <w:rsid w:val="00B92D8C"/>
    <w:rsid w:val="00B93040"/>
    <w:rsid w:val="00B93333"/>
    <w:rsid w:val="00B9383D"/>
    <w:rsid w:val="00B93FE1"/>
    <w:rsid w:val="00B94699"/>
    <w:rsid w:val="00B946B9"/>
    <w:rsid w:val="00B94C5E"/>
    <w:rsid w:val="00B94D15"/>
    <w:rsid w:val="00B95C43"/>
    <w:rsid w:val="00B97431"/>
    <w:rsid w:val="00B97488"/>
    <w:rsid w:val="00BA38A9"/>
    <w:rsid w:val="00BA38D9"/>
    <w:rsid w:val="00BA4069"/>
    <w:rsid w:val="00BA44BA"/>
    <w:rsid w:val="00BA4D54"/>
    <w:rsid w:val="00BA5077"/>
    <w:rsid w:val="00BA50C2"/>
    <w:rsid w:val="00BA525E"/>
    <w:rsid w:val="00BA62B9"/>
    <w:rsid w:val="00BB042D"/>
    <w:rsid w:val="00BB15B9"/>
    <w:rsid w:val="00BB2278"/>
    <w:rsid w:val="00BB24F7"/>
    <w:rsid w:val="00BB256C"/>
    <w:rsid w:val="00BB4EF7"/>
    <w:rsid w:val="00BB54FD"/>
    <w:rsid w:val="00BB5BDF"/>
    <w:rsid w:val="00BB5D78"/>
    <w:rsid w:val="00BC0081"/>
    <w:rsid w:val="00BC0722"/>
    <w:rsid w:val="00BC20BC"/>
    <w:rsid w:val="00BC27E4"/>
    <w:rsid w:val="00BC2EAF"/>
    <w:rsid w:val="00BC3076"/>
    <w:rsid w:val="00BC3194"/>
    <w:rsid w:val="00BC3B46"/>
    <w:rsid w:val="00BC3CEB"/>
    <w:rsid w:val="00BC4179"/>
    <w:rsid w:val="00BC46F0"/>
    <w:rsid w:val="00BC59CC"/>
    <w:rsid w:val="00BC5D6D"/>
    <w:rsid w:val="00BC5DFB"/>
    <w:rsid w:val="00BC609F"/>
    <w:rsid w:val="00BC6358"/>
    <w:rsid w:val="00BC70CC"/>
    <w:rsid w:val="00BC721D"/>
    <w:rsid w:val="00BC74FB"/>
    <w:rsid w:val="00BD0437"/>
    <w:rsid w:val="00BD069D"/>
    <w:rsid w:val="00BD0AEF"/>
    <w:rsid w:val="00BD1201"/>
    <w:rsid w:val="00BD1367"/>
    <w:rsid w:val="00BD24A3"/>
    <w:rsid w:val="00BD27DC"/>
    <w:rsid w:val="00BD482A"/>
    <w:rsid w:val="00BD4C42"/>
    <w:rsid w:val="00BD5279"/>
    <w:rsid w:val="00BD540E"/>
    <w:rsid w:val="00BD5AB3"/>
    <w:rsid w:val="00BD5F38"/>
    <w:rsid w:val="00BD6050"/>
    <w:rsid w:val="00BD6DBA"/>
    <w:rsid w:val="00BD7159"/>
    <w:rsid w:val="00BD72B1"/>
    <w:rsid w:val="00BD72FB"/>
    <w:rsid w:val="00BD73CD"/>
    <w:rsid w:val="00BE06D1"/>
    <w:rsid w:val="00BE0918"/>
    <w:rsid w:val="00BE0AD5"/>
    <w:rsid w:val="00BE0E4D"/>
    <w:rsid w:val="00BE1A1E"/>
    <w:rsid w:val="00BE1E8F"/>
    <w:rsid w:val="00BE21D9"/>
    <w:rsid w:val="00BE3CCE"/>
    <w:rsid w:val="00BE4AFB"/>
    <w:rsid w:val="00BE5070"/>
    <w:rsid w:val="00BE6118"/>
    <w:rsid w:val="00BE6E3E"/>
    <w:rsid w:val="00BE71F4"/>
    <w:rsid w:val="00BE7317"/>
    <w:rsid w:val="00BF0082"/>
    <w:rsid w:val="00BF015C"/>
    <w:rsid w:val="00BF0491"/>
    <w:rsid w:val="00BF1920"/>
    <w:rsid w:val="00BF19C9"/>
    <w:rsid w:val="00BF2978"/>
    <w:rsid w:val="00BF2D7E"/>
    <w:rsid w:val="00BF3309"/>
    <w:rsid w:val="00BF3811"/>
    <w:rsid w:val="00BF3B69"/>
    <w:rsid w:val="00BF49EF"/>
    <w:rsid w:val="00BF51FA"/>
    <w:rsid w:val="00BF537C"/>
    <w:rsid w:val="00BF5EEA"/>
    <w:rsid w:val="00BF5FBC"/>
    <w:rsid w:val="00BF7AC7"/>
    <w:rsid w:val="00BF7BD0"/>
    <w:rsid w:val="00C01581"/>
    <w:rsid w:val="00C016D7"/>
    <w:rsid w:val="00C02959"/>
    <w:rsid w:val="00C033E2"/>
    <w:rsid w:val="00C03911"/>
    <w:rsid w:val="00C04169"/>
    <w:rsid w:val="00C069DE"/>
    <w:rsid w:val="00C06F74"/>
    <w:rsid w:val="00C07431"/>
    <w:rsid w:val="00C102A8"/>
    <w:rsid w:val="00C10428"/>
    <w:rsid w:val="00C108F0"/>
    <w:rsid w:val="00C121A8"/>
    <w:rsid w:val="00C12602"/>
    <w:rsid w:val="00C12CC1"/>
    <w:rsid w:val="00C12E24"/>
    <w:rsid w:val="00C12FEB"/>
    <w:rsid w:val="00C1366A"/>
    <w:rsid w:val="00C13A99"/>
    <w:rsid w:val="00C13B77"/>
    <w:rsid w:val="00C13D9A"/>
    <w:rsid w:val="00C13E63"/>
    <w:rsid w:val="00C140CB"/>
    <w:rsid w:val="00C14E6D"/>
    <w:rsid w:val="00C14FDB"/>
    <w:rsid w:val="00C165D8"/>
    <w:rsid w:val="00C16E26"/>
    <w:rsid w:val="00C175DF"/>
    <w:rsid w:val="00C17A50"/>
    <w:rsid w:val="00C21059"/>
    <w:rsid w:val="00C210D5"/>
    <w:rsid w:val="00C228EF"/>
    <w:rsid w:val="00C23169"/>
    <w:rsid w:val="00C23E18"/>
    <w:rsid w:val="00C24A3F"/>
    <w:rsid w:val="00C260F5"/>
    <w:rsid w:val="00C26103"/>
    <w:rsid w:val="00C2629E"/>
    <w:rsid w:val="00C262D2"/>
    <w:rsid w:val="00C27058"/>
    <w:rsid w:val="00C27087"/>
    <w:rsid w:val="00C27A75"/>
    <w:rsid w:val="00C27A9E"/>
    <w:rsid w:val="00C27F21"/>
    <w:rsid w:val="00C30019"/>
    <w:rsid w:val="00C3109B"/>
    <w:rsid w:val="00C31425"/>
    <w:rsid w:val="00C31831"/>
    <w:rsid w:val="00C3187D"/>
    <w:rsid w:val="00C31F49"/>
    <w:rsid w:val="00C321D8"/>
    <w:rsid w:val="00C331C7"/>
    <w:rsid w:val="00C33496"/>
    <w:rsid w:val="00C339D2"/>
    <w:rsid w:val="00C33BA1"/>
    <w:rsid w:val="00C340A3"/>
    <w:rsid w:val="00C344A3"/>
    <w:rsid w:val="00C345C1"/>
    <w:rsid w:val="00C35AF9"/>
    <w:rsid w:val="00C35BBA"/>
    <w:rsid w:val="00C35BFD"/>
    <w:rsid w:val="00C36682"/>
    <w:rsid w:val="00C3684B"/>
    <w:rsid w:val="00C37665"/>
    <w:rsid w:val="00C3787A"/>
    <w:rsid w:val="00C379A3"/>
    <w:rsid w:val="00C37D88"/>
    <w:rsid w:val="00C37F9B"/>
    <w:rsid w:val="00C40145"/>
    <w:rsid w:val="00C4032C"/>
    <w:rsid w:val="00C40868"/>
    <w:rsid w:val="00C40890"/>
    <w:rsid w:val="00C4106C"/>
    <w:rsid w:val="00C41833"/>
    <w:rsid w:val="00C41E78"/>
    <w:rsid w:val="00C421B9"/>
    <w:rsid w:val="00C42398"/>
    <w:rsid w:val="00C42622"/>
    <w:rsid w:val="00C428AB"/>
    <w:rsid w:val="00C42970"/>
    <w:rsid w:val="00C42A29"/>
    <w:rsid w:val="00C42AF8"/>
    <w:rsid w:val="00C43FB7"/>
    <w:rsid w:val="00C45200"/>
    <w:rsid w:val="00C45514"/>
    <w:rsid w:val="00C45A45"/>
    <w:rsid w:val="00C47347"/>
    <w:rsid w:val="00C50A6C"/>
    <w:rsid w:val="00C50F41"/>
    <w:rsid w:val="00C50F71"/>
    <w:rsid w:val="00C51384"/>
    <w:rsid w:val="00C51CDF"/>
    <w:rsid w:val="00C53D80"/>
    <w:rsid w:val="00C5677C"/>
    <w:rsid w:val="00C57053"/>
    <w:rsid w:val="00C57C7A"/>
    <w:rsid w:val="00C61325"/>
    <w:rsid w:val="00C6160A"/>
    <w:rsid w:val="00C617AE"/>
    <w:rsid w:val="00C61967"/>
    <w:rsid w:val="00C61C5C"/>
    <w:rsid w:val="00C62801"/>
    <w:rsid w:val="00C62D6A"/>
    <w:rsid w:val="00C63763"/>
    <w:rsid w:val="00C65976"/>
    <w:rsid w:val="00C65DE1"/>
    <w:rsid w:val="00C6629B"/>
    <w:rsid w:val="00C66476"/>
    <w:rsid w:val="00C66AE9"/>
    <w:rsid w:val="00C67387"/>
    <w:rsid w:val="00C70B0E"/>
    <w:rsid w:val="00C70C54"/>
    <w:rsid w:val="00C71C1F"/>
    <w:rsid w:val="00C71E6F"/>
    <w:rsid w:val="00C722AB"/>
    <w:rsid w:val="00C72C3E"/>
    <w:rsid w:val="00C733F2"/>
    <w:rsid w:val="00C74ED7"/>
    <w:rsid w:val="00C75233"/>
    <w:rsid w:val="00C758CD"/>
    <w:rsid w:val="00C75EF2"/>
    <w:rsid w:val="00C76160"/>
    <w:rsid w:val="00C76A5A"/>
    <w:rsid w:val="00C773F5"/>
    <w:rsid w:val="00C774EA"/>
    <w:rsid w:val="00C8003E"/>
    <w:rsid w:val="00C8017B"/>
    <w:rsid w:val="00C80BD1"/>
    <w:rsid w:val="00C80E86"/>
    <w:rsid w:val="00C81462"/>
    <w:rsid w:val="00C82088"/>
    <w:rsid w:val="00C8217C"/>
    <w:rsid w:val="00C8254F"/>
    <w:rsid w:val="00C82E4F"/>
    <w:rsid w:val="00C8374A"/>
    <w:rsid w:val="00C848A7"/>
    <w:rsid w:val="00C84B4B"/>
    <w:rsid w:val="00C8664F"/>
    <w:rsid w:val="00C87098"/>
    <w:rsid w:val="00C8783B"/>
    <w:rsid w:val="00C87AE6"/>
    <w:rsid w:val="00C87EC6"/>
    <w:rsid w:val="00C903D7"/>
    <w:rsid w:val="00C905B6"/>
    <w:rsid w:val="00C906B6"/>
    <w:rsid w:val="00C9165C"/>
    <w:rsid w:val="00C9168B"/>
    <w:rsid w:val="00C91C0F"/>
    <w:rsid w:val="00C933FA"/>
    <w:rsid w:val="00C93A17"/>
    <w:rsid w:val="00C93CAB"/>
    <w:rsid w:val="00C93CCB"/>
    <w:rsid w:val="00C94319"/>
    <w:rsid w:val="00C946A0"/>
    <w:rsid w:val="00C952E2"/>
    <w:rsid w:val="00C95866"/>
    <w:rsid w:val="00C95E9F"/>
    <w:rsid w:val="00C96CA5"/>
    <w:rsid w:val="00CA0F8A"/>
    <w:rsid w:val="00CA111F"/>
    <w:rsid w:val="00CA1947"/>
    <w:rsid w:val="00CA24A5"/>
    <w:rsid w:val="00CA3BC2"/>
    <w:rsid w:val="00CA4476"/>
    <w:rsid w:val="00CA56B8"/>
    <w:rsid w:val="00CA5D26"/>
    <w:rsid w:val="00CA6020"/>
    <w:rsid w:val="00CA6FD0"/>
    <w:rsid w:val="00CA7604"/>
    <w:rsid w:val="00CA79AE"/>
    <w:rsid w:val="00CA7BA5"/>
    <w:rsid w:val="00CB0BA0"/>
    <w:rsid w:val="00CB1236"/>
    <w:rsid w:val="00CB2A99"/>
    <w:rsid w:val="00CB2CD1"/>
    <w:rsid w:val="00CB56BB"/>
    <w:rsid w:val="00CB5C3E"/>
    <w:rsid w:val="00CB68B1"/>
    <w:rsid w:val="00CB6B2F"/>
    <w:rsid w:val="00CB6E44"/>
    <w:rsid w:val="00CB707F"/>
    <w:rsid w:val="00CB739B"/>
    <w:rsid w:val="00CC0196"/>
    <w:rsid w:val="00CC20DB"/>
    <w:rsid w:val="00CC4DD3"/>
    <w:rsid w:val="00CC4F6E"/>
    <w:rsid w:val="00CC5139"/>
    <w:rsid w:val="00CC5514"/>
    <w:rsid w:val="00CC6D60"/>
    <w:rsid w:val="00CC77AB"/>
    <w:rsid w:val="00CD059A"/>
    <w:rsid w:val="00CD05CF"/>
    <w:rsid w:val="00CD0EB0"/>
    <w:rsid w:val="00CD0FD8"/>
    <w:rsid w:val="00CD0FF1"/>
    <w:rsid w:val="00CD194C"/>
    <w:rsid w:val="00CD2706"/>
    <w:rsid w:val="00CD2DEA"/>
    <w:rsid w:val="00CD5059"/>
    <w:rsid w:val="00CD50A9"/>
    <w:rsid w:val="00CD51FD"/>
    <w:rsid w:val="00CD6166"/>
    <w:rsid w:val="00CD77D6"/>
    <w:rsid w:val="00CD7EE3"/>
    <w:rsid w:val="00CE0C82"/>
    <w:rsid w:val="00CE17C6"/>
    <w:rsid w:val="00CE272B"/>
    <w:rsid w:val="00CE282C"/>
    <w:rsid w:val="00CE35D7"/>
    <w:rsid w:val="00CE36F5"/>
    <w:rsid w:val="00CE406B"/>
    <w:rsid w:val="00CE4882"/>
    <w:rsid w:val="00CE51D1"/>
    <w:rsid w:val="00CE53C4"/>
    <w:rsid w:val="00CE5C7B"/>
    <w:rsid w:val="00CE6426"/>
    <w:rsid w:val="00CE6632"/>
    <w:rsid w:val="00CE6752"/>
    <w:rsid w:val="00CE6870"/>
    <w:rsid w:val="00CE6B86"/>
    <w:rsid w:val="00CE6D6D"/>
    <w:rsid w:val="00CE6F7D"/>
    <w:rsid w:val="00CE7382"/>
    <w:rsid w:val="00CE7BD7"/>
    <w:rsid w:val="00CE7C0C"/>
    <w:rsid w:val="00CF0568"/>
    <w:rsid w:val="00CF1625"/>
    <w:rsid w:val="00CF1FF9"/>
    <w:rsid w:val="00CF2318"/>
    <w:rsid w:val="00CF31E2"/>
    <w:rsid w:val="00CF342D"/>
    <w:rsid w:val="00CF49D5"/>
    <w:rsid w:val="00CF4ECD"/>
    <w:rsid w:val="00CF50D5"/>
    <w:rsid w:val="00CF63B3"/>
    <w:rsid w:val="00CF6566"/>
    <w:rsid w:val="00CF6E71"/>
    <w:rsid w:val="00CF7BD9"/>
    <w:rsid w:val="00D00154"/>
    <w:rsid w:val="00D01006"/>
    <w:rsid w:val="00D01EA1"/>
    <w:rsid w:val="00D020C2"/>
    <w:rsid w:val="00D0237E"/>
    <w:rsid w:val="00D03071"/>
    <w:rsid w:val="00D03755"/>
    <w:rsid w:val="00D03B83"/>
    <w:rsid w:val="00D043AA"/>
    <w:rsid w:val="00D04925"/>
    <w:rsid w:val="00D05703"/>
    <w:rsid w:val="00D05825"/>
    <w:rsid w:val="00D06269"/>
    <w:rsid w:val="00D068A5"/>
    <w:rsid w:val="00D06C14"/>
    <w:rsid w:val="00D07761"/>
    <w:rsid w:val="00D10CC7"/>
    <w:rsid w:val="00D11404"/>
    <w:rsid w:val="00D115D6"/>
    <w:rsid w:val="00D1183C"/>
    <w:rsid w:val="00D11DB4"/>
    <w:rsid w:val="00D1431F"/>
    <w:rsid w:val="00D14FE8"/>
    <w:rsid w:val="00D159E3"/>
    <w:rsid w:val="00D15F44"/>
    <w:rsid w:val="00D16012"/>
    <w:rsid w:val="00D16BB2"/>
    <w:rsid w:val="00D1706A"/>
    <w:rsid w:val="00D2078F"/>
    <w:rsid w:val="00D207BD"/>
    <w:rsid w:val="00D20AC9"/>
    <w:rsid w:val="00D21790"/>
    <w:rsid w:val="00D23228"/>
    <w:rsid w:val="00D23A6F"/>
    <w:rsid w:val="00D246FB"/>
    <w:rsid w:val="00D24D56"/>
    <w:rsid w:val="00D25C0C"/>
    <w:rsid w:val="00D263B9"/>
    <w:rsid w:val="00D263FB"/>
    <w:rsid w:val="00D26933"/>
    <w:rsid w:val="00D26F7D"/>
    <w:rsid w:val="00D27091"/>
    <w:rsid w:val="00D3179D"/>
    <w:rsid w:val="00D319B6"/>
    <w:rsid w:val="00D31C35"/>
    <w:rsid w:val="00D321D7"/>
    <w:rsid w:val="00D33516"/>
    <w:rsid w:val="00D33F91"/>
    <w:rsid w:val="00D344BC"/>
    <w:rsid w:val="00D3496D"/>
    <w:rsid w:val="00D35845"/>
    <w:rsid w:val="00D35BDF"/>
    <w:rsid w:val="00D361EF"/>
    <w:rsid w:val="00D364F2"/>
    <w:rsid w:val="00D369B9"/>
    <w:rsid w:val="00D36C88"/>
    <w:rsid w:val="00D4084A"/>
    <w:rsid w:val="00D41285"/>
    <w:rsid w:val="00D41A35"/>
    <w:rsid w:val="00D42259"/>
    <w:rsid w:val="00D425E3"/>
    <w:rsid w:val="00D43B90"/>
    <w:rsid w:val="00D4406D"/>
    <w:rsid w:val="00D44110"/>
    <w:rsid w:val="00D4424C"/>
    <w:rsid w:val="00D4427D"/>
    <w:rsid w:val="00D44869"/>
    <w:rsid w:val="00D4505D"/>
    <w:rsid w:val="00D4520D"/>
    <w:rsid w:val="00D4589A"/>
    <w:rsid w:val="00D45D98"/>
    <w:rsid w:val="00D46633"/>
    <w:rsid w:val="00D47058"/>
    <w:rsid w:val="00D47879"/>
    <w:rsid w:val="00D501C7"/>
    <w:rsid w:val="00D5057A"/>
    <w:rsid w:val="00D50643"/>
    <w:rsid w:val="00D50B82"/>
    <w:rsid w:val="00D55042"/>
    <w:rsid w:val="00D55479"/>
    <w:rsid w:val="00D555D6"/>
    <w:rsid w:val="00D556D5"/>
    <w:rsid w:val="00D5664F"/>
    <w:rsid w:val="00D57286"/>
    <w:rsid w:val="00D574E9"/>
    <w:rsid w:val="00D57AFD"/>
    <w:rsid w:val="00D60763"/>
    <w:rsid w:val="00D6137B"/>
    <w:rsid w:val="00D614D1"/>
    <w:rsid w:val="00D616B3"/>
    <w:rsid w:val="00D61B6C"/>
    <w:rsid w:val="00D61BB1"/>
    <w:rsid w:val="00D622DF"/>
    <w:rsid w:val="00D62A24"/>
    <w:rsid w:val="00D63526"/>
    <w:rsid w:val="00D637AA"/>
    <w:rsid w:val="00D63876"/>
    <w:rsid w:val="00D6420B"/>
    <w:rsid w:val="00D6526F"/>
    <w:rsid w:val="00D6584F"/>
    <w:rsid w:val="00D65D07"/>
    <w:rsid w:val="00D662E0"/>
    <w:rsid w:val="00D6690A"/>
    <w:rsid w:val="00D66A0A"/>
    <w:rsid w:val="00D67805"/>
    <w:rsid w:val="00D67E41"/>
    <w:rsid w:val="00D70377"/>
    <w:rsid w:val="00D703D4"/>
    <w:rsid w:val="00D704C3"/>
    <w:rsid w:val="00D706EF"/>
    <w:rsid w:val="00D70B92"/>
    <w:rsid w:val="00D71190"/>
    <w:rsid w:val="00D7198A"/>
    <w:rsid w:val="00D71B25"/>
    <w:rsid w:val="00D7208B"/>
    <w:rsid w:val="00D73CF3"/>
    <w:rsid w:val="00D73ED2"/>
    <w:rsid w:val="00D744FD"/>
    <w:rsid w:val="00D745FC"/>
    <w:rsid w:val="00D74E7B"/>
    <w:rsid w:val="00D7547F"/>
    <w:rsid w:val="00D755E3"/>
    <w:rsid w:val="00D7646E"/>
    <w:rsid w:val="00D76A74"/>
    <w:rsid w:val="00D76C31"/>
    <w:rsid w:val="00D770F5"/>
    <w:rsid w:val="00D779D8"/>
    <w:rsid w:val="00D8016C"/>
    <w:rsid w:val="00D8078E"/>
    <w:rsid w:val="00D80F98"/>
    <w:rsid w:val="00D81371"/>
    <w:rsid w:val="00D82A0F"/>
    <w:rsid w:val="00D840A8"/>
    <w:rsid w:val="00D8427F"/>
    <w:rsid w:val="00D84B8C"/>
    <w:rsid w:val="00D84D28"/>
    <w:rsid w:val="00D851D0"/>
    <w:rsid w:val="00D853DC"/>
    <w:rsid w:val="00D854A0"/>
    <w:rsid w:val="00D85CD9"/>
    <w:rsid w:val="00D86023"/>
    <w:rsid w:val="00D86511"/>
    <w:rsid w:val="00D872B3"/>
    <w:rsid w:val="00D878C8"/>
    <w:rsid w:val="00D87A64"/>
    <w:rsid w:val="00D90502"/>
    <w:rsid w:val="00D906A7"/>
    <w:rsid w:val="00D90CCB"/>
    <w:rsid w:val="00D9129E"/>
    <w:rsid w:val="00D921B5"/>
    <w:rsid w:val="00D9243E"/>
    <w:rsid w:val="00D92546"/>
    <w:rsid w:val="00D94EFB"/>
    <w:rsid w:val="00D95E92"/>
    <w:rsid w:val="00D96207"/>
    <w:rsid w:val="00D96B78"/>
    <w:rsid w:val="00D96CC4"/>
    <w:rsid w:val="00D96F5D"/>
    <w:rsid w:val="00D96F72"/>
    <w:rsid w:val="00D97205"/>
    <w:rsid w:val="00D97206"/>
    <w:rsid w:val="00D97788"/>
    <w:rsid w:val="00DA0AB2"/>
    <w:rsid w:val="00DA1195"/>
    <w:rsid w:val="00DA19DA"/>
    <w:rsid w:val="00DA1B67"/>
    <w:rsid w:val="00DA226E"/>
    <w:rsid w:val="00DA54B6"/>
    <w:rsid w:val="00DA6382"/>
    <w:rsid w:val="00DA773A"/>
    <w:rsid w:val="00DA7B9B"/>
    <w:rsid w:val="00DB23B1"/>
    <w:rsid w:val="00DB305D"/>
    <w:rsid w:val="00DB4056"/>
    <w:rsid w:val="00DB5EF8"/>
    <w:rsid w:val="00DB6ABD"/>
    <w:rsid w:val="00DB6DBA"/>
    <w:rsid w:val="00DB7090"/>
    <w:rsid w:val="00DB73AD"/>
    <w:rsid w:val="00DB7793"/>
    <w:rsid w:val="00DB7983"/>
    <w:rsid w:val="00DB7DFF"/>
    <w:rsid w:val="00DC136A"/>
    <w:rsid w:val="00DC1FDC"/>
    <w:rsid w:val="00DC2362"/>
    <w:rsid w:val="00DC2469"/>
    <w:rsid w:val="00DC29F4"/>
    <w:rsid w:val="00DC2E3E"/>
    <w:rsid w:val="00DC405C"/>
    <w:rsid w:val="00DC6AF7"/>
    <w:rsid w:val="00DC7396"/>
    <w:rsid w:val="00DC7CCD"/>
    <w:rsid w:val="00DD09C6"/>
    <w:rsid w:val="00DD0D66"/>
    <w:rsid w:val="00DD0EE2"/>
    <w:rsid w:val="00DD0F8E"/>
    <w:rsid w:val="00DD1472"/>
    <w:rsid w:val="00DD1872"/>
    <w:rsid w:val="00DD194C"/>
    <w:rsid w:val="00DD1F27"/>
    <w:rsid w:val="00DD2141"/>
    <w:rsid w:val="00DD2183"/>
    <w:rsid w:val="00DD3720"/>
    <w:rsid w:val="00DD3F54"/>
    <w:rsid w:val="00DD424C"/>
    <w:rsid w:val="00DD4260"/>
    <w:rsid w:val="00DD4600"/>
    <w:rsid w:val="00DD4F41"/>
    <w:rsid w:val="00DD59D4"/>
    <w:rsid w:val="00DD5ACF"/>
    <w:rsid w:val="00DD6A91"/>
    <w:rsid w:val="00DD6BE8"/>
    <w:rsid w:val="00DD72FF"/>
    <w:rsid w:val="00DD7811"/>
    <w:rsid w:val="00DD7CF2"/>
    <w:rsid w:val="00DD7D5B"/>
    <w:rsid w:val="00DD7D6B"/>
    <w:rsid w:val="00DE010F"/>
    <w:rsid w:val="00DE0A1A"/>
    <w:rsid w:val="00DE1605"/>
    <w:rsid w:val="00DE30CB"/>
    <w:rsid w:val="00DE35AB"/>
    <w:rsid w:val="00DE3F27"/>
    <w:rsid w:val="00DE471E"/>
    <w:rsid w:val="00DE4785"/>
    <w:rsid w:val="00DE488A"/>
    <w:rsid w:val="00DE5241"/>
    <w:rsid w:val="00DE5528"/>
    <w:rsid w:val="00DE5C93"/>
    <w:rsid w:val="00DE641D"/>
    <w:rsid w:val="00DE67B2"/>
    <w:rsid w:val="00DE72FB"/>
    <w:rsid w:val="00DE794B"/>
    <w:rsid w:val="00DE7DD0"/>
    <w:rsid w:val="00DF127D"/>
    <w:rsid w:val="00DF1285"/>
    <w:rsid w:val="00DF134A"/>
    <w:rsid w:val="00DF15E6"/>
    <w:rsid w:val="00DF1D61"/>
    <w:rsid w:val="00DF20E2"/>
    <w:rsid w:val="00DF27D9"/>
    <w:rsid w:val="00DF28F3"/>
    <w:rsid w:val="00DF3EA4"/>
    <w:rsid w:val="00DF42F7"/>
    <w:rsid w:val="00DF48EC"/>
    <w:rsid w:val="00DF492E"/>
    <w:rsid w:val="00DF4BF8"/>
    <w:rsid w:val="00DF5DB1"/>
    <w:rsid w:val="00DF6802"/>
    <w:rsid w:val="00E000D6"/>
    <w:rsid w:val="00E00701"/>
    <w:rsid w:val="00E01100"/>
    <w:rsid w:val="00E01397"/>
    <w:rsid w:val="00E02040"/>
    <w:rsid w:val="00E02087"/>
    <w:rsid w:val="00E02F06"/>
    <w:rsid w:val="00E03154"/>
    <w:rsid w:val="00E03C90"/>
    <w:rsid w:val="00E04726"/>
    <w:rsid w:val="00E0513E"/>
    <w:rsid w:val="00E05B33"/>
    <w:rsid w:val="00E05CE4"/>
    <w:rsid w:val="00E06BB0"/>
    <w:rsid w:val="00E079F9"/>
    <w:rsid w:val="00E07CE9"/>
    <w:rsid w:val="00E07EA4"/>
    <w:rsid w:val="00E100AE"/>
    <w:rsid w:val="00E1149E"/>
    <w:rsid w:val="00E12DD5"/>
    <w:rsid w:val="00E13819"/>
    <w:rsid w:val="00E13C47"/>
    <w:rsid w:val="00E14610"/>
    <w:rsid w:val="00E14C03"/>
    <w:rsid w:val="00E1572B"/>
    <w:rsid w:val="00E16AEB"/>
    <w:rsid w:val="00E178F6"/>
    <w:rsid w:val="00E20475"/>
    <w:rsid w:val="00E20F00"/>
    <w:rsid w:val="00E21A07"/>
    <w:rsid w:val="00E21FC9"/>
    <w:rsid w:val="00E22621"/>
    <w:rsid w:val="00E2404B"/>
    <w:rsid w:val="00E25A13"/>
    <w:rsid w:val="00E25CDF"/>
    <w:rsid w:val="00E26BDB"/>
    <w:rsid w:val="00E270F6"/>
    <w:rsid w:val="00E27B58"/>
    <w:rsid w:val="00E30122"/>
    <w:rsid w:val="00E32B5E"/>
    <w:rsid w:val="00E32B7A"/>
    <w:rsid w:val="00E32C18"/>
    <w:rsid w:val="00E33210"/>
    <w:rsid w:val="00E337A4"/>
    <w:rsid w:val="00E3434D"/>
    <w:rsid w:val="00E34559"/>
    <w:rsid w:val="00E371E9"/>
    <w:rsid w:val="00E4000D"/>
    <w:rsid w:val="00E40B94"/>
    <w:rsid w:val="00E416D6"/>
    <w:rsid w:val="00E417B7"/>
    <w:rsid w:val="00E43069"/>
    <w:rsid w:val="00E43169"/>
    <w:rsid w:val="00E45739"/>
    <w:rsid w:val="00E47FB6"/>
    <w:rsid w:val="00E52D16"/>
    <w:rsid w:val="00E53E57"/>
    <w:rsid w:val="00E54133"/>
    <w:rsid w:val="00E54FEF"/>
    <w:rsid w:val="00E55A48"/>
    <w:rsid w:val="00E560F8"/>
    <w:rsid w:val="00E5643B"/>
    <w:rsid w:val="00E566A2"/>
    <w:rsid w:val="00E570B1"/>
    <w:rsid w:val="00E571AE"/>
    <w:rsid w:val="00E57DD0"/>
    <w:rsid w:val="00E60680"/>
    <w:rsid w:val="00E6113E"/>
    <w:rsid w:val="00E620C2"/>
    <w:rsid w:val="00E62391"/>
    <w:rsid w:val="00E625F9"/>
    <w:rsid w:val="00E62C37"/>
    <w:rsid w:val="00E62C5B"/>
    <w:rsid w:val="00E63A6E"/>
    <w:rsid w:val="00E63E7D"/>
    <w:rsid w:val="00E64B74"/>
    <w:rsid w:val="00E64F2A"/>
    <w:rsid w:val="00E66F91"/>
    <w:rsid w:val="00E66FD4"/>
    <w:rsid w:val="00E70014"/>
    <w:rsid w:val="00E70F0F"/>
    <w:rsid w:val="00E7117B"/>
    <w:rsid w:val="00E7172C"/>
    <w:rsid w:val="00E719C3"/>
    <w:rsid w:val="00E72B6A"/>
    <w:rsid w:val="00E740B8"/>
    <w:rsid w:val="00E746AC"/>
    <w:rsid w:val="00E755A9"/>
    <w:rsid w:val="00E75BA7"/>
    <w:rsid w:val="00E75E9B"/>
    <w:rsid w:val="00E7602E"/>
    <w:rsid w:val="00E76310"/>
    <w:rsid w:val="00E771D2"/>
    <w:rsid w:val="00E771D7"/>
    <w:rsid w:val="00E7735A"/>
    <w:rsid w:val="00E77BAE"/>
    <w:rsid w:val="00E77EEC"/>
    <w:rsid w:val="00E80899"/>
    <w:rsid w:val="00E80A39"/>
    <w:rsid w:val="00E813BE"/>
    <w:rsid w:val="00E81DF3"/>
    <w:rsid w:val="00E81E23"/>
    <w:rsid w:val="00E826EC"/>
    <w:rsid w:val="00E82773"/>
    <w:rsid w:val="00E8376C"/>
    <w:rsid w:val="00E84172"/>
    <w:rsid w:val="00E84C5D"/>
    <w:rsid w:val="00E8570B"/>
    <w:rsid w:val="00E85893"/>
    <w:rsid w:val="00E85A9D"/>
    <w:rsid w:val="00E85C27"/>
    <w:rsid w:val="00E865F9"/>
    <w:rsid w:val="00E86907"/>
    <w:rsid w:val="00E86966"/>
    <w:rsid w:val="00E86CF5"/>
    <w:rsid w:val="00E86DF7"/>
    <w:rsid w:val="00E87913"/>
    <w:rsid w:val="00E91838"/>
    <w:rsid w:val="00E91B47"/>
    <w:rsid w:val="00E92204"/>
    <w:rsid w:val="00E9264A"/>
    <w:rsid w:val="00E92F30"/>
    <w:rsid w:val="00E9305F"/>
    <w:rsid w:val="00E9328D"/>
    <w:rsid w:val="00E93557"/>
    <w:rsid w:val="00E93D63"/>
    <w:rsid w:val="00E9453A"/>
    <w:rsid w:val="00E954DA"/>
    <w:rsid w:val="00E961D8"/>
    <w:rsid w:val="00E96E57"/>
    <w:rsid w:val="00E972E8"/>
    <w:rsid w:val="00E97955"/>
    <w:rsid w:val="00E97987"/>
    <w:rsid w:val="00E97A48"/>
    <w:rsid w:val="00E97C2A"/>
    <w:rsid w:val="00EA020C"/>
    <w:rsid w:val="00EA0275"/>
    <w:rsid w:val="00EA0B4D"/>
    <w:rsid w:val="00EA0C0A"/>
    <w:rsid w:val="00EA0C92"/>
    <w:rsid w:val="00EA0D50"/>
    <w:rsid w:val="00EA1F71"/>
    <w:rsid w:val="00EA2EA2"/>
    <w:rsid w:val="00EA529A"/>
    <w:rsid w:val="00EA63E1"/>
    <w:rsid w:val="00EA6806"/>
    <w:rsid w:val="00EA7110"/>
    <w:rsid w:val="00EA7330"/>
    <w:rsid w:val="00EA7E8E"/>
    <w:rsid w:val="00EB069C"/>
    <w:rsid w:val="00EB0F11"/>
    <w:rsid w:val="00EB123C"/>
    <w:rsid w:val="00EB1689"/>
    <w:rsid w:val="00EB2538"/>
    <w:rsid w:val="00EB274C"/>
    <w:rsid w:val="00EB27D7"/>
    <w:rsid w:val="00EB287E"/>
    <w:rsid w:val="00EB296F"/>
    <w:rsid w:val="00EB2F01"/>
    <w:rsid w:val="00EB327E"/>
    <w:rsid w:val="00EB3A4E"/>
    <w:rsid w:val="00EB3A53"/>
    <w:rsid w:val="00EB424F"/>
    <w:rsid w:val="00EB4482"/>
    <w:rsid w:val="00EB50A0"/>
    <w:rsid w:val="00EB694B"/>
    <w:rsid w:val="00EB6D4C"/>
    <w:rsid w:val="00EC01DA"/>
    <w:rsid w:val="00EC04EF"/>
    <w:rsid w:val="00EC07FC"/>
    <w:rsid w:val="00EC0AA9"/>
    <w:rsid w:val="00EC2326"/>
    <w:rsid w:val="00EC3776"/>
    <w:rsid w:val="00EC436F"/>
    <w:rsid w:val="00EC55AF"/>
    <w:rsid w:val="00EC5C3F"/>
    <w:rsid w:val="00EC6146"/>
    <w:rsid w:val="00EC6D40"/>
    <w:rsid w:val="00EC7890"/>
    <w:rsid w:val="00ED131D"/>
    <w:rsid w:val="00ED1A19"/>
    <w:rsid w:val="00ED2F2A"/>
    <w:rsid w:val="00ED3A3B"/>
    <w:rsid w:val="00ED3C47"/>
    <w:rsid w:val="00ED3CDB"/>
    <w:rsid w:val="00ED4131"/>
    <w:rsid w:val="00ED428E"/>
    <w:rsid w:val="00ED4EFE"/>
    <w:rsid w:val="00ED5222"/>
    <w:rsid w:val="00ED56DC"/>
    <w:rsid w:val="00ED747E"/>
    <w:rsid w:val="00ED7CF1"/>
    <w:rsid w:val="00ED7E90"/>
    <w:rsid w:val="00EE03E4"/>
    <w:rsid w:val="00EE0B4C"/>
    <w:rsid w:val="00EE1314"/>
    <w:rsid w:val="00EE162E"/>
    <w:rsid w:val="00EE1993"/>
    <w:rsid w:val="00EE1A25"/>
    <w:rsid w:val="00EE1F86"/>
    <w:rsid w:val="00EE2D0B"/>
    <w:rsid w:val="00EE2F90"/>
    <w:rsid w:val="00EE3EFE"/>
    <w:rsid w:val="00EE444D"/>
    <w:rsid w:val="00EE4BA2"/>
    <w:rsid w:val="00EE5925"/>
    <w:rsid w:val="00EE5BC6"/>
    <w:rsid w:val="00EE6120"/>
    <w:rsid w:val="00EE6191"/>
    <w:rsid w:val="00EE703D"/>
    <w:rsid w:val="00EF072B"/>
    <w:rsid w:val="00EF08A7"/>
    <w:rsid w:val="00EF1416"/>
    <w:rsid w:val="00EF16B0"/>
    <w:rsid w:val="00EF1E8F"/>
    <w:rsid w:val="00EF226B"/>
    <w:rsid w:val="00EF25AB"/>
    <w:rsid w:val="00EF2A7C"/>
    <w:rsid w:val="00EF2A8F"/>
    <w:rsid w:val="00EF2B07"/>
    <w:rsid w:val="00EF3760"/>
    <w:rsid w:val="00EF4B80"/>
    <w:rsid w:val="00EF4C3E"/>
    <w:rsid w:val="00EF5B50"/>
    <w:rsid w:val="00EF5E1F"/>
    <w:rsid w:val="00EF5EB4"/>
    <w:rsid w:val="00EF74F9"/>
    <w:rsid w:val="00EF7FAF"/>
    <w:rsid w:val="00F0012B"/>
    <w:rsid w:val="00F00823"/>
    <w:rsid w:val="00F00AFF"/>
    <w:rsid w:val="00F01019"/>
    <w:rsid w:val="00F0118A"/>
    <w:rsid w:val="00F015C8"/>
    <w:rsid w:val="00F01879"/>
    <w:rsid w:val="00F02747"/>
    <w:rsid w:val="00F02AD0"/>
    <w:rsid w:val="00F032DB"/>
    <w:rsid w:val="00F0333B"/>
    <w:rsid w:val="00F04B62"/>
    <w:rsid w:val="00F051F0"/>
    <w:rsid w:val="00F06887"/>
    <w:rsid w:val="00F06B8C"/>
    <w:rsid w:val="00F07093"/>
    <w:rsid w:val="00F072C9"/>
    <w:rsid w:val="00F07DA5"/>
    <w:rsid w:val="00F1043E"/>
    <w:rsid w:val="00F10648"/>
    <w:rsid w:val="00F109F1"/>
    <w:rsid w:val="00F10DB4"/>
    <w:rsid w:val="00F10F15"/>
    <w:rsid w:val="00F11243"/>
    <w:rsid w:val="00F1145A"/>
    <w:rsid w:val="00F12464"/>
    <w:rsid w:val="00F1262B"/>
    <w:rsid w:val="00F12CAE"/>
    <w:rsid w:val="00F1389D"/>
    <w:rsid w:val="00F14B71"/>
    <w:rsid w:val="00F15889"/>
    <w:rsid w:val="00F15AAF"/>
    <w:rsid w:val="00F15C1B"/>
    <w:rsid w:val="00F16D1E"/>
    <w:rsid w:val="00F16ECC"/>
    <w:rsid w:val="00F17E02"/>
    <w:rsid w:val="00F17E5B"/>
    <w:rsid w:val="00F22C2C"/>
    <w:rsid w:val="00F231EC"/>
    <w:rsid w:val="00F2358F"/>
    <w:rsid w:val="00F23AC7"/>
    <w:rsid w:val="00F2496C"/>
    <w:rsid w:val="00F249B4"/>
    <w:rsid w:val="00F2508A"/>
    <w:rsid w:val="00F2607C"/>
    <w:rsid w:val="00F27450"/>
    <w:rsid w:val="00F27D70"/>
    <w:rsid w:val="00F27F3E"/>
    <w:rsid w:val="00F30315"/>
    <w:rsid w:val="00F305FB"/>
    <w:rsid w:val="00F30776"/>
    <w:rsid w:val="00F30DFA"/>
    <w:rsid w:val="00F3106C"/>
    <w:rsid w:val="00F3132C"/>
    <w:rsid w:val="00F31C1A"/>
    <w:rsid w:val="00F325FB"/>
    <w:rsid w:val="00F339B2"/>
    <w:rsid w:val="00F33C2D"/>
    <w:rsid w:val="00F34531"/>
    <w:rsid w:val="00F34C41"/>
    <w:rsid w:val="00F35AA8"/>
    <w:rsid w:val="00F35C91"/>
    <w:rsid w:val="00F35D5B"/>
    <w:rsid w:val="00F3704E"/>
    <w:rsid w:val="00F3761F"/>
    <w:rsid w:val="00F377DC"/>
    <w:rsid w:val="00F37A7F"/>
    <w:rsid w:val="00F40491"/>
    <w:rsid w:val="00F406DD"/>
    <w:rsid w:val="00F41154"/>
    <w:rsid w:val="00F416C1"/>
    <w:rsid w:val="00F4341F"/>
    <w:rsid w:val="00F43CB0"/>
    <w:rsid w:val="00F44B0F"/>
    <w:rsid w:val="00F45263"/>
    <w:rsid w:val="00F45562"/>
    <w:rsid w:val="00F45703"/>
    <w:rsid w:val="00F45711"/>
    <w:rsid w:val="00F45957"/>
    <w:rsid w:val="00F45981"/>
    <w:rsid w:val="00F469F5"/>
    <w:rsid w:val="00F47606"/>
    <w:rsid w:val="00F47841"/>
    <w:rsid w:val="00F50387"/>
    <w:rsid w:val="00F50B7B"/>
    <w:rsid w:val="00F51344"/>
    <w:rsid w:val="00F519E8"/>
    <w:rsid w:val="00F53DE2"/>
    <w:rsid w:val="00F5473A"/>
    <w:rsid w:val="00F54B07"/>
    <w:rsid w:val="00F5545B"/>
    <w:rsid w:val="00F557D3"/>
    <w:rsid w:val="00F55FA1"/>
    <w:rsid w:val="00F569BC"/>
    <w:rsid w:val="00F57360"/>
    <w:rsid w:val="00F57570"/>
    <w:rsid w:val="00F57D70"/>
    <w:rsid w:val="00F60065"/>
    <w:rsid w:val="00F603AE"/>
    <w:rsid w:val="00F62A32"/>
    <w:rsid w:val="00F62C15"/>
    <w:rsid w:val="00F64729"/>
    <w:rsid w:val="00F647DB"/>
    <w:rsid w:val="00F65578"/>
    <w:rsid w:val="00F662F8"/>
    <w:rsid w:val="00F66C42"/>
    <w:rsid w:val="00F67D31"/>
    <w:rsid w:val="00F70180"/>
    <w:rsid w:val="00F70270"/>
    <w:rsid w:val="00F70665"/>
    <w:rsid w:val="00F716CA"/>
    <w:rsid w:val="00F71CBF"/>
    <w:rsid w:val="00F72C77"/>
    <w:rsid w:val="00F72D6B"/>
    <w:rsid w:val="00F72F35"/>
    <w:rsid w:val="00F72F89"/>
    <w:rsid w:val="00F7386F"/>
    <w:rsid w:val="00F73996"/>
    <w:rsid w:val="00F73F67"/>
    <w:rsid w:val="00F747DE"/>
    <w:rsid w:val="00F74EE8"/>
    <w:rsid w:val="00F7591A"/>
    <w:rsid w:val="00F759AA"/>
    <w:rsid w:val="00F75AA8"/>
    <w:rsid w:val="00F779CA"/>
    <w:rsid w:val="00F8045E"/>
    <w:rsid w:val="00F80F5A"/>
    <w:rsid w:val="00F82861"/>
    <w:rsid w:val="00F829C3"/>
    <w:rsid w:val="00F82CBB"/>
    <w:rsid w:val="00F8308E"/>
    <w:rsid w:val="00F833C8"/>
    <w:rsid w:val="00F835A6"/>
    <w:rsid w:val="00F83AFA"/>
    <w:rsid w:val="00F83E85"/>
    <w:rsid w:val="00F84117"/>
    <w:rsid w:val="00F851D2"/>
    <w:rsid w:val="00F85DAB"/>
    <w:rsid w:val="00F868E7"/>
    <w:rsid w:val="00F871F8"/>
    <w:rsid w:val="00F87E3A"/>
    <w:rsid w:val="00F90185"/>
    <w:rsid w:val="00F90C28"/>
    <w:rsid w:val="00F91044"/>
    <w:rsid w:val="00F919B6"/>
    <w:rsid w:val="00F9214A"/>
    <w:rsid w:val="00F922D0"/>
    <w:rsid w:val="00F92983"/>
    <w:rsid w:val="00F92C11"/>
    <w:rsid w:val="00F93B3C"/>
    <w:rsid w:val="00F94AB4"/>
    <w:rsid w:val="00F94B61"/>
    <w:rsid w:val="00F95B1E"/>
    <w:rsid w:val="00F95C48"/>
    <w:rsid w:val="00F962DC"/>
    <w:rsid w:val="00F96BD0"/>
    <w:rsid w:val="00F96F60"/>
    <w:rsid w:val="00F97106"/>
    <w:rsid w:val="00F97812"/>
    <w:rsid w:val="00FA0228"/>
    <w:rsid w:val="00FA30E4"/>
    <w:rsid w:val="00FA3455"/>
    <w:rsid w:val="00FA3C91"/>
    <w:rsid w:val="00FA42C8"/>
    <w:rsid w:val="00FA42F2"/>
    <w:rsid w:val="00FA4AD9"/>
    <w:rsid w:val="00FA52C6"/>
    <w:rsid w:val="00FA62CF"/>
    <w:rsid w:val="00FA64D6"/>
    <w:rsid w:val="00FA7FDD"/>
    <w:rsid w:val="00FB0D04"/>
    <w:rsid w:val="00FB10B0"/>
    <w:rsid w:val="00FB1E94"/>
    <w:rsid w:val="00FB220A"/>
    <w:rsid w:val="00FB248A"/>
    <w:rsid w:val="00FB25A9"/>
    <w:rsid w:val="00FB37D8"/>
    <w:rsid w:val="00FB3E42"/>
    <w:rsid w:val="00FB4338"/>
    <w:rsid w:val="00FB5D72"/>
    <w:rsid w:val="00FB769F"/>
    <w:rsid w:val="00FC0089"/>
    <w:rsid w:val="00FC0E17"/>
    <w:rsid w:val="00FC145A"/>
    <w:rsid w:val="00FC19EA"/>
    <w:rsid w:val="00FC26AD"/>
    <w:rsid w:val="00FC3289"/>
    <w:rsid w:val="00FC3B3D"/>
    <w:rsid w:val="00FC42AA"/>
    <w:rsid w:val="00FC43B4"/>
    <w:rsid w:val="00FC4932"/>
    <w:rsid w:val="00FC5783"/>
    <w:rsid w:val="00FC58B0"/>
    <w:rsid w:val="00FC72E6"/>
    <w:rsid w:val="00FC74D6"/>
    <w:rsid w:val="00FC7648"/>
    <w:rsid w:val="00FC7875"/>
    <w:rsid w:val="00FC7D9C"/>
    <w:rsid w:val="00FD038F"/>
    <w:rsid w:val="00FD06FD"/>
    <w:rsid w:val="00FD074D"/>
    <w:rsid w:val="00FD0755"/>
    <w:rsid w:val="00FD0D12"/>
    <w:rsid w:val="00FD13A8"/>
    <w:rsid w:val="00FD19A7"/>
    <w:rsid w:val="00FD1AFF"/>
    <w:rsid w:val="00FD2186"/>
    <w:rsid w:val="00FD28BD"/>
    <w:rsid w:val="00FD2A4E"/>
    <w:rsid w:val="00FD2C9B"/>
    <w:rsid w:val="00FD3C07"/>
    <w:rsid w:val="00FD3CF0"/>
    <w:rsid w:val="00FD3D1C"/>
    <w:rsid w:val="00FD41C2"/>
    <w:rsid w:val="00FD4F6E"/>
    <w:rsid w:val="00FD5B5A"/>
    <w:rsid w:val="00FD6A58"/>
    <w:rsid w:val="00FD7CCA"/>
    <w:rsid w:val="00FE03B8"/>
    <w:rsid w:val="00FE0776"/>
    <w:rsid w:val="00FE0C1B"/>
    <w:rsid w:val="00FE19BC"/>
    <w:rsid w:val="00FE26E8"/>
    <w:rsid w:val="00FE27D9"/>
    <w:rsid w:val="00FE27E8"/>
    <w:rsid w:val="00FE359C"/>
    <w:rsid w:val="00FE35FD"/>
    <w:rsid w:val="00FE3C0A"/>
    <w:rsid w:val="00FE4054"/>
    <w:rsid w:val="00FE4935"/>
    <w:rsid w:val="00FE4B8C"/>
    <w:rsid w:val="00FE5069"/>
    <w:rsid w:val="00FE60C0"/>
    <w:rsid w:val="00FE663B"/>
    <w:rsid w:val="00FE6752"/>
    <w:rsid w:val="00FE6E35"/>
    <w:rsid w:val="00FE753B"/>
    <w:rsid w:val="00FE774B"/>
    <w:rsid w:val="00FE7AF5"/>
    <w:rsid w:val="00FF0AD1"/>
    <w:rsid w:val="00FF1095"/>
    <w:rsid w:val="00FF1318"/>
    <w:rsid w:val="00FF1971"/>
    <w:rsid w:val="00FF28F7"/>
    <w:rsid w:val="00FF2E65"/>
    <w:rsid w:val="00FF323F"/>
    <w:rsid w:val="00FF36C9"/>
    <w:rsid w:val="00FF3F65"/>
    <w:rsid w:val="00FF4836"/>
    <w:rsid w:val="00FF5509"/>
    <w:rsid w:val="00FF55A6"/>
    <w:rsid w:val="00FF5AFE"/>
    <w:rsid w:val="00FF669B"/>
    <w:rsid w:val="00FF7023"/>
    <w:rsid w:val="00FF77F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3" fillcolor="none [3201]" strokecolor="none [1940]">
      <v:fill color="none [3201]" color2="none [1300]" focusposition="1" focussize="" focus="10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FDB"/>
  </w:style>
  <w:style w:type="paragraph" w:styleId="Heading1">
    <w:name w:val="heading 1"/>
    <w:basedOn w:val="Normal"/>
    <w:next w:val="Normal"/>
    <w:link w:val="Heading1Char"/>
    <w:uiPriority w:val="9"/>
    <w:qFormat/>
    <w:rsid w:val="001B7226"/>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Heading2">
    <w:name w:val="heading 2"/>
    <w:basedOn w:val="Normal"/>
    <w:next w:val="Normal"/>
    <w:link w:val="Heading2Char"/>
    <w:uiPriority w:val="99"/>
    <w:unhideWhenUsed/>
    <w:qFormat/>
    <w:rsid w:val="00953199"/>
    <w:pPr>
      <w:keepNext/>
      <w:keepLines/>
      <w:spacing w:before="200" w:after="0"/>
      <w:outlineLvl w:val="1"/>
    </w:pPr>
    <w:rPr>
      <w:rFonts w:asciiTheme="majorHAnsi" w:eastAsiaTheme="majorEastAsia" w:hAnsiTheme="majorHAnsi" w:cstheme="majorBidi"/>
      <w:b/>
      <w:bCs/>
      <w:color w:val="2DA2BF" w:themeColor="accent1"/>
      <w:sz w:val="26"/>
      <w:szCs w:val="26"/>
    </w:rPr>
  </w:style>
  <w:style w:type="paragraph" w:styleId="Heading3">
    <w:name w:val="heading 3"/>
    <w:aliases w:val="IPR Heading 2"/>
    <w:basedOn w:val="Normal"/>
    <w:next w:val="Normal"/>
    <w:link w:val="Heading3Char"/>
    <w:uiPriority w:val="9"/>
    <w:unhideWhenUsed/>
    <w:qFormat/>
    <w:rsid w:val="00953199"/>
    <w:pPr>
      <w:keepNext/>
      <w:keepLines/>
      <w:spacing w:before="200" w:after="0"/>
      <w:outlineLvl w:val="2"/>
    </w:pPr>
    <w:rPr>
      <w:rFonts w:asciiTheme="majorHAnsi" w:eastAsiaTheme="majorEastAsia" w:hAnsiTheme="majorHAnsi" w:cstheme="majorBidi"/>
      <w:b/>
      <w:bCs/>
      <w:color w:val="2DA2BF" w:themeColor="accent1"/>
    </w:rPr>
  </w:style>
  <w:style w:type="paragraph" w:styleId="Heading4">
    <w:name w:val="heading 4"/>
    <w:aliases w:val="IPR Heading 3"/>
    <w:basedOn w:val="Normal"/>
    <w:next w:val="Normal"/>
    <w:link w:val="Heading4Char"/>
    <w:uiPriority w:val="9"/>
    <w:unhideWhenUsed/>
    <w:qFormat/>
    <w:rsid w:val="0046763E"/>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2DA2BF" w:themeColor="accent1"/>
      <w:sz w:val="24"/>
      <w:szCs w:val="24"/>
    </w:rPr>
  </w:style>
  <w:style w:type="paragraph" w:styleId="Heading5">
    <w:name w:val="heading 5"/>
    <w:basedOn w:val="Normal"/>
    <w:next w:val="Normal"/>
    <w:link w:val="Heading5Char"/>
    <w:uiPriority w:val="9"/>
    <w:unhideWhenUsed/>
    <w:qFormat/>
    <w:rsid w:val="00E16AEB"/>
    <w:pPr>
      <w:keepNext/>
      <w:keepLines/>
      <w:spacing w:before="200" w:after="0"/>
      <w:outlineLvl w:val="4"/>
    </w:pPr>
    <w:rPr>
      <w:rFonts w:asciiTheme="majorHAnsi" w:eastAsiaTheme="majorEastAsia" w:hAnsiTheme="majorHAnsi" w:cstheme="majorBidi"/>
      <w:color w:val="16505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8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8F3"/>
    <w:rPr>
      <w:rFonts w:ascii="Tahoma" w:hAnsi="Tahoma" w:cs="Tahoma"/>
      <w:sz w:val="16"/>
      <w:szCs w:val="16"/>
    </w:rPr>
  </w:style>
  <w:style w:type="character" w:customStyle="1" w:styleId="Heading1Char">
    <w:name w:val="Heading 1 Char"/>
    <w:basedOn w:val="DefaultParagraphFont"/>
    <w:link w:val="Heading1"/>
    <w:uiPriority w:val="9"/>
    <w:rsid w:val="001B7226"/>
    <w:rPr>
      <w:rFonts w:asciiTheme="majorHAnsi" w:eastAsiaTheme="majorEastAsia" w:hAnsiTheme="majorHAnsi" w:cstheme="majorBidi"/>
      <w:b/>
      <w:bCs/>
      <w:color w:val="21798E" w:themeColor="accent1" w:themeShade="BF"/>
      <w:sz w:val="28"/>
      <w:szCs w:val="28"/>
    </w:rPr>
  </w:style>
  <w:style w:type="paragraph" w:styleId="TOC1">
    <w:name w:val="toc 1"/>
    <w:basedOn w:val="Normal"/>
    <w:next w:val="Normal"/>
    <w:autoRedefine/>
    <w:uiPriority w:val="39"/>
    <w:unhideWhenUsed/>
    <w:qFormat/>
    <w:rsid w:val="001B7226"/>
    <w:pPr>
      <w:spacing w:after="100"/>
    </w:pPr>
  </w:style>
  <w:style w:type="character" w:styleId="Hyperlink">
    <w:name w:val="Hyperlink"/>
    <w:basedOn w:val="DefaultParagraphFont"/>
    <w:uiPriority w:val="99"/>
    <w:unhideWhenUsed/>
    <w:rsid w:val="001B7226"/>
    <w:rPr>
      <w:color w:val="FF8119" w:themeColor="hyperlink"/>
      <w:u w:val="single"/>
    </w:rPr>
  </w:style>
  <w:style w:type="paragraph" w:styleId="TOCHeading">
    <w:name w:val="TOC Heading"/>
    <w:basedOn w:val="Heading1"/>
    <w:next w:val="Normal"/>
    <w:uiPriority w:val="39"/>
    <w:unhideWhenUsed/>
    <w:qFormat/>
    <w:rsid w:val="001B7226"/>
    <w:pPr>
      <w:outlineLvl w:val="9"/>
    </w:pPr>
    <w:rPr>
      <w:lang w:val="en-US"/>
    </w:rPr>
  </w:style>
  <w:style w:type="paragraph" w:styleId="ListParagraph">
    <w:name w:val="List Paragraph"/>
    <w:basedOn w:val="Normal"/>
    <w:uiPriority w:val="34"/>
    <w:qFormat/>
    <w:rsid w:val="00A77EA2"/>
    <w:pPr>
      <w:ind w:left="720"/>
      <w:contextualSpacing/>
    </w:pPr>
  </w:style>
  <w:style w:type="paragraph" w:styleId="Header">
    <w:name w:val="header"/>
    <w:basedOn w:val="Normal"/>
    <w:link w:val="HeaderChar"/>
    <w:uiPriority w:val="99"/>
    <w:semiHidden/>
    <w:unhideWhenUsed/>
    <w:rsid w:val="00A77E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77EA2"/>
  </w:style>
  <w:style w:type="paragraph" w:styleId="Footer">
    <w:name w:val="footer"/>
    <w:basedOn w:val="Normal"/>
    <w:link w:val="FooterChar"/>
    <w:uiPriority w:val="99"/>
    <w:unhideWhenUsed/>
    <w:rsid w:val="00A77E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EA2"/>
  </w:style>
  <w:style w:type="character" w:customStyle="1" w:styleId="Heading2Char">
    <w:name w:val="Heading 2 Char"/>
    <w:basedOn w:val="DefaultParagraphFont"/>
    <w:link w:val="Heading2"/>
    <w:uiPriority w:val="99"/>
    <w:rsid w:val="00953199"/>
    <w:rPr>
      <w:rFonts w:asciiTheme="majorHAnsi" w:eastAsiaTheme="majorEastAsia" w:hAnsiTheme="majorHAnsi" w:cstheme="majorBidi"/>
      <w:b/>
      <w:bCs/>
      <w:color w:val="2DA2BF" w:themeColor="accent1"/>
      <w:sz w:val="26"/>
      <w:szCs w:val="26"/>
    </w:rPr>
  </w:style>
  <w:style w:type="character" w:customStyle="1" w:styleId="Heading3Char">
    <w:name w:val="Heading 3 Char"/>
    <w:aliases w:val="IPR Heading 2 Char"/>
    <w:basedOn w:val="DefaultParagraphFont"/>
    <w:link w:val="Heading3"/>
    <w:uiPriority w:val="9"/>
    <w:rsid w:val="00953199"/>
    <w:rPr>
      <w:rFonts w:asciiTheme="majorHAnsi" w:eastAsiaTheme="majorEastAsia" w:hAnsiTheme="majorHAnsi" w:cstheme="majorBidi"/>
      <w:b/>
      <w:bCs/>
      <w:color w:val="2DA2BF" w:themeColor="accent1"/>
    </w:rPr>
  </w:style>
  <w:style w:type="paragraph" w:styleId="TOC2">
    <w:name w:val="toc 2"/>
    <w:basedOn w:val="Normal"/>
    <w:next w:val="Normal"/>
    <w:autoRedefine/>
    <w:uiPriority w:val="39"/>
    <w:unhideWhenUsed/>
    <w:qFormat/>
    <w:rsid w:val="00C12E24"/>
    <w:pPr>
      <w:spacing w:after="100"/>
      <w:ind w:left="220"/>
    </w:pPr>
  </w:style>
  <w:style w:type="paragraph" w:styleId="TOC3">
    <w:name w:val="toc 3"/>
    <w:basedOn w:val="Normal"/>
    <w:next w:val="Normal"/>
    <w:autoRedefine/>
    <w:uiPriority w:val="39"/>
    <w:unhideWhenUsed/>
    <w:qFormat/>
    <w:rsid w:val="00C12E24"/>
    <w:pPr>
      <w:spacing w:after="100"/>
      <w:ind w:left="440"/>
    </w:pPr>
  </w:style>
  <w:style w:type="paragraph" w:customStyle="1" w:styleId="Default">
    <w:name w:val="Default"/>
    <w:rsid w:val="00D61BB1"/>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MediumShading1-Accent11">
    <w:name w:val="Medium Shading 1 - Accent 11"/>
    <w:basedOn w:val="TableNormal"/>
    <w:uiPriority w:val="63"/>
    <w:rsid w:val="00D61BB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table" w:styleId="TableGrid">
    <w:name w:val="Table Grid"/>
    <w:basedOn w:val="TableNormal"/>
    <w:rsid w:val="001C38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1C386B"/>
    <w:pPr>
      <w:spacing w:after="0" w:line="240" w:lineRule="auto"/>
    </w:pPr>
    <w:rPr>
      <w:rFonts w:ascii="Century Gothic" w:hAnsi="Century Gothic"/>
      <w:color w:val="0319BD"/>
      <w:sz w:val="24"/>
      <w:szCs w:val="21"/>
    </w:rPr>
  </w:style>
  <w:style w:type="character" w:customStyle="1" w:styleId="PlainTextChar">
    <w:name w:val="Plain Text Char"/>
    <w:basedOn w:val="DefaultParagraphFont"/>
    <w:link w:val="PlainText"/>
    <w:uiPriority w:val="99"/>
    <w:rsid w:val="001C386B"/>
    <w:rPr>
      <w:rFonts w:ascii="Century Gothic" w:hAnsi="Century Gothic"/>
      <w:color w:val="0319BD"/>
      <w:sz w:val="24"/>
      <w:szCs w:val="21"/>
    </w:rPr>
  </w:style>
  <w:style w:type="paragraph" w:customStyle="1" w:styleId="intro">
    <w:name w:val="intro"/>
    <w:basedOn w:val="Normal"/>
    <w:rsid w:val="00A30D4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C57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aliases w:val="IPR Heading 3 Char"/>
    <w:basedOn w:val="DefaultParagraphFont"/>
    <w:link w:val="Heading4"/>
    <w:uiPriority w:val="9"/>
    <w:rsid w:val="0046763E"/>
    <w:rPr>
      <w:rFonts w:asciiTheme="majorHAnsi" w:eastAsiaTheme="majorEastAsia" w:hAnsiTheme="majorHAnsi" w:cstheme="majorBidi"/>
      <w:b/>
      <w:bCs/>
      <w:i/>
      <w:iCs/>
      <w:color w:val="2DA2BF" w:themeColor="accent1"/>
      <w:sz w:val="24"/>
      <w:szCs w:val="24"/>
      <w:lang w:eastAsia="en-GB"/>
    </w:rPr>
  </w:style>
  <w:style w:type="table" w:customStyle="1" w:styleId="LightGrid-Accent11">
    <w:name w:val="Light Grid - Accent 11"/>
    <w:basedOn w:val="TableNormal"/>
    <w:uiPriority w:val="62"/>
    <w:rsid w:val="002B437E"/>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paragraph" w:styleId="NoSpacing">
    <w:name w:val="No Spacing"/>
    <w:basedOn w:val="Default"/>
    <w:link w:val="NoSpacingChar"/>
    <w:uiPriority w:val="1"/>
    <w:qFormat/>
    <w:rsid w:val="00C108F0"/>
    <w:pPr>
      <w:spacing w:line="276" w:lineRule="auto"/>
    </w:pPr>
    <w:rPr>
      <w:rFonts w:asciiTheme="minorHAnsi" w:hAnsiTheme="minorHAnsi"/>
    </w:rPr>
  </w:style>
  <w:style w:type="character" w:customStyle="1" w:styleId="NoSpacingChar">
    <w:name w:val="No Spacing Char"/>
    <w:basedOn w:val="DefaultParagraphFont"/>
    <w:link w:val="NoSpacing"/>
    <w:uiPriority w:val="1"/>
    <w:rsid w:val="00C108F0"/>
    <w:rPr>
      <w:rFonts w:eastAsia="Times New Roman" w:cs="Times New Roman"/>
      <w:color w:val="000000"/>
      <w:sz w:val="24"/>
      <w:szCs w:val="24"/>
      <w:lang w:eastAsia="en-GB"/>
    </w:rPr>
  </w:style>
  <w:style w:type="character" w:styleId="CommentReference">
    <w:name w:val="annotation reference"/>
    <w:basedOn w:val="DefaultParagraphFont"/>
    <w:uiPriority w:val="99"/>
    <w:semiHidden/>
    <w:unhideWhenUsed/>
    <w:rsid w:val="00DB7793"/>
    <w:rPr>
      <w:sz w:val="16"/>
      <w:szCs w:val="16"/>
    </w:rPr>
  </w:style>
  <w:style w:type="paragraph" w:styleId="CommentText">
    <w:name w:val="annotation text"/>
    <w:basedOn w:val="Normal"/>
    <w:link w:val="CommentTextChar"/>
    <w:uiPriority w:val="99"/>
    <w:unhideWhenUsed/>
    <w:rsid w:val="00DB7793"/>
    <w:pPr>
      <w:spacing w:line="240" w:lineRule="auto"/>
    </w:pPr>
    <w:rPr>
      <w:sz w:val="20"/>
      <w:szCs w:val="20"/>
    </w:rPr>
  </w:style>
  <w:style w:type="character" w:customStyle="1" w:styleId="CommentTextChar">
    <w:name w:val="Comment Text Char"/>
    <w:basedOn w:val="DefaultParagraphFont"/>
    <w:link w:val="CommentText"/>
    <w:uiPriority w:val="99"/>
    <w:rsid w:val="00DB7793"/>
    <w:rPr>
      <w:sz w:val="20"/>
      <w:szCs w:val="20"/>
    </w:rPr>
  </w:style>
  <w:style w:type="paragraph" w:styleId="CommentSubject">
    <w:name w:val="annotation subject"/>
    <w:basedOn w:val="CommentText"/>
    <w:next w:val="CommentText"/>
    <w:link w:val="CommentSubjectChar"/>
    <w:uiPriority w:val="99"/>
    <w:semiHidden/>
    <w:unhideWhenUsed/>
    <w:rsid w:val="00DB7793"/>
    <w:rPr>
      <w:b/>
      <w:bCs/>
    </w:rPr>
  </w:style>
  <w:style w:type="character" w:customStyle="1" w:styleId="CommentSubjectChar">
    <w:name w:val="Comment Subject Char"/>
    <w:basedOn w:val="CommentTextChar"/>
    <w:link w:val="CommentSubject"/>
    <w:uiPriority w:val="99"/>
    <w:semiHidden/>
    <w:rsid w:val="00DB7793"/>
    <w:rPr>
      <w:b/>
      <w:bCs/>
      <w:sz w:val="20"/>
      <w:szCs w:val="20"/>
    </w:rPr>
  </w:style>
  <w:style w:type="table" w:styleId="MediumGrid3-Accent1">
    <w:name w:val="Medium Grid 3 Accent 1"/>
    <w:basedOn w:val="TableNormal"/>
    <w:uiPriority w:val="69"/>
    <w:rsid w:val="00DD1F2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7E9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A2B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A2B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A2B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A2B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D4E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D4E5" w:themeFill="accent1" w:themeFillTint="7F"/>
      </w:tcPr>
    </w:tblStylePr>
  </w:style>
  <w:style w:type="paragraph" w:styleId="BodyTextIndent">
    <w:name w:val="Body Text Indent"/>
    <w:basedOn w:val="Default"/>
    <w:next w:val="Default"/>
    <w:link w:val="BodyTextIndentChar"/>
    <w:uiPriority w:val="99"/>
    <w:rsid w:val="00C91C0F"/>
    <w:rPr>
      <w:color w:val="auto"/>
    </w:rPr>
  </w:style>
  <w:style w:type="character" w:customStyle="1" w:styleId="BodyTextIndentChar">
    <w:name w:val="Body Text Indent Char"/>
    <w:basedOn w:val="DefaultParagraphFont"/>
    <w:link w:val="BodyTextIndent"/>
    <w:uiPriority w:val="99"/>
    <w:rsid w:val="00C91C0F"/>
    <w:rPr>
      <w:rFonts w:ascii="Times New Roman" w:eastAsia="Times New Roman" w:hAnsi="Times New Roman" w:cs="Times New Roman"/>
      <w:sz w:val="24"/>
      <w:szCs w:val="24"/>
      <w:lang w:eastAsia="en-GB"/>
    </w:rPr>
  </w:style>
  <w:style w:type="character" w:styleId="IntenseEmphasis">
    <w:name w:val="Intense Emphasis"/>
    <w:basedOn w:val="DefaultParagraphFont"/>
    <w:uiPriority w:val="21"/>
    <w:qFormat/>
    <w:rsid w:val="00142518"/>
    <w:rPr>
      <w:b/>
      <w:bCs/>
      <w:i/>
      <w:iCs/>
      <w:color w:val="2DA2BF" w:themeColor="accent1"/>
    </w:rPr>
  </w:style>
  <w:style w:type="paragraph" w:customStyle="1" w:styleId="Style8Bullet2After18pt">
    <w:name w:val="Style 8 Bullet 2 + After:  18 pt"/>
    <w:basedOn w:val="Normal"/>
    <w:uiPriority w:val="99"/>
    <w:rsid w:val="00A7692F"/>
    <w:pPr>
      <w:numPr>
        <w:ilvl w:val="1"/>
        <w:numId w:val="4"/>
      </w:numPr>
      <w:spacing w:after="0" w:line="240" w:lineRule="auto"/>
    </w:pPr>
    <w:rPr>
      <w:rFonts w:ascii="Arial" w:eastAsia="Times New Roman" w:hAnsi="Arial" w:cs="Times New Roman"/>
      <w:sz w:val="24"/>
      <w:szCs w:val="20"/>
    </w:rPr>
  </w:style>
  <w:style w:type="paragraph" w:styleId="TOC4">
    <w:name w:val="toc 4"/>
    <w:basedOn w:val="Normal"/>
    <w:next w:val="Normal"/>
    <w:autoRedefine/>
    <w:uiPriority w:val="39"/>
    <w:unhideWhenUsed/>
    <w:rsid w:val="00646FCB"/>
    <w:pPr>
      <w:spacing w:after="100"/>
      <w:ind w:left="660"/>
    </w:pPr>
  </w:style>
  <w:style w:type="paragraph" w:styleId="TOC5">
    <w:name w:val="toc 5"/>
    <w:basedOn w:val="Normal"/>
    <w:next w:val="Normal"/>
    <w:autoRedefine/>
    <w:uiPriority w:val="39"/>
    <w:unhideWhenUsed/>
    <w:rsid w:val="00646FCB"/>
    <w:pPr>
      <w:spacing w:after="100"/>
      <w:ind w:left="880"/>
    </w:pPr>
  </w:style>
  <w:style w:type="paragraph" w:styleId="TOC6">
    <w:name w:val="toc 6"/>
    <w:basedOn w:val="Normal"/>
    <w:next w:val="Normal"/>
    <w:autoRedefine/>
    <w:uiPriority w:val="39"/>
    <w:unhideWhenUsed/>
    <w:rsid w:val="00646FCB"/>
    <w:pPr>
      <w:spacing w:after="100"/>
      <w:ind w:left="1100"/>
    </w:pPr>
  </w:style>
  <w:style w:type="paragraph" w:styleId="TOC7">
    <w:name w:val="toc 7"/>
    <w:basedOn w:val="Normal"/>
    <w:next w:val="Normal"/>
    <w:autoRedefine/>
    <w:uiPriority w:val="39"/>
    <w:unhideWhenUsed/>
    <w:rsid w:val="00646FCB"/>
    <w:pPr>
      <w:spacing w:after="100"/>
      <w:ind w:left="1320"/>
    </w:pPr>
  </w:style>
  <w:style w:type="paragraph" w:styleId="TOC8">
    <w:name w:val="toc 8"/>
    <w:basedOn w:val="Normal"/>
    <w:next w:val="Normal"/>
    <w:autoRedefine/>
    <w:uiPriority w:val="39"/>
    <w:unhideWhenUsed/>
    <w:rsid w:val="00646FCB"/>
    <w:pPr>
      <w:spacing w:after="100"/>
      <w:ind w:left="1540"/>
    </w:pPr>
  </w:style>
  <w:style w:type="paragraph" w:styleId="TOC9">
    <w:name w:val="toc 9"/>
    <w:basedOn w:val="Normal"/>
    <w:next w:val="Normal"/>
    <w:autoRedefine/>
    <w:uiPriority w:val="39"/>
    <w:unhideWhenUsed/>
    <w:rsid w:val="00646FCB"/>
    <w:pPr>
      <w:spacing w:after="100"/>
      <w:ind w:left="1760"/>
    </w:pPr>
  </w:style>
  <w:style w:type="character" w:customStyle="1" w:styleId="Heading5Char">
    <w:name w:val="Heading 5 Char"/>
    <w:basedOn w:val="DefaultParagraphFont"/>
    <w:link w:val="Heading5"/>
    <w:uiPriority w:val="9"/>
    <w:rsid w:val="00E16AEB"/>
    <w:rPr>
      <w:rFonts w:asciiTheme="majorHAnsi" w:eastAsiaTheme="majorEastAsia" w:hAnsiTheme="majorHAnsi" w:cstheme="majorBidi"/>
      <w:color w:val="16505E" w:themeColor="accent1" w:themeShade="7F"/>
    </w:rPr>
  </w:style>
  <w:style w:type="character" w:styleId="Strong">
    <w:name w:val="Strong"/>
    <w:basedOn w:val="DefaultParagraphFont"/>
    <w:uiPriority w:val="22"/>
    <w:qFormat/>
    <w:rsid w:val="00D906A7"/>
    <w:rPr>
      <w:b/>
      <w:bCs/>
    </w:rPr>
  </w:style>
  <w:style w:type="table" w:styleId="MediumGrid2-Accent1">
    <w:name w:val="Medium Grid 2 Accent 1"/>
    <w:basedOn w:val="TableNormal"/>
    <w:uiPriority w:val="68"/>
    <w:rsid w:val="005376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cPr>
      <w:shd w:val="clear" w:color="auto" w:fill="C7E9F2" w:themeFill="accent1" w:themeFillTint="3F"/>
    </w:tcPr>
    <w:tblStylePr w:type="firstRow">
      <w:rPr>
        <w:b/>
        <w:bCs/>
        <w:color w:val="000000" w:themeColor="text1"/>
      </w:rPr>
      <w:tblPr/>
      <w:tcPr>
        <w:shd w:val="clear" w:color="auto" w:fill="E9F6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DF4" w:themeFill="accent1" w:themeFillTint="33"/>
      </w:tcPr>
    </w:tblStylePr>
    <w:tblStylePr w:type="band1Vert">
      <w:tblPr/>
      <w:tcPr>
        <w:shd w:val="clear" w:color="auto" w:fill="90D4E5" w:themeFill="accent1" w:themeFillTint="7F"/>
      </w:tcPr>
    </w:tblStylePr>
    <w:tblStylePr w:type="band1Horz">
      <w:tblPr/>
      <w:tcPr>
        <w:tcBorders>
          <w:insideH w:val="single" w:sz="6" w:space="0" w:color="2DA2BF" w:themeColor="accent1"/>
          <w:insideV w:val="single" w:sz="6" w:space="0" w:color="2DA2BF" w:themeColor="accent1"/>
        </w:tcBorders>
        <w:shd w:val="clear" w:color="auto" w:fill="90D4E5" w:themeFill="accent1" w:themeFillTint="7F"/>
      </w:tcPr>
    </w:tblStylePr>
    <w:tblStylePr w:type="nwCell">
      <w:tblPr/>
      <w:tcPr>
        <w:shd w:val="clear" w:color="auto" w:fill="FFFFFF" w:themeFill="background1"/>
      </w:tcPr>
    </w:tblStylePr>
  </w:style>
  <w:style w:type="table" w:customStyle="1" w:styleId="LightGrid-Accent12">
    <w:name w:val="Light Grid - Accent 12"/>
    <w:basedOn w:val="TableNormal"/>
    <w:uiPriority w:val="62"/>
    <w:rsid w:val="00F8308E"/>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MediumShading1-Accent12">
    <w:name w:val="Medium Shading 1 - Accent 12"/>
    <w:basedOn w:val="TableNormal"/>
    <w:uiPriority w:val="63"/>
    <w:rsid w:val="00003930"/>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287913"/>
    <w:rPr>
      <w:i/>
      <w:iCs/>
    </w:rPr>
  </w:style>
  <w:style w:type="table" w:styleId="MediumGrid1-Accent5">
    <w:name w:val="Medium Grid 1 Accent 5"/>
    <w:basedOn w:val="TableNormal"/>
    <w:uiPriority w:val="67"/>
    <w:rsid w:val="005B5279"/>
    <w:pPr>
      <w:spacing w:after="0" w:line="240" w:lineRule="auto"/>
    </w:pPr>
    <w:tblPr>
      <w:tblStyleRowBandSize w:val="1"/>
      <w:tblStyleColBandSize w:val="1"/>
      <w:tblInd w:w="0" w:type="dxa"/>
      <w:tblBorders>
        <w:top w:val="single" w:sz="8"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single" w:sz="8" w:space="0" w:color="686DA6" w:themeColor="accent5" w:themeTint="BF"/>
        <w:insideV w:val="single" w:sz="8" w:space="0" w:color="686DA6" w:themeColor="accent5" w:themeTint="BF"/>
      </w:tblBorders>
      <w:tblCellMar>
        <w:top w:w="0" w:type="dxa"/>
        <w:left w:w="108" w:type="dxa"/>
        <w:bottom w:w="0" w:type="dxa"/>
        <w:right w:w="108" w:type="dxa"/>
      </w:tblCellMar>
    </w:tblPr>
    <w:tcPr>
      <w:shd w:val="clear" w:color="auto" w:fill="CDCEE1" w:themeFill="accent5" w:themeFillTint="3F"/>
    </w:tcPr>
    <w:tblStylePr w:type="firstRow">
      <w:rPr>
        <w:b/>
        <w:bCs/>
      </w:rPr>
    </w:tblStylePr>
    <w:tblStylePr w:type="lastRow">
      <w:rPr>
        <w:b/>
        <w:bCs/>
      </w:rPr>
      <w:tblPr/>
      <w:tcPr>
        <w:tcBorders>
          <w:top w:val="single" w:sz="18" w:space="0" w:color="686DA6" w:themeColor="accent5" w:themeTint="BF"/>
        </w:tcBorders>
      </w:tcPr>
    </w:tblStylePr>
    <w:tblStylePr w:type="firstCol">
      <w:rPr>
        <w:b/>
        <w:bCs/>
      </w:rPr>
    </w:tblStylePr>
    <w:tblStylePr w:type="lastCol">
      <w:rPr>
        <w:b/>
        <w:bCs/>
      </w:rPr>
    </w:tblStylePr>
    <w:tblStylePr w:type="band1Vert">
      <w:tblPr/>
      <w:tcPr>
        <w:shd w:val="clear" w:color="auto" w:fill="9B9EC4" w:themeFill="accent5" w:themeFillTint="7F"/>
      </w:tcPr>
    </w:tblStylePr>
    <w:tblStylePr w:type="band1Horz">
      <w:tblPr/>
      <w:tcPr>
        <w:shd w:val="clear" w:color="auto" w:fill="9B9EC4" w:themeFill="accent5" w:themeFillTint="7F"/>
      </w:tcPr>
    </w:tblStylePr>
  </w:style>
  <w:style w:type="table" w:styleId="LightGrid-Accent5">
    <w:name w:val="Light Grid Accent 5"/>
    <w:basedOn w:val="TableNormal"/>
    <w:uiPriority w:val="62"/>
    <w:rsid w:val="0089059B"/>
    <w:pPr>
      <w:spacing w:after="0" w:line="240" w:lineRule="auto"/>
    </w:pPr>
    <w:tblPr>
      <w:tblStyleRowBandSize w:val="1"/>
      <w:tblStyleColBandSize w:val="1"/>
      <w:tblInd w:w="0" w:type="dxa"/>
      <w:tblBorders>
        <w:top w:val="single" w:sz="8" w:space="0" w:color="474B78" w:themeColor="accent5"/>
        <w:left w:val="single" w:sz="8" w:space="0" w:color="474B78" w:themeColor="accent5"/>
        <w:bottom w:val="single" w:sz="8" w:space="0" w:color="474B78" w:themeColor="accent5"/>
        <w:right w:val="single" w:sz="8" w:space="0" w:color="474B78" w:themeColor="accent5"/>
        <w:insideH w:val="single" w:sz="8" w:space="0" w:color="474B78" w:themeColor="accent5"/>
        <w:insideV w:val="single" w:sz="8" w:space="0" w:color="474B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4B78" w:themeColor="accent5"/>
          <w:left w:val="single" w:sz="8" w:space="0" w:color="474B78" w:themeColor="accent5"/>
          <w:bottom w:val="single" w:sz="18" w:space="0" w:color="474B78" w:themeColor="accent5"/>
          <w:right w:val="single" w:sz="8" w:space="0" w:color="474B78" w:themeColor="accent5"/>
          <w:insideH w:val="nil"/>
          <w:insideV w:val="single" w:sz="8" w:space="0" w:color="474B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4B78" w:themeColor="accent5"/>
          <w:left w:val="single" w:sz="8" w:space="0" w:color="474B78" w:themeColor="accent5"/>
          <w:bottom w:val="single" w:sz="8" w:space="0" w:color="474B78" w:themeColor="accent5"/>
          <w:right w:val="single" w:sz="8" w:space="0" w:color="474B78" w:themeColor="accent5"/>
          <w:insideH w:val="nil"/>
          <w:insideV w:val="single" w:sz="8" w:space="0" w:color="474B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tcPr>
    </w:tblStylePr>
    <w:tblStylePr w:type="band1Vert">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shd w:val="clear" w:color="auto" w:fill="CDCEE1" w:themeFill="accent5" w:themeFillTint="3F"/>
      </w:tcPr>
    </w:tblStylePr>
    <w:tblStylePr w:type="band1Horz">
      <w:tblPr/>
      <w:tcPr>
        <w:tcBorders>
          <w:top w:val="single" w:sz="8" w:space="0" w:color="474B78" w:themeColor="accent5"/>
          <w:left w:val="single" w:sz="8" w:space="0" w:color="474B78" w:themeColor="accent5"/>
          <w:bottom w:val="single" w:sz="8" w:space="0" w:color="474B78" w:themeColor="accent5"/>
          <w:right w:val="single" w:sz="8" w:space="0" w:color="474B78" w:themeColor="accent5"/>
          <w:insideV w:val="single" w:sz="8" w:space="0" w:color="474B78" w:themeColor="accent5"/>
        </w:tcBorders>
        <w:shd w:val="clear" w:color="auto" w:fill="CDCEE1" w:themeFill="accent5" w:themeFillTint="3F"/>
      </w:tcPr>
    </w:tblStylePr>
    <w:tblStylePr w:type="band2Horz">
      <w:tblPr/>
      <w:tcPr>
        <w:tcBorders>
          <w:top w:val="single" w:sz="8" w:space="0" w:color="474B78" w:themeColor="accent5"/>
          <w:left w:val="single" w:sz="8" w:space="0" w:color="474B78" w:themeColor="accent5"/>
          <w:bottom w:val="single" w:sz="8" w:space="0" w:color="474B78" w:themeColor="accent5"/>
          <w:right w:val="single" w:sz="8" w:space="0" w:color="474B78" w:themeColor="accent5"/>
          <w:insideV w:val="single" w:sz="8" w:space="0" w:color="474B78" w:themeColor="accent5"/>
        </w:tcBorders>
      </w:tcPr>
    </w:tblStylePr>
  </w:style>
  <w:style w:type="table" w:customStyle="1" w:styleId="MediumShading1-Accent13">
    <w:name w:val="Medium Shading 1 - Accent 13"/>
    <w:basedOn w:val="TableNormal"/>
    <w:uiPriority w:val="63"/>
    <w:rsid w:val="00732145"/>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732145"/>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insideV w:val="single" w:sz="8" w:space="0" w:color="58BED7" w:themeColor="accent1" w:themeTint="BF"/>
      </w:tblBorders>
      <w:tblCellMar>
        <w:top w:w="0" w:type="dxa"/>
        <w:left w:w="108" w:type="dxa"/>
        <w:bottom w:w="0" w:type="dxa"/>
        <w:right w:w="108" w:type="dxa"/>
      </w:tblCellMar>
    </w:tblPr>
    <w:tcPr>
      <w:shd w:val="clear" w:color="auto" w:fill="C7E9F2" w:themeFill="accent1" w:themeFillTint="3F"/>
    </w:tcPr>
    <w:tblStylePr w:type="firstRow">
      <w:rPr>
        <w:b/>
        <w:bCs/>
      </w:rPr>
    </w:tblStylePr>
    <w:tblStylePr w:type="lastRow">
      <w:rPr>
        <w:b/>
        <w:bCs/>
      </w:rPr>
      <w:tblPr/>
      <w:tcPr>
        <w:tcBorders>
          <w:top w:val="single" w:sz="18" w:space="0" w:color="58BED7" w:themeColor="accent1" w:themeTint="BF"/>
        </w:tcBorders>
      </w:tcPr>
    </w:tblStylePr>
    <w:tblStylePr w:type="firstCol">
      <w:rPr>
        <w:b/>
        <w:bCs/>
      </w:rPr>
    </w:tblStylePr>
    <w:tblStylePr w:type="lastCol">
      <w:rPr>
        <w:b/>
        <w:bCs/>
      </w:rPr>
    </w:tblStylePr>
    <w:tblStylePr w:type="band1Vert">
      <w:tblPr/>
      <w:tcPr>
        <w:shd w:val="clear" w:color="auto" w:fill="90D4E5" w:themeFill="accent1" w:themeFillTint="7F"/>
      </w:tcPr>
    </w:tblStylePr>
    <w:tblStylePr w:type="band1Horz">
      <w:tblPr/>
      <w:tcPr>
        <w:shd w:val="clear" w:color="auto" w:fill="90D4E5" w:themeFill="accent1" w:themeFillTint="7F"/>
      </w:tcPr>
    </w:tblStylePr>
  </w:style>
  <w:style w:type="character" w:customStyle="1" w:styleId="st1">
    <w:name w:val="st1"/>
    <w:basedOn w:val="DefaultParagraphFont"/>
    <w:rsid w:val="003E22C5"/>
  </w:style>
  <w:style w:type="table" w:customStyle="1" w:styleId="LightGrid-Accent13">
    <w:name w:val="Light Grid - Accent 13"/>
    <w:basedOn w:val="TableNormal"/>
    <w:uiPriority w:val="62"/>
    <w:rsid w:val="00395AFA"/>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LightShading1">
    <w:name w:val="Light Shading1"/>
    <w:basedOn w:val="TableNormal"/>
    <w:uiPriority w:val="60"/>
    <w:rsid w:val="00FE35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Accent14">
    <w:name w:val="Light Grid - Accent 14"/>
    <w:basedOn w:val="TableNormal"/>
    <w:uiPriority w:val="62"/>
    <w:rsid w:val="00EF16B0"/>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LightList-Accent11">
    <w:name w:val="Light List - Accent 11"/>
    <w:basedOn w:val="TableNormal"/>
    <w:uiPriority w:val="61"/>
    <w:rsid w:val="000349F5"/>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table" w:customStyle="1" w:styleId="LightGrid-Accent15">
    <w:name w:val="Light Grid - Accent 15"/>
    <w:basedOn w:val="TableNormal"/>
    <w:uiPriority w:val="62"/>
    <w:rsid w:val="000349F5"/>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MediumShading1-Accent14">
    <w:name w:val="Medium Shading 1 - Accent 14"/>
    <w:basedOn w:val="TableNormal"/>
    <w:uiPriority w:val="63"/>
    <w:rsid w:val="000349F5"/>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0349F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A2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A2BF" w:themeFill="accent1"/>
      </w:tcPr>
    </w:tblStylePr>
    <w:tblStylePr w:type="lastCol">
      <w:rPr>
        <w:b/>
        <w:bCs/>
        <w:color w:val="FFFFFF" w:themeColor="background1"/>
      </w:rPr>
      <w:tblPr/>
      <w:tcPr>
        <w:tcBorders>
          <w:left w:val="nil"/>
          <w:right w:val="nil"/>
          <w:insideH w:val="nil"/>
          <w:insideV w:val="nil"/>
        </w:tcBorders>
        <w:shd w:val="clear" w:color="auto" w:fill="2DA2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0349F5"/>
    <w:pPr>
      <w:spacing w:after="0" w:line="240" w:lineRule="auto"/>
    </w:pPr>
    <w:rPr>
      <w:color w:val="000000" w:themeColor="text1"/>
    </w:rPr>
    <w:tblPr>
      <w:tblStyleRowBandSize w:val="1"/>
      <w:tblStyleColBandSize w:val="1"/>
      <w:tblInd w:w="0" w:type="dxa"/>
      <w:tblBorders>
        <w:top w:val="single" w:sz="8" w:space="0" w:color="2DA2BF" w:themeColor="accent1"/>
        <w:bottom w:val="single" w:sz="8" w:space="0" w:color="2DA2BF"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DA2BF" w:themeColor="accent1"/>
        </w:tcBorders>
      </w:tcPr>
    </w:tblStylePr>
    <w:tblStylePr w:type="lastRow">
      <w:rPr>
        <w:b/>
        <w:bCs/>
        <w:color w:val="464646" w:themeColor="text2"/>
      </w:rPr>
      <w:tblPr/>
      <w:tcPr>
        <w:tcBorders>
          <w:top w:val="single" w:sz="8" w:space="0" w:color="2DA2BF" w:themeColor="accent1"/>
          <w:bottom w:val="single" w:sz="8" w:space="0" w:color="2DA2BF" w:themeColor="accent1"/>
        </w:tcBorders>
      </w:tcPr>
    </w:tblStylePr>
    <w:tblStylePr w:type="firstCol">
      <w:rPr>
        <w:b/>
        <w:bCs/>
      </w:rPr>
    </w:tblStylePr>
    <w:tblStylePr w:type="lastCol">
      <w:rPr>
        <w:b/>
        <w:bCs/>
      </w:rPr>
      <w:tblPr/>
      <w:tcPr>
        <w:tcBorders>
          <w:top w:val="single" w:sz="8" w:space="0" w:color="2DA2BF" w:themeColor="accent1"/>
          <w:bottom w:val="single" w:sz="8" w:space="0" w:color="2DA2BF" w:themeColor="accent1"/>
        </w:tcBorders>
      </w:tcPr>
    </w:tblStylePr>
    <w:tblStylePr w:type="band1Vert">
      <w:tblPr/>
      <w:tcPr>
        <w:shd w:val="clear" w:color="auto" w:fill="C7E9F2" w:themeFill="accent1" w:themeFillTint="3F"/>
      </w:tcPr>
    </w:tblStylePr>
    <w:tblStylePr w:type="band1Horz">
      <w:tblPr/>
      <w:tcPr>
        <w:shd w:val="clear" w:color="auto" w:fill="C7E9F2" w:themeFill="accent1" w:themeFillTint="3F"/>
      </w:tcPr>
    </w:tblStylePr>
  </w:style>
  <w:style w:type="table" w:customStyle="1" w:styleId="LightShading2">
    <w:name w:val="Light Shading2"/>
    <w:basedOn w:val="TableNormal"/>
    <w:uiPriority w:val="60"/>
    <w:rsid w:val="00781B6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aliases w:val="IPR Title"/>
    <w:basedOn w:val="Normal"/>
    <w:next w:val="Normal"/>
    <w:link w:val="TitleChar"/>
    <w:uiPriority w:val="10"/>
    <w:qFormat/>
    <w:rsid w:val="00002B46"/>
    <w:pPr>
      <w:widowControl w:val="0"/>
      <w:pBdr>
        <w:bottom w:val="single" w:sz="8" w:space="4" w:color="2DA2BF" w:themeColor="accent1"/>
      </w:pBdr>
      <w:autoSpaceDE w:val="0"/>
      <w:autoSpaceDN w:val="0"/>
      <w:adjustRightInd w:val="0"/>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TitleChar">
    <w:name w:val="Title Char"/>
    <w:aliases w:val="IPR Title Char"/>
    <w:basedOn w:val="DefaultParagraphFont"/>
    <w:link w:val="Title"/>
    <w:uiPriority w:val="10"/>
    <w:rsid w:val="00002B46"/>
    <w:rPr>
      <w:rFonts w:asciiTheme="majorHAnsi" w:eastAsiaTheme="majorEastAsia" w:hAnsiTheme="majorHAnsi" w:cstheme="majorBidi"/>
      <w:color w:val="343434" w:themeColor="text2" w:themeShade="BF"/>
      <w:spacing w:val="5"/>
      <w:kern w:val="28"/>
      <w:sz w:val="52"/>
      <w:szCs w:val="52"/>
      <w:lang w:eastAsia="en-GB"/>
    </w:rPr>
  </w:style>
  <w:style w:type="paragraph" w:styleId="Subtitle">
    <w:name w:val="Subtitle"/>
    <w:basedOn w:val="Normal"/>
    <w:next w:val="Normal"/>
    <w:link w:val="SubtitleChar"/>
    <w:uiPriority w:val="11"/>
    <w:qFormat/>
    <w:rsid w:val="00E33210"/>
    <w:pPr>
      <w:widowControl w:val="0"/>
      <w:numPr>
        <w:ilvl w:val="1"/>
      </w:numPr>
      <w:autoSpaceDE w:val="0"/>
      <w:autoSpaceDN w:val="0"/>
      <w:adjustRightInd w:val="0"/>
      <w:spacing w:before="60" w:after="60" w:line="240" w:lineRule="auto"/>
    </w:pPr>
    <w:rPr>
      <w:rFonts w:asciiTheme="majorHAnsi" w:eastAsiaTheme="majorEastAsia" w:hAnsiTheme="majorHAnsi" w:cstheme="majorBidi"/>
      <w:i/>
      <w:iCs/>
      <w:color w:val="2DA2BF" w:themeColor="accent1"/>
      <w:spacing w:val="15"/>
      <w:sz w:val="24"/>
      <w:szCs w:val="24"/>
    </w:rPr>
  </w:style>
  <w:style w:type="character" w:customStyle="1" w:styleId="SubtitleChar">
    <w:name w:val="Subtitle Char"/>
    <w:basedOn w:val="DefaultParagraphFont"/>
    <w:link w:val="Subtitle"/>
    <w:uiPriority w:val="11"/>
    <w:rsid w:val="00E33210"/>
    <w:rPr>
      <w:rFonts w:asciiTheme="majorHAnsi" w:eastAsiaTheme="majorEastAsia" w:hAnsiTheme="majorHAnsi" w:cstheme="majorBidi"/>
      <w:i/>
      <w:iCs/>
      <w:color w:val="2DA2BF" w:themeColor="accent1"/>
      <w:spacing w:val="15"/>
      <w:sz w:val="24"/>
      <w:szCs w:val="24"/>
      <w:lang w:eastAsia="en-GB"/>
    </w:rPr>
  </w:style>
  <w:style w:type="table" w:customStyle="1" w:styleId="LightList-Accent12">
    <w:name w:val="Light List - Accent 12"/>
    <w:basedOn w:val="TableNormal"/>
    <w:uiPriority w:val="61"/>
    <w:rsid w:val="00D614D1"/>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table" w:customStyle="1" w:styleId="MediumShading1-Accent15">
    <w:name w:val="Medium Shading 1 - Accent 15"/>
    <w:basedOn w:val="TableNormal"/>
    <w:uiPriority w:val="63"/>
    <w:rsid w:val="00976874"/>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983334">
      <w:bodyDiv w:val="1"/>
      <w:marLeft w:val="0"/>
      <w:marRight w:val="0"/>
      <w:marTop w:val="0"/>
      <w:marBottom w:val="0"/>
      <w:divBdr>
        <w:top w:val="none" w:sz="0" w:space="0" w:color="auto"/>
        <w:left w:val="none" w:sz="0" w:space="0" w:color="auto"/>
        <w:bottom w:val="none" w:sz="0" w:space="0" w:color="auto"/>
        <w:right w:val="none" w:sz="0" w:space="0" w:color="auto"/>
      </w:divBdr>
    </w:div>
    <w:div w:id="14701030">
      <w:bodyDiv w:val="1"/>
      <w:marLeft w:val="0"/>
      <w:marRight w:val="0"/>
      <w:marTop w:val="0"/>
      <w:marBottom w:val="0"/>
      <w:divBdr>
        <w:top w:val="none" w:sz="0" w:space="0" w:color="auto"/>
        <w:left w:val="none" w:sz="0" w:space="0" w:color="auto"/>
        <w:bottom w:val="none" w:sz="0" w:space="0" w:color="auto"/>
        <w:right w:val="none" w:sz="0" w:space="0" w:color="auto"/>
      </w:divBdr>
    </w:div>
    <w:div w:id="30570487">
      <w:bodyDiv w:val="1"/>
      <w:marLeft w:val="0"/>
      <w:marRight w:val="0"/>
      <w:marTop w:val="0"/>
      <w:marBottom w:val="0"/>
      <w:divBdr>
        <w:top w:val="none" w:sz="0" w:space="0" w:color="auto"/>
        <w:left w:val="none" w:sz="0" w:space="0" w:color="auto"/>
        <w:bottom w:val="none" w:sz="0" w:space="0" w:color="auto"/>
        <w:right w:val="none" w:sz="0" w:space="0" w:color="auto"/>
      </w:divBdr>
      <w:divsChild>
        <w:div w:id="2143377024">
          <w:marLeft w:val="0"/>
          <w:marRight w:val="0"/>
          <w:marTop w:val="0"/>
          <w:marBottom w:val="0"/>
          <w:divBdr>
            <w:top w:val="none" w:sz="0" w:space="0" w:color="auto"/>
            <w:left w:val="none" w:sz="0" w:space="0" w:color="auto"/>
            <w:bottom w:val="none" w:sz="0" w:space="0" w:color="auto"/>
            <w:right w:val="none" w:sz="0" w:space="0" w:color="auto"/>
          </w:divBdr>
          <w:divsChild>
            <w:div w:id="1148283548">
              <w:marLeft w:val="0"/>
              <w:marRight w:val="0"/>
              <w:marTop w:val="0"/>
              <w:marBottom w:val="0"/>
              <w:divBdr>
                <w:top w:val="none" w:sz="0" w:space="0" w:color="auto"/>
                <w:left w:val="none" w:sz="0" w:space="0" w:color="auto"/>
                <w:bottom w:val="none" w:sz="0" w:space="0" w:color="auto"/>
                <w:right w:val="none" w:sz="0" w:space="0" w:color="auto"/>
              </w:divBdr>
              <w:divsChild>
                <w:div w:id="1850951520">
                  <w:marLeft w:val="0"/>
                  <w:marRight w:val="0"/>
                  <w:marTop w:val="0"/>
                  <w:marBottom w:val="0"/>
                  <w:divBdr>
                    <w:top w:val="none" w:sz="0" w:space="0" w:color="auto"/>
                    <w:left w:val="none" w:sz="0" w:space="0" w:color="auto"/>
                    <w:bottom w:val="none" w:sz="0" w:space="0" w:color="auto"/>
                    <w:right w:val="none" w:sz="0" w:space="0" w:color="auto"/>
                  </w:divBdr>
                  <w:divsChild>
                    <w:div w:id="1964723348">
                      <w:marLeft w:val="0"/>
                      <w:marRight w:val="0"/>
                      <w:marTop w:val="0"/>
                      <w:marBottom w:val="0"/>
                      <w:divBdr>
                        <w:top w:val="none" w:sz="0" w:space="0" w:color="auto"/>
                        <w:left w:val="none" w:sz="0" w:space="0" w:color="auto"/>
                        <w:bottom w:val="none" w:sz="0" w:space="0" w:color="auto"/>
                        <w:right w:val="none" w:sz="0" w:space="0" w:color="auto"/>
                      </w:divBdr>
                      <w:divsChild>
                        <w:div w:id="1330786724">
                          <w:marLeft w:val="0"/>
                          <w:marRight w:val="0"/>
                          <w:marTop w:val="0"/>
                          <w:marBottom w:val="0"/>
                          <w:divBdr>
                            <w:top w:val="none" w:sz="0" w:space="0" w:color="auto"/>
                            <w:left w:val="none" w:sz="0" w:space="0" w:color="auto"/>
                            <w:bottom w:val="none" w:sz="0" w:space="0" w:color="auto"/>
                            <w:right w:val="none" w:sz="0" w:space="0" w:color="auto"/>
                          </w:divBdr>
                          <w:divsChild>
                            <w:div w:id="67388566">
                              <w:marLeft w:val="0"/>
                              <w:marRight w:val="0"/>
                              <w:marTop w:val="0"/>
                              <w:marBottom w:val="0"/>
                              <w:divBdr>
                                <w:top w:val="none" w:sz="0" w:space="0" w:color="auto"/>
                                <w:left w:val="none" w:sz="0" w:space="0" w:color="auto"/>
                                <w:bottom w:val="none" w:sz="0" w:space="0" w:color="auto"/>
                                <w:right w:val="none" w:sz="0" w:space="0" w:color="auto"/>
                              </w:divBdr>
                              <w:divsChild>
                                <w:div w:id="853569717">
                                  <w:marLeft w:val="3630"/>
                                  <w:marRight w:val="4230"/>
                                  <w:marTop w:val="0"/>
                                  <w:marBottom w:val="0"/>
                                  <w:divBdr>
                                    <w:top w:val="none" w:sz="0" w:space="0" w:color="auto"/>
                                    <w:left w:val="none" w:sz="0" w:space="0" w:color="auto"/>
                                    <w:bottom w:val="none" w:sz="0" w:space="0" w:color="auto"/>
                                    <w:right w:val="none" w:sz="0" w:space="0" w:color="auto"/>
                                  </w:divBdr>
                                  <w:divsChild>
                                    <w:div w:id="1135293905">
                                      <w:marLeft w:val="75"/>
                                      <w:marRight w:val="75"/>
                                      <w:marTop w:val="75"/>
                                      <w:marBottom w:val="75"/>
                                      <w:divBdr>
                                        <w:top w:val="none" w:sz="0" w:space="0" w:color="auto"/>
                                        <w:left w:val="none" w:sz="0" w:space="0" w:color="auto"/>
                                        <w:bottom w:val="none" w:sz="0" w:space="0" w:color="auto"/>
                                        <w:right w:val="none" w:sz="0" w:space="0" w:color="auto"/>
                                      </w:divBdr>
                                      <w:divsChild>
                                        <w:div w:id="3031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357962">
      <w:bodyDiv w:val="1"/>
      <w:marLeft w:val="0"/>
      <w:marRight w:val="0"/>
      <w:marTop w:val="0"/>
      <w:marBottom w:val="0"/>
      <w:divBdr>
        <w:top w:val="none" w:sz="0" w:space="0" w:color="auto"/>
        <w:left w:val="none" w:sz="0" w:space="0" w:color="auto"/>
        <w:bottom w:val="none" w:sz="0" w:space="0" w:color="auto"/>
        <w:right w:val="none" w:sz="0" w:space="0" w:color="auto"/>
      </w:divBdr>
    </w:div>
    <w:div w:id="39330947">
      <w:bodyDiv w:val="1"/>
      <w:marLeft w:val="0"/>
      <w:marRight w:val="0"/>
      <w:marTop w:val="0"/>
      <w:marBottom w:val="0"/>
      <w:divBdr>
        <w:top w:val="none" w:sz="0" w:space="0" w:color="auto"/>
        <w:left w:val="none" w:sz="0" w:space="0" w:color="auto"/>
        <w:bottom w:val="none" w:sz="0" w:space="0" w:color="auto"/>
        <w:right w:val="none" w:sz="0" w:space="0" w:color="auto"/>
      </w:divBdr>
    </w:div>
    <w:div w:id="57367489">
      <w:bodyDiv w:val="1"/>
      <w:marLeft w:val="0"/>
      <w:marRight w:val="0"/>
      <w:marTop w:val="0"/>
      <w:marBottom w:val="0"/>
      <w:divBdr>
        <w:top w:val="none" w:sz="0" w:space="0" w:color="auto"/>
        <w:left w:val="none" w:sz="0" w:space="0" w:color="auto"/>
        <w:bottom w:val="none" w:sz="0" w:space="0" w:color="auto"/>
        <w:right w:val="none" w:sz="0" w:space="0" w:color="auto"/>
      </w:divBdr>
    </w:div>
    <w:div w:id="86537992">
      <w:bodyDiv w:val="1"/>
      <w:marLeft w:val="0"/>
      <w:marRight w:val="0"/>
      <w:marTop w:val="0"/>
      <w:marBottom w:val="0"/>
      <w:divBdr>
        <w:top w:val="none" w:sz="0" w:space="0" w:color="auto"/>
        <w:left w:val="none" w:sz="0" w:space="0" w:color="auto"/>
        <w:bottom w:val="none" w:sz="0" w:space="0" w:color="auto"/>
        <w:right w:val="none" w:sz="0" w:space="0" w:color="auto"/>
      </w:divBdr>
    </w:div>
    <w:div w:id="103422363">
      <w:bodyDiv w:val="1"/>
      <w:marLeft w:val="0"/>
      <w:marRight w:val="0"/>
      <w:marTop w:val="0"/>
      <w:marBottom w:val="0"/>
      <w:divBdr>
        <w:top w:val="none" w:sz="0" w:space="0" w:color="auto"/>
        <w:left w:val="none" w:sz="0" w:space="0" w:color="auto"/>
        <w:bottom w:val="none" w:sz="0" w:space="0" w:color="auto"/>
        <w:right w:val="none" w:sz="0" w:space="0" w:color="auto"/>
      </w:divBdr>
    </w:div>
    <w:div w:id="128980680">
      <w:bodyDiv w:val="1"/>
      <w:marLeft w:val="0"/>
      <w:marRight w:val="0"/>
      <w:marTop w:val="0"/>
      <w:marBottom w:val="0"/>
      <w:divBdr>
        <w:top w:val="none" w:sz="0" w:space="0" w:color="auto"/>
        <w:left w:val="none" w:sz="0" w:space="0" w:color="auto"/>
        <w:bottom w:val="none" w:sz="0" w:space="0" w:color="auto"/>
        <w:right w:val="none" w:sz="0" w:space="0" w:color="auto"/>
      </w:divBdr>
      <w:divsChild>
        <w:div w:id="2054963275">
          <w:marLeft w:val="0"/>
          <w:marRight w:val="0"/>
          <w:marTop w:val="0"/>
          <w:marBottom w:val="0"/>
          <w:divBdr>
            <w:top w:val="none" w:sz="0" w:space="0" w:color="auto"/>
            <w:left w:val="none" w:sz="0" w:space="0" w:color="auto"/>
            <w:bottom w:val="none" w:sz="0" w:space="0" w:color="auto"/>
            <w:right w:val="none" w:sz="0" w:space="0" w:color="auto"/>
          </w:divBdr>
          <w:divsChild>
            <w:div w:id="1480993608">
              <w:marLeft w:val="0"/>
              <w:marRight w:val="0"/>
              <w:marTop w:val="0"/>
              <w:marBottom w:val="0"/>
              <w:divBdr>
                <w:top w:val="none" w:sz="0" w:space="0" w:color="auto"/>
                <w:left w:val="none" w:sz="0" w:space="0" w:color="auto"/>
                <w:bottom w:val="none" w:sz="0" w:space="0" w:color="auto"/>
                <w:right w:val="none" w:sz="0" w:space="0" w:color="auto"/>
              </w:divBdr>
              <w:divsChild>
                <w:div w:id="2027823769">
                  <w:marLeft w:val="0"/>
                  <w:marRight w:val="0"/>
                  <w:marTop w:val="0"/>
                  <w:marBottom w:val="0"/>
                  <w:divBdr>
                    <w:top w:val="none" w:sz="0" w:space="0" w:color="auto"/>
                    <w:left w:val="none" w:sz="0" w:space="0" w:color="auto"/>
                    <w:bottom w:val="none" w:sz="0" w:space="0" w:color="auto"/>
                    <w:right w:val="none" w:sz="0" w:space="0" w:color="auto"/>
                  </w:divBdr>
                  <w:divsChild>
                    <w:div w:id="1543858600">
                      <w:marLeft w:val="0"/>
                      <w:marRight w:val="0"/>
                      <w:marTop w:val="0"/>
                      <w:marBottom w:val="0"/>
                      <w:divBdr>
                        <w:top w:val="none" w:sz="0" w:space="0" w:color="auto"/>
                        <w:left w:val="none" w:sz="0" w:space="0" w:color="auto"/>
                        <w:bottom w:val="none" w:sz="0" w:space="0" w:color="auto"/>
                        <w:right w:val="none" w:sz="0" w:space="0" w:color="auto"/>
                      </w:divBdr>
                      <w:divsChild>
                        <w:div w:id="1331979267">
                          <w:marLeft w:val="0"/>
                          <w:marRight w:val="0"/>
                          <w:marTop w:val="0"/>
                          <w:marBottom w:val="0"/>
                          <w:divBdr>
                            <w:top w:val="none" w:sz="0" w:space="0" w:color="auto"/>
                            <w:left w:val="none" w:sz="0" w:space="0" w:color="auto"/>
                            <w:bottom w:val="none" w:sz="0" w:space="0" w:color="auto"/>
                            <w:right w:val="none" w:sz="0" w:space="0" w:color="auto"/>
                          </w:divBdr>
                          <w:divsChild>
                            <w:div w:id="922838632">
                              <w:marLeft w:val="0"/>
                              <w:marRight w:val="0"/>
                              <w:marTop w:val="0"/>
                              <w:marBottom w:val="0"/>
                              <w:divBdr>
                                <w:top w:val="none" w:sz="0" w:space="0" w:color="auto"/>
                                <w:left w:val="none" w:sz="0" w:space="0" w:color="auto"/>
                                <w:bottom w:val="none" w:sz="0" w:space="0" w:color="auto"/>
                                <w:right w:val="none" w:sz="0" w:space="0" w:color="auto"/>
                              </w:divBdr>
                              <w:divsChild>
                                <w:div w:id="1052463304">
                                  <w:marLeft w:val="0"/>
                                  <w:marRight w:val="0"/>
                                  <w:marTop w:val="0"/>
                                  <w:marBottom w:val="0"/>
                                  <w:divBdr>
                                    <w:top w:val="none" w:sz="0" w:space="0" w:color="auto"/>
                                    <w:left w:val="none" w:sz="0" w:space="0" w:color="auto"/>
                                    <w:bottom w:val="none" w:sz="0" w:space="0" w:color="auto"/>
                                    <w:right w:val="none" w:sz="0" w:space="0" w:color="auto"/>
                                  </w:divBdr>
                                  <w:divsChild>
                                    <w:div w:id="1285574206">
                                      <w:marLeft w:val="0"/>
                                      <w:marRight w:val="0"/>
                                      <w:marTop w:val="0"/>
                                      <w:marBottom w:val="0"/>
                                      <w:divBdr>
                                        <w:top w:val="none" w:sz="0" w:space="0" w:color="auto"/>
                                        <w:left w:val="none" w:sz="0" w:space="0" w:color="auto"/>
                                        <w:bottom w:val="none" w:sz="0" w:space="0" w:color="auto"/>
                                        <w:right w:val="none" w:sz="0" w:space="0" w:color="auto"/>
                                      </w:divBdr>
                                      <w:divsChild>
                                        <w:div w:id="7169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57981">
      <w:bodyDiv w:val="1"/>
      <w:marLeft w:val="0"/>
      <w:marRight w:val="0"/>
      <w:marTop w:val="0"/>
      <w:marBottom w:val="0"/>
      <w:divBdr>
        <w:top w:val="none" w:sz="0" w:space="0" w:color="auto"/>
        <w:left w:val="none" w:sz="0" w:space="0" w:color="auto"/>
        <w:bottom w:val="none" w:sz="0" w:space="0" w:color="auto"/>
        <w:right w:val="none" w:sz="0" w:space="0" w:color="auto"/>
      </w:divBdr>
    </w:div>
    <w:div w:id="168835333">
      <w:bodyDiv w:val="1"/>
      <w:marLeft w:val="0"/>
      <w:marRight w:val="0"/>
      <w:marTop w:val="0"/>
      <w:marBottom w:val="0"/>
      <w:divBdr>
        <w:top w:val="none" w:sz="0" w:space="0" w:color="auto"/>
        <w:left w:val="none" w:sz="0" w:space="0" w:color="auto"/>
        <w:bottom w:val="none" w:sz="0" w:space="0" w:color="auto"/>
        <w:right w:val="none" w:sz="0" w:space="0" w:color="auto"/>
      </w:divBdr>
    </w:div>
    <w:div w:id="196816018">
      <w:bodyDiv w:val="1"/>
      <w:marLeft w:val="0"/>
      <w:marRight w:val="0"/>
      <w:marTop w:val="0"/>
      <w:marBottom w:val="0"/>
      <w:divBdr>
        <w:top w:val="none" w:sz="0" w:space="0" w:color="auto"/>
        <w:left w:val="none" w:sz="0" w:space="0" w:color="auto"/>
        <w:bottom w:val="none" w:sz="0" w:space="0" w:color="auto"/>
        <w:right w:val="none" w:sz="0" w:space="0" w:color="auto"/>
      </w:divBdr>
    </w:div>
    <w:div w:id="197354748">
      <w:bodyDiv w:val="1"/>
      <w:marLeft w:val="0"/>
      <w:marRight w:val="0"/>
      <w:marTop w:val="0"/>
      <w:marBottom w:val="0"/>
      <w:divBdr>
        <w:top w:val="none" w:sz="0" w:space="0" w:color="auto"/>
        <w:left w:val="none" w:sz="0" w:space="0" w:color="auto"/>
        <w:bottom w:val="none" w:sz="0" w:space="0" w:color="auto"/>
        <w:right w:val="none" w:sz="0" w:space="0" w:color="auto"/>
      </w:divBdr>
    </w:div>
    <w:div w:id="236329749">
      <w:bodyDiv w:val="1"/>
      <w:marLeft w:val="0"/>
      <w:marRight w:val="0"/>
      <w:marTop w:val="0"/>
      <w:marBottom w:val="0"/>
      <w:divBdr>
        <w:top w:val="none" w:sz="0" w:space="0" w:color="auto"/>
        <w:left w:val="none" w:sz="0" w:space="0" w:color="auto"/>
        <w:bottom w:val="none" w:sz="0" w:space="0" w:color="auto"/>
        <w:right w:val="none" w:sz="0" w:space="0" w:color="auto"/>
      </w:divBdr>
    </w:div>
    <w:div w:id="242645385">
      <w:bodyDiv w:val="1"/>
      <w:marLeft w:val="0"/>
      <w:marRight w:val="0"/>
      <w:marTop w:val="0"/>
      <w:marBottom w:val="0"/>
      <w:divBdr>
        <w:top w:val="none" w:sz="0" w:space="0" w:color="auto"/>
        <w:left w:val="none" w:sz="0" w:space="0" w:color="auto"/>
        <w:bottom w:val="none" w:sz="0" w:space="0" w:color="auto"/>
        <w:right w:val="none" w:sz="0" w:space="0" w:color="auto"/>
      </w:divBdr>
    </w:div>
    <w:div w:id="247542070">
      <w:bodyDiv w:val="1"/>
      <w:marLeft w:val="0"/>
      <w:marRight w:val="0"/>
      <w:marTop w:val="0"/>
      <w:marBottom w:val="0"/>
      <w:divBdr>
        <w:top w:val="none" w:sz="0" w:space="0" w:color="auto"/>
        <w:left w:val="none" w:sz="0" w:space="0" w:color="auto"/>
        <w:bottom w:val="none" w:sz="0" w:space="0" w:color="auto"/>
        <w:right w:val="none" w:sz="0" w:space="0" w:color="auto"/>
      </w:divBdr>
      <w:divsChild>
        <w:div w:id="1324354528">
          <w:marLeft w:val="0"/>
          <w:marRight w:val="0"/>
          <w:marTop w:val="0"/>
          <w:marBottom w:val="0"/>
          <w:divBdr>
            <w:top w:val="none" w:sz="0" w:space="0" w:color="auto"/>
            <w:left w:val="none" w:sz="0" w:space="0" w:color="auto"/>
            <w:bottom w:val="none" w:sz="0" w:space="0" w:color="auto"/>
            <w:right w:val="none" w:sz="0" w:space="0" w:color="auto"/>
          </w:divBdr>
        </w:div>
      </w:divsChild>
    </w:div>
    <w:div w:id="249195118">
      <w:bodyDiv w:val="1"/>
      <w:marLeft w:val="0"/>
      <w:marRight w:val="0"/>
      <w:marTop w:val="0"/>
      <w:marBottom w:val="0"/>
      <w:divBdr>
        <w:top w:val="none" w:sz="0" w:space="0" w:color="auto"/>
        <w:left w:val="none" w:sz="0" w:space="0" w:color="auto"/>
        <w:bottom w:val="none" w:sz="0" w:space="0" w:color="auto"/>
        <w:right w:val="none" w:sz="0" w:space="0" w:color="auto"/>
      </w:divBdr>
    </w:div>
    <w:div w:id="262348020">
      <w:bodyDiv w:val="1"/>
      <w:marLeft w:val="0"/>
      <w:marRight w:val="0"/>
      <w:marTop w:val="0"/>
      <w:marBottom w:val="0"/>
      <w:divBdr>
        <w:top w:val="none" w:sz="0" w:space="0" w:color="auto"/>
        <w:left w:val="none" w:sz="0" w:space="0" w:color="auto"/>
        <w:bottom w:val="none" w:sz="0" w:space="0" w:color="auto"/>
        <w:right w:val="none" w:sz="0" w:space="0" w:color="auto"/>
      </w:divBdr>
      <w:divsChild>
        <w:div w:id="1149833347">
          <w:marLeft w:val="0"/>
          <w:marRight w:val="0"/>
          <w:marTop w:val="0"/>
          <w:marBottom w:val="0"/>
          <w:divBdr>
            <w:top w:val="none" w:sz="0" w:space="0" w:color="auto"/>
            <w:left w:val="none" w:sz="0" w:space="0" w:color="auto"/>
            <w:bottom w:val="none" w:sz="0" w:space="0" w:color="auto"/>
            <w:right w:val="none" w:sz="0" w:space="0" w:color="auto"/>
          </w:divBdr>
          <w:divsChild>
            <w:div w:id="2072732274">
              <w:marLeft w:val="0"/>
              <w:marRight w:val="0"/>
              <w:marTop w:val="0"/>
              <w:marBottom w:val="0"/>
              <w:divBdr>
                <w:top w:val="none" w:sz="0" w:space="0" w:color="auto"/>
                <w:left w:val="none" w:sz="0" w:space="0" w:color="auto"/>
                <w:bottom w:val="none" w:sz="0" w:space="0" w:color="auto"/>
                <w:right w:val="none" w:sz="0" w:space="0" w:color="auto"/>
              </w:divBdr>
              <w:divsChild>
                <w:div w:id="1648434508">
                  <w:marLeft w:val="0"/>
                  <w:marRight w:val="0"/>
                  <w:marTop w:val="0"/>
                  <w:marBottom w:val="0"/>
                  <w:divBdr>
                    <w:top w:val="none" w:sz="0" w:space="0" w:color="auto"/>
                    <w:left w:val="none" w:sz="0" w:space="0" w:color="auto"/>
                    <w:bottom w:val="none" w:sz="0" w:space="0" w:color="auto"/>
                    <w:right w:val="none" w:sz="0" w:space="0" w:color="auto"/>
                  </w:divBdr>
                  <w:divsChild>
                    <w:div w:id="1336763592">
                      <w:marLeft w:val="0"/>
                      <w:marRight w:val="0"/>
                      <w:marTop w:val="0"/>
                      <w:marBottom w:val="0"/>
                      <w:divBdr>
                        <w:top w:val="none" w:sz="0" w:space="0" w:color="auto"/>
                        <w:left w:val="none" w:sz="0" w:space="0" w:color="auto"/>
                        <w:bottom w:val="none" w:sz="0" w:space="0" w:color="auto"/>
                        <w:right w:val="none" w:sz="0" w:space="0" w:color="auto"/>
                      </w:divBdr>
                      <w:divsChild>
                        <w:div w:id="1407337532">
                          <w:marLeft w:val="0"/>
                          <w:marRight w:val="0"/>
                          <w:marTop w:val="0"/>
                          <w:marBottom w:val="0"/>
                          <w:divBdr>
                            <w:top w:val="none" w:sz="0" w:space="0" w:color="auto"/>
                            <w:left w:val="none" w:sz="0" w:space="0" w:color="auto"/>
                            <w:bottom w:val="none" w:sz="0" w:space="0" w:color="auto"/>
                            <w:right w:val="none" w:sz="0" w:space="0" w:color="auto"/>
                          </w:divBdr>
                          <w:divsChild>
                            <w:div w:id="2011566400">
                              <w:marLeft w:val="0"/>
                              <w:marRight w:val="0"/>
                              <w:marTop w:val="0"/>
                              <w:marBottom w:val="0"/>
                              <w:divBdr>
                                <w:top w:val="none" w:sz="0" w:space="0" w:color="auto"/>
                                <w:left w:val="none" w:sz="0" w:space="0" w:color="auto"/>
                                <w:bottom w:val="none" w:sz="0" w:space="0" w:color="auto"/>
                                <w:right w:val="none" w:sz="0" w:space="0" w:color="auto"/>
                              </w:divBdr>
                              <w:divsChild>
                                <w:div w:id="899680126">
                                  <w:marLeft w:val="0"/>
                                  <w:marRight w:val="0"/>
                                  <w:marTop w:val="0"/>
                                  <w:marBottom w:val="0"/>
                                  <w:divBdr>
                                    <w:top w:val="none" w:sz="0" w:space="0" w:color="auto"/>
                                    <w:left w:val="none" w:sz="0" w:space="0" w:color="auto"/>
                                    <w:bottom w:val="none" w:sz="0" w:space="0" w:color="auto"/>
                                    <w:right w:val="none" w:sz="0" w:space="0" w:color="auto"/>
                                  </w:divBdr>
                                  <w:divsChild>
                                    <w:div w:id="46570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776608">
      <w:bodyDiv w:val="1"/>
      <w:marLeft w:val="0"/>
      <w:marRight w:val="0"/>
      <w:marTop w:val="0"/>
      <w:marBottom w:val="0"/>
      <w:divBdr>
        <w:top w:val="none" w:sz="0" w:space="0" w:color="auto"/>
        <w:left w:val="none" w:sz="0" w:space="0" w:color="auto"/>
        <w:bottom w:val="none" w:sz="0" w:space="0" w:color="auto"/>
        <w:right w:val="none" w:sz="0" w:space="0" w:color="auto"/>
      </w:divBdr>
    </w:div>
    <w:div w:id="316810127">
      <w:bodyDiv w:val="1"/>
      <w:marLeft w:val="0"/>
      <w:marRight w:val="0"/>
      <w:marTop w:val="0"/>
      <w:marBottom w:val="0"/>
      <w:divBdr>
        <w:top w:val="none" w:sz="0" w:space="0" w:color="auto"/>
        <w:left w:val="none" w:sz="0" w:space="0" w:color="auto"/>
        <w:bottom w:val="none" w:sz="0" w:space="0" w:color="auto"/>
        <w:right w:val="none" w:sz="0" w:space="0" w:color="auto"/>
      </w:divBdr>
    </w:div>
    <w:div w:id="332801037">
      <w:bodyDiv w:val="1"/>
      <w:marLeft w:val="0"/>
      <w:marRight w:val="0"/>
      <w:marTop w:val="0"/>
      <w:marBottom w:val="0"/>
      <w:divBdr>
        <w:top w:val="none" w:sz="0" w:space="0" w:color="auto"/>
        <w:left w:val="none" w:sz="0" w:space="0" w:color="auto"/>
        <w:bottom w:val="none" w:sz="0" w:space="0" w:color="auto"/>
        <w:right w:val="none" w:sz="0" w:space="0" w:color="auto"/>
      </w:divBdr>
    </w:div>
    <w:div w:id="341396903">
      <w:bodyDiv w:val="1"/>
      <w:marLeft w:val="0"/>
      <w:marRight w:val="0"/>
      <w:marTop w:val="0"/>
      <w:marBottom w:val="0"/>
      <w:divBdr>
        <w:top w:val="none" w:sz="0" w:space="0" w:color="auto"/>
        <w:left w:val="none" w:sz="0" w:space="0" w:color="auto"/>
        <w:bottom w:val="none" w:sz="0" w:space="0" w:color="auto"/>
        <w:right w:val="none" w:sz="0" w:space="0" w:color="auto"/>
      </w:divBdr>
    </w:div>
    <w:div w:id="344719587">
      <w:bodyDiv w:val="1"/>
      <w:marLeft w:val="0"/>
      <w:marRight w:val="0"/>
      <w:marTop w:val="0"/>
      <w:marBottom w:val="0"/>
      <w:divBdr>
        <w:top w:val="none" w:sz="0" w:space="0" w:color="auto"/>
        <w:left w:val="none" w:sz="0" w:space="0" w:color="auto"/>
        <w:bottom w:val="none" w:sz="0" w:space="0" w:color="auto"/>
        <w:right w:val="none" w:sz="0" w:space="0" w:color="auto"/>
      </w:divBdr>
    </w:div>
    <w:div w:id="419646588">
      <w:bodyDiv w:val="1"/>
      <w:marLeft w:val="0"/>
      <w:marRight w:val="0"/>
      <w:marTop w:val="0"/>
      <w:marBottom w:val="0"/>
      <w:divBdr>
        <w:top w:val="none" w:sz="0" w:space="0" w:color="auto"/>
        <w:left w:val="none" w:sz="0" w:space="0" w:color="auto"/>
        <w:bottom w:val="none" w:sz="0" w:space="0" w:color="auto"/>
        <w:right w:val="none" w:sz="0" w:space="0" w:color="auto"/>
      </w:divBdr>
    </w:div>
    <w:div w:id="419955467">
      <w:bodyDiv w:val="1"/>
      <w:marLeft w:val="0"/>
      <w:marRight w:val="0"/>
      <w:marTop w:val="0"/>
      <w:marBottom w:val="0"/>
      <w:divBdr>
        <w:top w:val="none" w:sz="0" w:space="0" w:color="auto"/>
        <w:left w:val="none" w:sz="0" w:space="0" w:color="auto"/>
        <w:bottom w:val="none" w:sz="0" w:space="0" w:color="auto"/>
        <w:right w:val="none" w:sz="0" w:space="0" w:color="auto"/>
      </w:divBdr>
    </w:div>
    <w:div w:id="459421141">
      <w:bodyDiv w:val="1"/>
      <w:marLeft w:val="0"/>
      <w:marRight w:val="0"/>
      <w:marTop w:val="0"/>
      <w:marBottom w:val="0"/>
      <w:divBdr>
        <w:top w:val="none" w:sz="0" w:space="0" w:color="auto"/>
        <w:left w:val="none" w:sz="0" w:space="0" w:color="auto"/>
        <w:bottom w:val="none" w:sz="0" w:space="0" w:color="auto"/>
        <w:right w:val="none" w:sz="0" w:space="0" w:color="auto"/>
      </w:divBdr>
    </w:div>
    <w:div w:id="492723169">
      <w:bodyDiv w:val="1"/>
      <w:marLeft w:val="0"/>
      <w:marRight w:val="0"/>
      <w:marTop w:val="0"/>
      <w:marBottom w:val="0"/>
      <w:divBdr>
        <w:top w:val="none" w:sz="0" w:space="0" w:color="auto"/>
        <w:left w:val="none" w:sz="0" w:space="0" w:color="auto"/>
        <w:bottom w:val="none" w:sz="0" w:space="0" w:color="auto"/>
        <w:right w:val="none" w:sz="0" w:space="0" w:color="auto"/>
      </w:divBdr>
    </w:div>
    <w:div w:id="507600734">
      <w:bodyDiv w:val="1"/>
      <w:marLeft w:val="0"/>
      <w:marRight w:val="0"/>
      <w:marTop w:val="0"/>
      <w:marBottom w:val="0"/>
      <w:divBdr>
        <w:top w:val="none" w:sz="0" w:space="0" w:color="auto"/>
        <w:left w:val="none" w:sz="0" w:space="0" w:color="auto"/>
        <w:bottom w:val="none" w:sz="0" w:space="0" w:color="auto"/>
        <w:right w:val="none" w:sz="0" w:space="0" w:color="auto"/>
      </w:divBdr>
    </w:div>
    <w:div w:id="521867954">
      <w:bodyDiv w:val="1"/>
      <w:marLeft w:val="0"/>
      <w:marRight w:val="0"/>
      <w:marTop w:val="0"/>
      <w:marBottom w:val="0"/>
      <w:divBdr>
        <w:top w:val="none" w:sz="0" w:space="0" w:color="auto"/>
        <w:left w:val="none" w:sz="0" w:space="0" w:color="auto"/>
        <w:bottom w:val="none" w:sz="0" w:space="0" w:color="auto"/>
        <w:right w:val="none" w:sz="0" w:space="0" w:color="auto"/>
      </w:divBdr>
    </w:div>
    <w:div w:id="537201920">
      <w:bodyDiv w:val="1"/>
      <w:marLeft w:val="0"/>
      <w:marRight w:val="0"/>
      <w:marTop w:val="0"/>
      <w:marBottom w:val="0"/>
      <w:divBdr>
        <w:top w:val="none" w:sz="0" w:space="0" w:color="auto"/>
        <w:left w:val="none" w:sz="0" w:space="0" w:color="auto"/>
        <w:bottom w:val="none" w:sz="0" w:space="0" w:color="auto"/>
        <w:right w:val="none" w:sz="0" w:space="0" w:color="auto"/>
      </w:divBdr>
    </w:div>
    <w:div w:id="546602898">
      <w:bodyDiv w:val="1"/>
      <w:marLeft w:val="0"/>
      <w:marRight w:val="0"/>
      <w:marTop w:val="0"/>
      <w:marBottom w:val="0"/>
      <w:divBdr>
        <w:top w:val="none" w:sz="0" w:space="0" w:color="auto"/>
        <w:left w:val="none" w:sz="0" w:space="0" w:color="auto"/>
        <w:bottom w:val="none" w:sz="0" w:space="0" w:color="auto"/>
        <w:right w:val="none" w:sz="0" w:space="0" w:color="auto"/>
      </w:divBdr>
    </w:div>
    <w:div w:id="564148224">
      <w:bodyDiv w:val="1"/>
      <w:marLeft w:val="0"/>
      <w:marRight w:val="0"/>
      <w:marTop w:val="0"/>
      <w:marBottom w:val="0"/>
      <w:divBdr>
        <w:top w:val="none" w:sz="0" w:space="0" w:color="auto"/>
        <w:left w:val="none" w:sz="0" w:space="0" w:color="auto"/>
        <w:bottom w:val="none" w:sz="0" w:space="0" w:color="auto"/>
        <w:right w:val="none" w:sz="0" w:space="0" w:color="auto"/>
      </w:divBdr>
    </w:div>
    <w:div w:id="569268874">
      <w:bodyDiv w:val="1"/>
      <w:marLeft w:val="0"/>
      <w:marRight w:val="0"/>
      <w:marTop w:val="0"/>
      <w:marBottom w:val="0"/>
      <w:divBdr>
        <w:top w:val="none" w:sz="0" w:space="0" w:color="auto"/>
        <w:left w:val="none" w:sz="0" w:space="0" w:color="auto"/>
        <w:bottom w:val="none" w:sz="0" w:space="0" w:color="auto"/>
        <w:right w:val="none" w:sz="0" w:space="0" w:color="auto"/>
      </w:divBdr>
    </w:div>
    <w:div w:id="585459611">
      <w:bodyDiv w:val="1"/>
      <w:marLeft w:val="0"/>
      <w:marRight w:val="0"/>
      <w:marTop w:val="0"/>
      <w:marBottom w:val="0"/>
      <w:divBdr>
        <w:top w:val="none" w:sz="0" w:space="0" w:color="auto"/>
        <w:left w:val="none" w:sz="0" w:space="0" w:color="auto"/>
        <w:bottom w:val="none" w:sz="0" w:space="0" w:color="auto"/>
        <w:right w:val="none" w:sz="0" w:space="0" w:color="auto"/>
      </w:divBdr>
    </w:div>
    <w:div w:id="599876626">
      <w:bodyDiv w:val="1"/>
      <w:marLeft w:val="0"/>
      <w:marRight w:val="0"/>
      <w:marTop w:val="0"/>
      <w:marBottom w:val="0"/>
      <w:divBdr>
        <w:top w:val="none" w:sz="0" w:space="0" w:color="auto"/>
        <w:left w:val="none" w:sz="0" w:space="0" w:color="auto"/>
        <w:bottom w:val="none" w:sz="0" w:space="0" w:color="auto"/>
        <w:right w:val="none" w:sz="0" w:space="0" w:color="auto"/>
      </w:divBdr>
    </w:div>
    <w:div w:id="617297026">
      <w:bodyDiv w:val="1"/>
      <w:marLeft w:val="0"/>
      <w:marRight w:val="0"/>
      <w:marTop w:val="0"/>
      <w:marBottom w:val="0"/>
      <w:divBdr>
        <w:top w:val="none" w:sz="0" w:space="0" w:color="auto"/>
        <w:left w:val="none" w:sz="0" w:space="0" w:color="auto"/>
        <w:bottom w:val="none" w:sz="0" w:space="0" w:color="auto"/>
        <w:right w:val="none" w:sz="0" w:space="0" w:color="auto"/>
      </w:divBdr>
    </w:div>
    <w:div w:id="627781846">
      <w:bodyDiv w:val="1"/>
      <w:marLeft w:val="0"/>
      <w:marRight w:val="0"/>
      <w:marTop w:val="0"/>
      <w:marBottom w:val="0"/>
      <w:divBdr>
        <w:top w:val="none" w:sz="0" w:space="0" w:color="auto"/>
        <w:left w:val="none" w:sz="0" w:space="0" w:color="auto"/>
        <w:bottom w:val="none" w:sz="0" w:space="0" w:color="auto"/>
        <w:right w:val="none" w:sz="0" w:space="0" w:color="auto"/>
      </w:divBdr>
    </w:div>
    <w:div w:id="636951826">
      <w:bodyDiv w:val="1"/>
      <w:marLeft w:val="0"/>
      <w:marRight w:val="0"/>
      <w:marTop w:val="0"/>
      <w:marBottom w:val="0"/>
      <w:divBdr>
        <w:top w:val="none" w:sz="0" w:space="0" w:color="auto"/>
        <w:left w:val="none" w:sz="0" w:space="0" w:color="auto"/>
        <w:bottom w:val="none" w:sz="0" w:space="0" w:color="auto"/>
        <w:right w:val="none" w:sz="0" w:space="0" w:color="auto"/>
      </w:divBdr>
    </w:div>
    <w:div w:id="648904548">
      <w:bodyDiv w:val="1"/>
      <w:marLeft w:val="0"/>
      <w:marRight w:val="0"/>
      <w:marTop w:val="0"/>
      <w:marBottom w:val="0"/>
      <w:divBdr>
        <w:top w:val="none" w:sz="0" w:space="0" w:color="auto"/>
        <w:left w:val="none" w:sz="0" w:space="0" w:color="auto"/>
        <w:bottom w:val="none" w:sz="0" w:space="0" w:color="auto"/>
        <w:right w:val="none" w:sz="0" w:space="0" w:color="auto"/>
      </w:divBdr>
    </w:div>
    <w:div w:id="690492990">
      <w:bodyDiv w:val="1"/>
      <w:marLeft w:val="0"/>
      <w:marRight w:val="0"/>
      <w:marTop w:val="0"/>
      <w:marBottom w:val="0"/>
      <w:divBdr>
        <w:top w:val="none" w:sz="0" w:space="0" w:color="auto"/>
        <w:left w:val="none" w:sz="0" w:space="0" w:color="auto"/>
        <w:bottom w:val="none" w:sz="0" w:space="0" w:color="auto"/>
        <w:right w:val="none" w:sz="0" w:space="0" w:color="auto"/>
      </w:divBdr>
    </w:div>
    <w:div w:id="692998499">
      <w:bodyDiv w:val="1"/>
      <w:marLeft w:val="0"/>
      <w:marRight w:val="0"/>
      <w:marTop w:val="0"/>
      <w:marBottom w:val="0"/>
      <w:divBdr>
        <w:top w:val="none" w:sz="0" w:space="0" w:color="auto"/>
        <w:left w:val="none" w:sz="0" w:space="0" w:color="auto"/>
        <w:bottom w:val="none" w:sz="0" w:space="0" w:color="auto"/>
        <w:right w:val="none" w:sz="0" w:space="0" w:color="auto"/>
      </w:divBdr>
    </w:div>
    <w:div w:id="710614645">
      <w:bodyDiv w:val="1"/>
      <w:marLeft w:val="0"/>
      <w:marRight w:val="0"/>
      <w:marTop w:val="0"/>
      <w:marBottom w:val="0"/>
      <w:divBdr>
        <w:top w:val="none" w:sz="0" w:space="0" w:color="auto"/>
        <w:left w:val="none" w:sz="0" w:space="0" w:color="auto"/>
        <w:bottom w:val="none" w:sz="0" w:space="0" w:color="auto"/>
        <w:right w:val="none" w:sz="0" w:space="0" w:color="auto"/>
      </w:divBdr>
    </w:div>
    <w:div w:id="770511912">
      <w:bodyDiv w:val="1"/>
      <w:marLeft w:val="0"/>
      <w:marRight w:val="0"/>
      <w:marTop w:val="0"/>
      <w:marBottom w:val="0"/>
      <w:divBdr>
        <w:top w:val="none" w:sz="0" w:space="0" w:color="auto"/>
        <w:left w:val="none" w:sz="0" w:space="0" w:color="auto"/>
        <w:bottom w:val="none" w:sz="0" w:space="0" w:color="auto"/>
        <w:right w:val="none" w:sz="0" w:space="0" w:color="auto"/>
      </w:divBdr>
      <w:divsChild>
        <w:div w:id="412967504">
          <w:marLeft w:val="0"/>
          <w:marRight w:val="0"/>
          <w:marTop w:val="100"/>
          <w:marBottom w:val="100"/>
          <w:divBdr>
            <w:top w:val="none" w:sz="0" w:space="0" w:color="auto"/>
            <w:left w:val="none" w:sz="0" w:space="0" w:color="auto"/>
            <w:bottom w:val="none" w:sz="0" w:space="0" w:color="auto"/>
            <w:right w:val="none" w:sz="0" w:space="0" w:color="auto"/>
          </w:divBdr>
          <w:divsChild>
            <w:div w:id="1572810189">
              <w:marLeft w:val="0"/>
              <w:marRight w:val="0"/>
              <w:marTop w:val="0"/>
              <w:marBottom w:val="0"/>
              <w:divBdr>
                <w:top w:val="none" w:sz="0" w:space="0" w:color="auto"/>
                <w:left w:val="single" w:sz="18" w:space="0" w:color="EDEDED"/>
                <w:bottom w:val="single" w:sz="18" w:space="0" w:color="EDEDED"/>
                <w:right w:val="single" w:sz="18" w:space="0" w:color="EDEDED"/>
              </w:divBdr>
              <w:divsChild>
                <w:div w:id="1813332425">
                  <w:marLeft w:val="0"/>
                  <w:marRight w:val="0"/>
                  <w:marTop w:val="0"/>
                  <w:marBottom w:val="0"/>
                  <w:divBdr>
                    <w:top w:val="none" w:sz="0" w:space="0" w:color="auto"/>
                    <w:left w:val="none" w:sz="0" w:space="0" w:color="auto"/>
                    <w:bottom w:val="none" w:sz="0" w:space="0" w:color="auto"/>
                    <w:right w:val="none" w:sz="0" w:space="0" w:color="auto"/>
                  </w:divBdr>
                  <w:divsChild>
                    <w:div w:id="1913539118">
                      <w:marLeft w:val="0"/>
                      <w:marRight w:val="0"/>
                      <w:marTop w:val="0"/>
                      <w:marBottom w:val="360"/>
                      <w:divBdr>
                        <w:top w:val="none" w:sz="0" w:space="0" w:color="auto"/>
                        <w:left w:val="none" w:sz="0" w:space="0" w:color="auto"/>
                        <w:bottom w:val="none" w:sz="0" w:space="0" w:color="auto"/>
                        <w:right w:val="none" w:sz="0" w:space="0" w:color="auto"/>
                      </w:divBdr>
                      <w:divsChild>
                        <w:div w:id="6903767">
                          <w:marLeft w:val="0"/>
                          <w:marRight w:val="0"/>
                          <w:marTop w:val="0"/>
                          <w:marBottom w:val="0"/>
                          <w:divBdr>
                            <w:top w:val="none" w:sz="0" w:space="0" w:color="auto"/>
                            <w:left w:val="none" w:sz="0" w:space="0" w:color="auto"/>
                            <w:bottom w:val="none" w:sz="0" w:space="0" w:color="auto"/>
                            <w:right w:val="none" w:sz="0" w:space="0" w:color="auto"/>
                          </w:divBdr>
                          <w:divsChild>
                            <w:div w:id="1449200450">
                              <w:marLeft w:val="0"/>
                              <w:marRight w:val="0"/>
                              <w:marTop w:val="0"/>
                              <w:marBottom w:val="0"/>
                              <w:divBdr>
                                <w:top w:val="none" w:sz="0" w:space="0" w:color="auto"/>
                                <w:left w:val="none" w:sz="0" w:space="0" w:color="auto"/>
                                <w:bottom w:val="none" w:sz="0" w:space="0" w:color="auto"/>
                                <w:right w:val="none" w:sz="0" w:space="0" w:color="auto"/>
                              </w:divBdr>
                              <w:divsChild>
                                <w:div w:id="10878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067453">
      <w:bodyDiv w:val="1"/>
      <w:marLeft w:val="0"/>
      <w:marRight w:val="0"/>
      <w:marTop w:val="0"/>
      <w:marBottom w:val="0"/>
      <w:divBdr>
        <w:top w:val="none" w:sz="0" w:space="0" w:color="auto"/>
        <w:left w:val="none" w:sz="0" w:space="0" w:color="auto"/>
        <w:bottom w:val="none" w:sz="0" w:space="0" w:color="auto"/>
        <w:right w:val="none" w:sz="0" w:space="0" w:color="auto"/>
      </w:divBdr>
    </w:div>
    <w:div w:id="815413424">
      <w:bodyDiv w:val="1"/>
      <w:marLeft w:val="0"/>
      <w:marRight w:val="0"/>
      <w:marTop w:val="0"/>
      <w:marBottom w:val="0"/>
      <w:divBdr>
        <w:top w:val="none" w:sz="0" w:space="0" w:color="auto"/>
        <w:left w:val="none" w:sz="0" w:space="0" w:color="auto"/>
        <w:bottom w:val="none" w:sz="0" w:space="0" w:color="auto"/>
        <w:right w:val="none" w:sz="0" w:space="0" w:color="auto"/>
      </w:divBdr>
    </w:div>
    <w:div w:id="815877790">
      <w:bodyDiv w:val="1"/>
      <w:marLeft w:val="0"/>
      <w:marRight w:val="0"/>
      <w:marTop w:val="0"/>
      <w:marBottom w:val="0"/>
      <w:divBdr>
        <w:top w:val="none" w:sz="0" w:space="0" w:color="auto"/>
        <w:left w:val="none" w:sz="0" w:space="0" w:color="auto"/>
        <w:bottom w:val="none" w:sz="0" w:space="0" w:color="auto"/>
        <w:right w:val="none" w:sz="0" w:space="0" w:color="auto"/>
      </w:divBdr>
    </w:div>
    <w:div w:id="830022758">
      <w:bodyDiv w:val="1"/>
      <w:marLeft w:val="0"/>
      <w:marRight w:val="0"/>
      <w:marTop w:val="0"/>
      <w:marBottom w:val="0"/>
      <w:divBdr>
        <w:top w:val="none" w:sz="0" w:space="0" w:color="auto"/>
        <w:left w:val="none" w:sz="0" w:space="0" w:color="auto"/>
        <w:bottom w:val="none" w:sz="0" w:space="0" w:color="auto"/>
        <w:right w:val="none" w:sz="0" w:space="0" w:color="auto"/>
      </w:divBdr>
    </w:div>
    <w:div w:id="840121473">
      <w:bodyDiv w:val="1"/>
      <w:marLeft w:val="0"/>
      <w:marRight w:val="0"/>
      <w:marTop w:val="0"/>
      <w:marBottom w:val="0"/>
      <w:divBdr>
        <w:top w:val="none" w:sz="0" w:space="0" w:color="auto"/>
        <w:left w:val="none" w:sz="0" w:space="0" w:color="auto"/>
        <w:bottom w:val="none" w:sz="0" w:space="0" w:color="auto"/>
        <w:right w:val="none" w:sz="0" w:space="0" w:color="auto"/>
      </w:divBdr>
    </w:div>
    <w:div w:id="858735487">
      <w:bodyDiv w:val="1"/>
      <w:marLeft w:val="0"/>
      <w:marRight w:val="0"/>
      <w:marTop w:val="0"/>
      <w:marBottom w:val="0"/>
      <w:divBdr>
        <w:top w:val="none" w:sz="0" w:space="0" w:color="auto"/>
        <w:left w:val="none" w:sz="0" w:space="0" w:color="auto"/>
        <w:bottom w:val="none" w:sz="0" w:space="0" w:color="auto"/>
        <w:right w:val="none" w:sz="0" w:space="0" w:color="auto"/>
      </w:divBdr>
    </w:div>
    <w:div w:id="875653586">
      <w:bodyDiv w:val="1"/>
      <w:marLeft w:val="0"/>
      <w:marRight w:val="0"/>
      <w:marTop w:val="0"/>
      <w:marBottom w:val="0"/>
      <w:divBdr>
        <w:top w:val="none" w:sz="0" w:space="0" w:color="auto"/>
        <w:left w:val="none" w:sz="0" w:space="0" w:color="auto"/>
        <w:bottom w:val="none" w:sz="0" w:space="0" w:color="auto"/>
        <w:right w:val="none" w:sz="0" w:space="0" w:color="auto"/>
      </w:divBdr>
    </w:div>
    <w:div w:id="916675077">
      <w:bodyDiv w:val="1"/>
      <w:marLeft w:val="0"/>
      <w:marRight w:val="0"/>
      <w:marTop w:val="0"/>
      <w:marBottom w:val="0"/>
      <w:divBdr>
        <w:top w:val="none" w:sz="0" w:space="0" w:color="auto"/>
        <w:left w:val="none" w:sz="0" w:space="0" w:color="auto"/>
        <w:bottom w:val="none" w:sz="0" w:space="0" w:color="auto"/>
        <w:right w:val="none" w:sz="0" w:space="0" w:color="auto"/>
      </w:divBdr>
    </w:div>
    <w:div w:id="920456107">
      <w:bodyDiv w:val="1"/>
      <w:marLeft w:val="0"/>
      <w:marRight w:val="0"/>
      <w:marTop w:val="0"/>
      <w:marBottom w:val="0"/>
      <w:divBdr>
        <w:top w:val="none" w:sz="0" w:space="0" w:color="auto"/>
        <w:left w:val="none" w:sz="0" w:space="0" w:color="auto"/>
        <w:bottom w:val="none" w:sz="0" w:space="0" w:color="auto"/>
        <w:right w:val="none" w:sz="0" w:space="0" w:color="auto"/>
      </w:divBdr>
    </w:div>
    <w:div w:id="981546311">
      <w:bodyDiv w:val="1"/>
      <w:marLeft w:val="0"/>
      <w:marRight w:val="0"/>
      <w:marTop w:val="0"/>
      <w:marBottom w:val="0"/>
      <w:divBdr>
        <w:top w:val="none" w:sz="0" w:space="0" w:color="auto"/>
        <w:left w:val="none" w:sz="0" w:space="0" w:color="auto"/>
        <w:bottom w:val="none" w:sz="0" w:space="0" w:color="auto"/>
        <w:right w:val="none" w:sz="0" w:space="0" w:color="auto"/>
      </w:divBdr>
      <w:divsChild>
        <w:div w:id="1522085853">
          <w:marLeft w:val="0"/>
          <w:marRight w:val="0"/>
          <w:marTop w:val="0"/>
          <w:marBottom w:val="0"/>
          <w:divBdr>
            <w:top w:val="none" w:sz="0" w:space="0" w:color="auto"/>
            <w:left w:val="none" w:sz="0" w:space="0" w:color="auto"/>
            <w:bottom w:val="none" w:sz="0" w:space="0" w:color="auto"/>
            <w:right w:val="none" w:sz="0" w:space="0" w:color="auto"/>
          </w:divBdr>
          <w:divsChild>
            <w:div w:id="1519156435">
              <w:marLeft w:val="0"/>
              <w:marRight w:val="0"/>
              <w:marTop w:val="0"/>
              <w:marBottom w:val="0"/>
              <w:divBdr>
                <w:top w:val="none" w:sz="0" w:space="0" w:color="auto"/>
                <w:left w:val="none" w:sz="0" w:space="0" w:color="auto"/>
                <w:bottom w:val="none" w:sz="0" w:space="0" w:color="auto"/>
                <w:right w:val="none" w:sz="0" w:space="0" w:color="auto"/>
              </w:divBdr>
              <w:divsChild>
                <w:div w:id="580407144">
                  <w:marLeft w:val="0"/>
                  <w:marRight w:val="0"/>
                  <w:marTop w:val="0"/>
                  <w:marBottom w:val="0"/>
                  <w:divBdr>
                    <w:top w:val="none" w:sz="0" w:space="0" w:color="auto"/>
                    <w:left w:val="none" w:sz="0" w:space="0" w:color="auto"/>
                    <w:bottom w:val="none" w:sz="0" w:space="0" w:color="auto"/>
                    <w:right w:val="none" w:sz="0" w:space="0" w:color="auto"/>
                  </w:divBdr>
                </w:div>
                <w:div w:id="1257403753">
                  <w:marLeft w:val="0"/>
                  <w:marRight w:val="0"/>
                  <w:marTop w:val="0"/>
                  <w:marBottom w:val="0"/>
                  <w:divBdr>
                    <w:top w:val="none" w:sz="0" w:space="0" w:color="auto"/>
                    <w:left w:val="none" w:sz="0" w:space="0" w:color="auto"/>
                    <w:bottom w:val="none" w:sz="0" w:space="0" w:color="auto"/>
                    <w:right w:val="none" w:sz="0" w:space="0" w:color="auto"/>
                  </w:divBdr>
                </w:div>
                <w:div w:id="1539010037">
                  <w:marLeft w:val="0"/>
                  <w:marRight w:val="0"/>
                  <w:marTop w:val="0"/>
                  <w:marBottom w:val="0"/>
                  <w:divBdr>
                    <w:top w:val="none" w:sz="0" w:space="0" w:color="auto"/>
                    <w:left w:val="none" w:sz="0" w:space="0" w:color="auto"/>
                    <w:bottom w:val="none" w:sz="0" w:space="0" w:color="auto"/>
                    <w:right w:val="none" w:sz="0" w:space="0" w:color="auto"/>
                  </w:divBdr>
                </w:div>
                <w:div w:id="1751851550">
                  <w:marLeft w:val="0"/>
                  <w:marRight w:val="0"/>
                  <w:marTop w:val="0"/>
                  <w:marBottom w:val="0"/>
                  <w:divBdr>
                    <w:top w:val="none" w:sz="0" w:space="0" w:color="auto"/>
                    <w:left w:val="none" w:sz="0" w:space="0" w:color="auto"/>
                    <w:bottom w:val="none" w:sz="0" w:space="0" w:color="auto"/>
                    <w:right w:val="none" w:sz="0" w:space="0" w:color="auto"/>
                  </w:divBdr>
                </w:div>
                <w:div w:id="1757288161">
                  <w:marLeft w:val="0"/>
                  <w:marRight w:val="0"/>
                  <w:marTop w:val="0"/>
                  <w:marBottom w:val="0"/>
                  <w:divBdr>
                    <w:top w:val="none" w:sz="0" w:space="0" w:color="auto"/>
                    <w:left w:val="none" w:sz="0" w:space="0" w:color="auto"/>
                    <w:bottom w:val="none" w:sz="0" w:space="0" w:color="auto"/>
                    <w:right w:val="none" w:sz="0" w:space="0" w:color="auto"/>
                  </w:divBdr>
                </w:div>
                <w:div w:id="1988583781">
                  <w:marLeft w:val="0"/>
                  <w:marRight w:val="0"/>
                  <w:marTop w:val="0"/>
                  <w:marBottom w:val="0"/>
                  <w:divBdr>
                    <w:top w:val="none" w:sz="0" w:space="0" w:color="auto"/>
                    <w:left w:val="none" w:sz="0" w:space="0" w:color="auto"/>
                    <w:bottom w:val="none" w:sz="0" w:space="0" w:color="auto"/>
                    <w:right w:val="none" w:sz="0" w:space="0" w:color="auto"/>
                  </w:divBdr>
                </w:div>
                <w:div w:id="2028368061">
                  <w:marLeft w:val="0"/>
                  <w:marRight w:val="0"/>
                  <w:marTop w:val="0"/>
                  <w:marBottom w:val="0"/>
                  <w:divBdr>
                    <w:top w:val="none" w:sz="0" w:space="0" w:color="auto"/>
                    <w:left w:val="none" w:sz="0" w:space="0" w:color="auto"/>
                    <w:bottom w:val="none" w:sz="0" w:space="0" w:color="auto"/>
                    <w:right w:val="none" w:sz="0" w:space="0" w:color="auto"/>
                  </w:divBdr>
                </w:div>
                <w:div w:id="21330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0185">
      <w:bodyDiv w:val="1"/>
      <w:marLeft w:val="0"/>
      <w:marRight w:val="0"/>
      <w:marTop w:val="0"/>
      <w:marBottom w:val="0"/>
      <w:divBdr>
        <w:top w:val="none" w:sz="0" w:space="0" w:color="auto"/>
        <w:left w:val="none" w:sz="0" w:space="0" w:color="auto"/>
        <w:bottom w:val="none" w:sz="0" w:space="0" w:color="auto"/>
        <w:right w:val="none" w:sz="0" w:space="0" w:color="auto"/>
      </w:divBdr>
    </w:div>
    <w:div w:id="1038311411">
      <w:bodyDiv w:val="1"/>
      <w:marLeft w:val="0"/>
      <w:marRight w:val="0"/>
      <w:marTop w:val="0"/>
      <w:marBottom w:val="0"/>
      <w:divBdr>
        <w:top w:val="none" w:sz="0" w:space="0" w:color="auto"/>
        <w:left w:val="none" w:sz="0" w:space="0" w:color="auto"/>
        <w:bottom w:val="none" w:sz="0" w:space="0" w:color="auto"/>
        <w:right w:val="none" w:sz="0" w:space="0" w:color="auto"/>
      </w:divBdr>
    </w:div>
    <w:div w:id="1050812135">
      <w:bodyDiv w:val="1"/>
      <w:marLeft w:val="0"/>
      <w:marRight w:val="0"/>
      <w:marTop w:val="0"/>
      <w:marBottom w:val="0"/>
      <w:divBdr>
        <w:top w:val="none" w:sz="0" w:space="0" w:color="auto"/>
        <w:left w:val="none" w:sz="0" w:space="0" w:color="auto"/>
        <w:bottom w:val="none" w:sz="0" w:space="0" w:color="auto"/>
        <w:right w:val="none" w:sz="0" w:space="0" w:color="auto"/>
      </w:divBdr>
    </w:div>
    <w:div w:id="1058554627">
      <w:bodyDiv w:val="1"/>
      <w:marLeft w:val="0"/>
      <w:marRight w:val="0"/>
      <w:marTop w:val="0"/>
      <w:marBottom w:val="0"/>
      <w:divBdr>
        <w:top w:val="none" w:sz="0" w:space="0" w:color="auto"/>
        <w:left w:val="none" w:sz="0" w:space="0" w:color="auto"/>
        <w:bottom w:val="none" w:sz="0" w:space="0" w:color="auto"/>
        <w:right w:val="none" w:sz="0" w:space="0" w:color="auto"/>
      </w:divBdr>
    </w:div>
    <w:div w:id="1098714235">
      <w:bodyDiv w:val="1"/>
      <w:marLeft w:val="0"/>
      <w:marRight w:val="0"/>
      <w:marTop w:val="0"/>
      <w:marBottom w:val="0"/>
      <w:divBdr>
        <w:top w:val="none" w:sz="0" w:space="0" w:color="auto"/>
        <w:left w:val="none" w:sz="0" w:space="0" w:color="auto"/>
        <w:bottom w:val="none" w:sz="0" w:space="0" w:color="auto"/>
        <w:right w:val="none" w:sz="0" w:space="0" w:color="auto"/>
      </w:divBdr>
    </w:div>
    <w:div w:id="1125924389">
      <w:bodyDiv w:val="1"/>
      <w:marLeft w:val="0"/>
      <w:marRight w:val="0"/>
      <w:marTop w:val="0"/>
      <w:marBottom w:val="0"/>
      <w:divBdr>
        <w:top w:val="none" w:sz="0" w:space="0" w:color="auto"/>
        <w:left w:val="none" w:sz="0" w:space="0" w:color="auto"/>
        <w:bottom w:val="none" w:sz="0" w:space="0" w:color="auto"/>
        <w:right w:val="none" w:sz="0" w:space="0" w:color="auto"/>
      </w:divBdr>
      <w:divsChild>
        <w:div w:id="1162965098">
          <w:marLeft w:val="0"/>
          <w:marRight w:val="0"/>
          <w:marTop w:val="0"/>
          <w:marBottom w:val="0"/>
          <w:divBdr>
            <w:top w:val="none" w:sz="0" w:space="0" w:color="auto"/>
            <w:left w:val="none" w:sz="0" w:space="0" w:color="auto"/>
            <w:bottom w:val="none" w:sz="0" w:space="0" w:color="auto"/>
            <w:right w:val="none" w:sz="0" w:space="0" w:color="auto"/>
          </w:divBdr>
          <w:divsChild>
            <w:div w:id="1072502133">
              <w:marLeft w:val="0"/>
              <w:marRight w:val="0"/>
              <w:marTop w:val="0"/>
              <w:marBottom w:val="0"/>
              <w:divBdr>
                <w:top w:val="none" w:sz="0" w:space="0" w:color="auto"/>
                <w:left w:val="none" w:sz="0" w:space="0" w:color="auto"/>
                <w:bottom w:val="none" w:sz="0" w:space="0" w:color="auto"/>
                <w:right w:val="none" w:sz="0" w:space="0" w:color="auto"/>
              </w:divBdr>
              <w:divsChild>
                <w:div w:id="2107185622">
                  <w:marLeft w:val="0"/>
                  <w:marRight w:val="0"/>
                  <w:marTop w:val="0"/>
                  <w:marBottom w:val="0"/>
                  <w:divBdr>
                    <w:top w:val="none" w:sz="0" w:space="0" w:color="auto"/>
                    <w:left w:val="none" w:sz="0" w:space="0" w:color="auto"/>
                    <w:bottom w:val="none" w:sz="0" w:space="0" w:color="auto"/>
                    <w:right w:val="none" w:sz="0" w:space="0" w:color="auto"/>
                  </w:divBdr>
                  <w:divsChild>
                    <w:div w:id="437606823">
                      <w:marLeft w:val="0"/>
                      <w:marRight w:val="0"/>
                      <w:marTop w:val="0"/>
                      <w:marBottom w:val="0"/>
                      <w:divBdr>
                        <w:top w:val="none" w:sz="0" w:space="0" w:color="auto"/>
                        <w:left w:val="none" w:sz="0" w:space="0" w:color="auto"/>
                        <w:bottom w:val="none" w:sz="0" w:space="0" w:color="auto"/>
                        <w:right w:val="none" w:sz="0" w:space="0" w:color="auto"/>
                      </w:divBdr>
                      <w:divsChild>
                        <w:div w:id="3663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403317">
      <w:bodyDiv w:val="1"/>
      <w:marLeft w:val="0"/>
      <w:marRight w:val="0"/>
      <w:marTop w:val="0"/>
      <w:marBottom w:val="0"/>
      <w:divBdr>
        <w:top w:val="none" w:sz="0" w:space="0" w:color="auto"/>
        <w:left w:val="none" w:sz="0" w:space="0" w:color="auto"/>
        <w:bottom w:val="none" w:sz="0" w:space="0" w:color="auto"/>
        <w:right w:val="none" w:sz="0" w:space="0" w:color="auto"/>
      </w:divBdr>
      <w:divsChild>
        <w:div w:id="2146501651">
          <w:marLeft w:val="0"/>
          <w:marRight w:val="0"/>
          <w:marTop w:val="0"/>
          <w:marBottom w:val="0"/>
          <w:divBdr>
            <w:top w:val="none" w:sz="0" w:space="0" w:color="auto"/>
            <w:left w:val="none" w:sz="0" w:space="0" w:color="auto"/>
            <w:bottom w:val="none" w:sz="0" w:space="0" w:color="auto"/>
            <w:right w:val="none" w:sz="0" w:space="0" w:color="auto"/>
          </w:divBdr>
          <w:divsChild>
            <w:div w:id="2024087804">
              <w:marLeft w:val="0"/>
              <w:marRight w:val="0"/>
              <w:marTop w:val="0"/>
              <w:marBottom w:val="0"/>
              <w:divBdr>
                <w:top w:val="none" w:sz="0" w:space="0" w:color="auto"/>
                <w:left w:val="none" w:sz="0" w:space="0" w:color="auto"/>
                <w:bottom w:val="none" w:sz="0" w:space="0" w:color="auto"/>
                <w:right w:val="none" w:sz="0" w:space="0" w:color="auto"/>
              </w:divBdr>
              <w:divsChild>
                <w:div w:id="663778762">
                  <w:marLeft w:val="0"/>
                  <w:marRight w:val="0"/>
                  <w:marTop w:val="0"/>
                  <w:marBottom w:val="0"/>
                  <w:divBdr>
                    <w:top w:val="none" w:sz="0" w:space="0" w:color="auto"/>
                    <w:left w:val="none" w:sz="0" w:space="0" w:color="auto"/>
                    <w:bottom w:val="none" w:sz="0" w:space="0" w:color="auto"/>
                    <w:right w:val="none" w:sz="0" w:space="0" w:color="auto"/>
                  </w:divBdr>
                  <w:divsChild>
                    <w:div w:id="548421124">
                      <w:marLeft w:val="0"/>
                      <w:marRight w:val="0"/>
                      <w:marTop w:val="0"/>
                      <w:marBottom w:val="0"/>
                      <w:divBdr>
                        <w:top w:val="none" w:sz="0" w:space="0" w:color="auto"/>
                        <w:left w:val="none" w:sz="0" w:space="0" w:color="auto"/>
                        <w:bottom w:val="none" w:sz="0" w:space="0" w:color="auto"/>
                        <w:right w:val="none" w:sz="0" w:space="0" w:color="auto"/>
                      </w:divBdr>
                      <w:divsChild>
                        <w:div w:id="1586265071">
                          <w:marLeft w:val="0"/>
                          <w:marRight w:val="0"/>
                          <w:marTop w:val="0"/>
                          <w:marBottom w:val="0"/>
                          <w:divBdr>
                            <w:top w:val="none" w:sz="0" w:space="0" w:color="auto"/>
                            <w:left w:val="none" w:sz="0" w:space="0" w:color="auto"/>
                            <w:bottom w:val="none" w:sz="0" w:space="0" w:color="auto"/>
                            <w:right w:val="none" w:sz="0" w:space="0" w:color="auto"/>
                          </w:divBdr>
                          <w:divsChild>
                            <w:div w:id="1730568965">
                              <w:marLeft w:val="0"/>
                              <w:marRight w:val="0"/>
                              <w:marTop w:val="0"/>
                              <w:marBottom w:val="0"/>
                              <w:divBdr>
                                <w:top w:val="none" w:sz="0" w:space="0" w:color="auto"/>
                                <w:left w:val="none" w:sz="0" w:space="0" w:color="auto"/>
                                <w:bottom w:val="none" w:sz="0" w:space="0" w:color="auto"/>
                                <w:right w:val="none" w:sz="0" w:space="0" w:color="auto"/>
                              </w:divBdr>
                              <w:divsChild>
                                <w:div w:id="494953168">
                                  <w:marLeft w:val="0"/>
                                  <w:marRight w:val="0"/>
                                  <w:marTop w:val="0"/>
                                  <w:marBottom w:val="0"/>
                                  <w:divBdr>
                                    <w:top w:val="none" w:sz="0" w:space="0" w:color="auto"/>
                                    <w:left w:val="none" w:sz="0" w:space="0" w:color="auto"/>
                                    <w:bottom w:val="none" w:sz="0" w:space="0" w:color="auto"/>
                                    <w:right w:val="none" w:sz="0" w:space="0" w:color="auto"/>
                                  </w:divBdr>
                                  <w:divsChild>
                                    <w:div w:id="1164005212">
                                      <w:marLeft w:val="0"/>
                                      <w:marRight w:val="0"/>
                                      <w:marTop w:val="0"/>
                                      <w:marBottom w:val="0"/>
                                      <w:divBdr>
                                        <w:top w:val="none" w:sz="0" w:space="0" w:color="auto"/>
                                        <w:left w:val="none" w:sz="0" w:space="0" w:color="auto"/>
                                        <w:bottom w:val="none" w:sz="0" w:space="0" w:color="auto"/>
                                        <w:right w:val="none" w:sz="0" w:space="0" w:color="auto"/>
                                      </w:divBdr>
                                      <w:divsChild>
                                        <w:div w:id="1539270355">
                                          <w:marLeft w:val="0"/>
                                          <w:marRight w:val="0"/>
                                          <w:marTop w:val="0"/>
                                          <w:marBottom w:val="0"/>
                                          <w:divBdr>
                                            <w:top w:val="none" w:sz="0" w:space="0" w:color="auto"/>
                                            <w:left w:val="none" w:sz="0" w:space="0" w:color="auto"/>
                                            <w:bottom w:val="none" w:sz="0" w:space="0" w:color="auto"/>
                                            <w:right w:val="none" w:sz="0" w:space="0" w:color="auto"/>
                                          </w:divBdr>
                                          <w:divsChild>
                                            <w:div w:id="316498213">
                                              <w:marLeft w:val="0"/>
                                              <w:marRight w:val="0"/>
                                              <w:marTop w:val="0"/>
                                              <w:marBottom w:val="0"/>
                                              <w:divBdr>
                                                <w:top w:val="none" w:sz="0" w:space="0" w:color="auto"/>
                                                <w:left w:val="none" w:sz="0" w:space="0" w:color="auto"/>
                                                <w:bottom w:val="none" w:sz="0" w:space="0" w:color="auto"/>
                                                <w:right w:val="none" w:sz="0" w:space="0" w:color="auto"/>
                                              </w:divBdr>
                                              <w:divsChild>
                                                <w:div w:id="1630934735">
                                                  <w:marLeft w:val="0"/>
                                                  <w:marRight w:val="0"/>
                                                  <w:marTop w:val="0"/>
                                                  <w:marBottom w:val="0"/>
                                                  <w:divBdr>
                                                    <w:top w:val="none" w:sz="0" w:space="0" w:color="auto"/>
                                                    <w:left w:val="none" w:sz="0" w:space="0" w:color="auto"/>
                                                    <w:bottom w:val="none" w:sz="0" w:space="0" w:color="auto"/>
                                                    <w:right w:val="none" w:sz="0" w:space="0" w:color="auto"/>
                                                  </w:divBdr>
                                                  <w:divsChild>
                                                    <w:div w:id="738670562">
                                                      <w:marLeft w:val="0"/>
                                                      <w:marRight w:val="0"/>
                                                      <w:marTop w:val="0"/>
                                                      <w:marBottom w:val="0"/>
                                                      <w:divBdr>
                                                        <w:top w:val="none" w:sz="0" w:space="0" w:color="auto"/>
                                                        <w:left w:val="none" w:sz="0" w:space="0" w:color="auto"/>
                                                        <w:bottom w:val="none" w:sz="0" w:space="0" w:color="auto"/>
                                                        <w:right w:val="none" w:sz="0" w:space="0" w:color="auto"/>
                                                      </w:divBdr>
                                                      <w:divsChild>
                                                        <w:div w:id="19417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8711576">
      <w:bodyDiv w:val="1"/>
      <w:marLeft w:val="0"/>
      <w:marRight w:val="0"/>
      <w:marTop w:val="0"/>
      <w:marBottom w:val="0"/>
      <w:divBdr>
        <w:top w:val="none" w:sz="0" w:space="0" w:color="auto"/>
        <w:left w:val="none" w:sz="0" w:space="0" w:color="auto"/>
        <w:bottom w:val="none" w:sz="0" w:space="0" w:color="auto"/>
        <w:right w:val="none" w:sz="0" w:space="0" w:color="auto"/>
      </w:divBdr>
    </w:div>
    <w:div w:id="1175848885">
      <w:bodyDiv w:val="1"/>
      <w:marLeft w:val="0"/>
      <w:marRight w:val="0"/>
      <w:marTop w:val="0"/>
      <w:marBottom w:val="0"/>
      <w:divBdr>
        <w:top w:val="none" w:sz="0" w:space="0" w:color="auto"/>
        <w:left w:val="none" w:sz="0" w:space="0" w:color="auto"/>
        <w:bottom w:val="none" w:sz="0" w:space="0" w:color="auto"/>
        <w:right w:val="none" w:sz="0" w:space="0" w:color="auto"/>
      </w:divBdr>
    </w:div>
    <w:div w:id="1176194521">
      <w:bodyDiv w:val="1"/>
      <w:marLeft w:val="0"/>
      <w:marRight w:val="0"/>
      <w:marTop w:val="0"/>
      <w:marBottom w:val="0"/>
      <w:divBdr>
        <w:top w:val="none" w:sz="0" w:space="0" w:color="auto"/>
        <w:left w:val="none" w:sz="0" w:space="0" w:color="auto"/>
        <w:bottom w:val="none" w:sz="0" w:space="0" w:color="auto"/>
        <w:right w:val="none" w:sz="0" w:space="0" w:color="auto"/>
      </w:divBdr>
    </w:div>
    <w:div w:id="1237671158">
      <w:bodyDiv w:val="1"/>
      <w:marLeft w:val="0"/>
      <w:marRight w:val="0"/>
      <w:marTop w:val="0"/>
      <w:marBottom w:val="0"/>
      <w:divBdr>
        <w:top w:val="none" w:sz="0" w:space="0" w:color="auto"/>
        <w:left w:val="none" w:sz="0" w:space="0" w:color="auto"/>
        <w:bottom w:val="none" w:sz="0" w:space="0" w:color="auto"/>
        <w:right w:val="none" w:sz="0" w:space="0" w:color="auto"/>
      </w:divBdr>
    </w:div>
    <w:div w:id="1238252203">
      <w:bodyDiv w:val="1"/>
      <w:marLeft w:val="0"/>
      <w:marRight w:val="0"/>
      <w:marTop w:val="0"/>
      <w:marBottom w:val="0"/>
      <w:divBdr>
        <w:top w:val="none" w:sz="0" w:space="0" w:color="auto"/>
        <w:left w:val="none" w:sz="0" w:space="0" w:color="auto"/>
        <w:bottom w:val="none" w:sz="0" w:space="0" w:color="auto"/>
        <w:right w:val="none" w:sz="0" w:space="0" w:color="auto"/>
      </w:divBdr>
    </w:div>
    <w:div w:id="1263759091">
      <w:bodyDiv w:val="1"/>
      <w:marLeft w:val="0"/>
      <w:marRight w:val="0"/>
      <w:marTop w:val="0"/>
      <w:marBottom w:val="0"/>
      <w:divBdr>
        <w:top w:val="none" w:sz="0" w:space="0" w:color="auto"/>
        <w:left w:val="none" w:sz="0" w:space="0" w:color="auto"/>
        <w:bottom w:val="none" w:sz="0" w:space="0" w:color="auto"/>
        <w:right w:val="none" w:sz="0" w:space="0" w:color="auto"/>
      </w:divBdr>
    </w:div>
    <w:div w:id="1274896006">
      <w:bodyDiv w:val="1"/>
      <w:marLeft w:val="0"/>
      <w:marRight w:val="0"/>
      <w:marTop w:val="0"/>
      <w:marBottom w:val="0"/>
      <w:divBdr>
        <w:top w:val="none" w:sz="0" w:space="0" w:color="auto"/>
        <w:left w:val="none" w:sz="0" w:space="0" w:color="auto"/>
        <w:bottom w:val="none" w:sz="0" w:space="0" w:color="auto"/>
        <w:right w:val="none" w:sz="0" w:space="0" w:color="auto"/>
      </w:divBdr>
    </w:div>
    <w:div w:id="1275136842">
      <w:bodyDiv w:val="1"/>
      <w:marLeft w:val="0"/>
      <w:marRight w:val="0"/>
      <w:marTop w:val="0"/>
      <w:marBottom w:val="0"/>
      <w:divBdr>
        <w:top w:val="none" w:sz="0" w:space="0" w:color="auto"/>
        <w:left w:val="none" w:sz="0" w:space="0" w:color="auto"/>
        <w:bottom w:val="none" w:sz="0" w:space="0" w:color="auto"/>
        <w:right w:val="none" w:sz="0" w:space="0" w:color="auto"/>
      </w:divBdr>
    </w:div>
    <w:div w:id="1287543905">
      <w:bodyDiv w:val="1"/>
      <w:marLeft w:val="0"/>
      <w:marRight w:val="0"/>
      <w:marTop w:val="0"/>
      <w:marBottom w:val="0"/>
      <w:divBdr>
        <w:top w:val="none" w:sz="0" w:space="0" w:color="auto"/>
        <w:left w:val="none" w:sz="0" w:space="0" w:color="auto"/>
        <w:bottom w:val="none" w:sz="0" w:space="0" w:color="auto"/>
        <w:right w:val="none" w:sz="0" w:space="0" w:color="auto"/>
      </w:divBdr>
    </w:div>
    <w:div w:id="1304389520">
      <w:bodyDiv w:val="1"/>
      <w:marLeft w:val="0"/>
      <w:marRight w:val="0"/>
      <w:marTop w:val="0"/>
      <w:marBottom w:val="0"/>
      <w:divBdr>
        <w:top w:val="none" w:sz="0" w:space="0" w:color="auto"/>
        <w:left w:val="none" w:sz="0" w:space="0" w:color="auto"/>
        <w:bottom w:val="none" w:sz="0" w:space="0" w:color="auto"/>
        <w:right w:val="none" w:sz="0" w:space="0" w:color="auto"/>
      </w:divBdr>
    </w:div>
    <w:div w:id="1373727754">
      <w:bodyDiv w:val="1"/>
      <w:marLeft w:val="0"/>
      <w:marRight w:val="0"/>
      <w:marTop w:val="0"/>
      <w:marBottom w:val="0"/>
      <w:divBdr>
        <w:top w:val="none" w:sz="0" w:space="0" w:color="auto"/>
        <w:left w:val="none" w:sz="0" w:space="0" w:color="auto"/>
        <w:bottom w:val="none" w:sz="0" w:space="0" w:color="auto"/>
        <w:right w:val="none" w:sz="0" w:space="0" w:color="auto"/>
      </w:divBdr>
    </w:div>
    <w:div w:id="1408961931">
      <w:bodyDiv w:val="1"/>
      <w:marLeft w:val="0"/>
      <w:marRight w:val="0"/>
      <w:marTop w:val="0"/>
      <w:marBottom w:val="0"/>
      <w:divBdr>
        <w:top w:val="none" w:sz="0" w:space="0" w:color="auto"/>
        <w:left w:val="none" w:sz="0" w:space="0" w:color="auto"/>
        <w:bottom w:val="none" w:sz="0" w:space="0" w:color="auto"/>
        <w:right w:val="none" w:sz="0" w:space="0" w:color="auto"/>
      </w:divBdr>
    </w:div>
    <w:div w:id="1487816173">
      <w:bodyDiv w:val="1"/>
      <w:marLeft w:val="0"/>
      <w:marRight w:val="0"/>
      <w:marTop w:val="0"/>
      <w:marBottom w:val="0"/>
      <w:divBdr>
        <w:top w:val="none" w:sz="0" w:space="0" w:color="auto"/>
        <w:left w:val="none" w:sz="0" w:space="0" w:color="auto"/>
        <w:bottom w:val="none" w:sz="0" w:space="0" w:color="auto"/>
        <w:right w:val="none" w:sz="0" w:space="0" w:color="auto"/>
      </w:divBdr>
    </w:div>
    <w:div w:id="1542329437">
      <w:bodyDiv w:val="1"/>
      <w:marLeft w:val="0"/>
      <w:marRight w:val="0"/>
      <w:marTop w:val="0"/>
      <w:marBottom w:val="0"/>
      <w:divBdr>
        <w:top w:val="none" w:sz="0" w:space="0" w:color="auto"/>
        <w:left w:val="none" w:sz="0" w:space="0" w:color="auto"/>
        <w:bottom w:val="none" w:sz="0" w:space="0" w:color="auto"/>
        <w:right w:val="none" w:sz="0" w:space="0" w:color="auto"/>
      </w:divBdr>
    </w:div>
    <w:div w:id="1599093983">
      <w:bodyDiv w:val="1"/>
      <w:marLeft w:val="0"/>
      <w:marRight w:val="0"/>
      <w:marTop w:val="0"/>
      <w:marBottom w:val="0"/>
      <w:divBdr>
        <w:top w:val="none" w:sz="0" w:space="0" w:color="auto"/>
        <w:left w:val="none" w:sz="0" w:space="0" w:color="auto"/>
        <w:bottom w:val="none" w:sz="0" w:space="0" w:color="auto"/>
        <w:right w:val="none" w:sz="0" w:space="0" w:color="auto"/>
      </w:divBdr>
    </w:div>
    <w:div w:id="1599175460">
      <w:bodyDiv w:val="1"/>
      <w:marLeft w:val="0"/>
      <w:marRight w:val="0"/>
      <w:marTop w:val="0"/>
      <w:marBottom w:val="0"/>
      <w:divBdr>
        <w:top w:val="none" w:sz="0" w:space="0" w:color="auto"/>
        <w:left w:val="none" w:sz="0" w:space="0" w:color="auto"/>
        <w:bottom w:val="none" w:sz="0" w:space="0" w:color="auto"/>
        <w:right w:val="none" w:sz="0" w:space="0" w:color="auto"/>
      </w:divBdr>
    </w:div>
    <w:div w:id="1608612131">
      <w:bodyDiv w:val="1"/>
      <w:marLeft w:val="0"/>
      <w:marRight w:val="0"/>
      <w:marTop w:val="0"/>
      <w:marBottom w:val="0"/>
      <w:divBdr>
        <w:top w:val="none" w:sz="0" w:space="0" w:color="auto"/>
        <w:left w:val="none" w:sz="0" w:space="0" w:color="auto"/>
        <w:bottom w:val="none" w:sz="0" w:space="0" w:color="auto"/>
        <w:right w:val="none" w:sz="0" w:space="0" w:color="auto"/>
      </w:divBdr>
    </w:div>
    <w:div w:id="1656491756">
      <w:bodyDiv w:val="1"/>
      <w:marLeft w:val="0"/>
      <w:marRight w:val="0"/>
      <w:marTop w:val="0"/>
      <w:marBottom w:val="0"/>
      <w:divBdr>
        <w:top w:val="none" w:sz="0" w:space="0" w:color="auto"/>
        <w:left w:val="none" w:sz="0" w:space="0" w:color="auto"/>
        <w:bottom w:val="none" w:sz="0" w:space="0" w:color="auto"/>
        <w:right w:val="none" w:sz="0" w:space="0" w:color="auto"/>
      </w:divBdr>
    </w:div>
    <w:div w:id="1669094078">
      <w:bodyDiv w:val="1"/>
      <w:marLeft w:val="0"/>
      <w:marRight w:val="0"/>
      <w:marTop w:val="0"/>
      <w:marBottom w:val="0"/>
      <w:divBdr>
        <w:top w:val="none" w:sz="0" w:space="0" w:color="auto"/>
        <w:left w:val="none" w:sz="0" w:space="0" w:color="auto"/>
        <w:bottom w:val="none" w:sz="0" w:space="0" w:color="auto"/>
        <w:right w:val="none" w:sz="0" w:space="0" w:color="auto"/>
      </w:divBdr>
    </w:div>
    <w:div w:id="1678847480">
      <w:bodyDiv w:val="1"/>
      <w:marLeft w:val="0"/>
      <w:marRight w:val="0"/>
      <w:marTop w:val="0"/>
      <w:marBottom w:val="0"/>
      <w:divBdr>
        <w:top w:val="none" w:sz="0" w:space="0" w:color="auto"/>
        <w:left w:val="none" w:sz="0" w:space="0" w:color="auto"/>
        <w:bottom w:val="none" w:sz="0" w:space="0" w:color="auto"/>
        <w:right w:val="none" w:sz="0" w:space="0" w:color="auto"/>
      </w:divBdr>
    </w:div>
    <w:div w:id="1686983834">
      <w:bodyDiv w:val="1"/>
      <w:marLeft w:val="0"/>
      <w:marRight w:val="0"/>
      <w:marTop w:val="0"/>
      <w:marBottom w:val="0"/>
      <w:divBdr>
        <w:top w:val="none" w:sz="0" w:space="0" w:color="auto"/>
        <w:left w:val="none" w:sz="0" w:space="0" w:color="auto"/>
        <w:bottom w:val="none" w:sz="0" w:space="0" w:color="auto"/>
        <w:right w:val="none" w:sz="0" w:space="0" w:color="auto"/>
      </w:divBdr>
    </w:div>
    <w:div w:id="1763994095">
      <w:bodyDiv w:val="1"/>
      <w:marLeft w:val="0"/>
      <w:marRight w:val="0"/>
      <w:marTop w:val="0"/>
      <w:marBottom w:val="0"/>
      <w:divBdr>
        <w:top w:val="none" w:sz="0" w:space="0" w:color="auto"/>
        <w:left w:val="none" w:sz="0" w:space="0" w:color="auto"/>
        <w:bottom w:val="none" w:sz="0" w:space="0" w:color="auto"/>
        <w:right w:val="none" w:sz="0" w:space="0" w:color="auto"/>
      </w:divBdr>
    </w:div>
    <w:div w:id="1768891251">
      <w:bodyDiv w:val="1"/>
      <w:marLeft w:val="0"/>
      <w:marRight w:val="0"/>
      <w:marTop w:val="0"/>
      <w:marBottom w:val="0"/>
      <w:divBdr>
        <w:top w:val="none" w:sz="0" w:space="0" w:color="auto"/>
        <w:left w:val="none" w:sz="0" w:space="0" w:color="auto"/>
        <w:bottom w:val="none" w:sz="0" w:space="0" w:color="auto"/>
        <w:right w:val="none" w:sz="0" w:space="0" w:color="auto"/>
      </w:divBdr>
    </w:div>
    <w:div w:id="1770613744">
      <w:bodyDiv w:val="1"/>
      <w:marLeft w:val="0"/>
      <w:marRight w:val="0"/>
      <w:marTop w:val="0"/>
      <w:marBottom w:val="0"/>
      <w:divBdr>
        <w:top w:val="none" w:sz="0" w:space="0" w:color="auto"/>
        <w:left w:val="none" w:sz="0" w:space="0" w:color="auto"/>
        <w:bottom w:val="none" w:sz="0" w:space="0" w:color="auto"/>
        <w:right w:val="none" w:sz="0" w:space="0" w:color="auto"/>
      </w:divBdr>
    </w:div>
    <w:div w:id="1773015245">
      <w:bodyDiv w:val="1"/>
      <w:marLeft w:val="0"/>
      <w:marRight w:val="0"/>
      <w:marTop w:val="0"/>
      <w:marBottom w:val="0"/>
      <w:divBdr>
        <w:top w:val="none" w:sz="0" w:space="0" w:color="auto"/>
        <w:left w:val="none" w:sz="0" w:space="0" w:color="auto"/>
        <w:bottom w:val="none" w:sz="0" w:space="0" w:color="auto"/>
        <w:right w:val="none" w:sz="0" w:space="0" w:color="auto"/>
      </w:divBdr>
    </w:div>
    <w:div w:id="1805464406">
      <w:bodyDiv w:val="1"/>
      <w:marLeft w:val="0"/>
      <w:marRight w:val="0"/>
      <w:marTop w:val="0"/>
      <w:marBottom w:val="0"/>
      <w:divBdr>
        <w:top w:val="none" w:sz="0" w:space="0" w:color="auto"/>
        <w:left w:val="none" w:sz="0" w:space="0" w:color="auto"/>
        <w:bottom w:val="none" w:sz="0" w:space="0" w:color="auto"/>
        <w:right w:val="none" w:sz="0" w:space="0" w:color="auto"/>
      </w:divBdr>
      <w:divsChild>
        <w:div w:id="881404590">
          <w:marLeft w:val="0"/>
          <w:marRight w:val="0"/>
          <w:marTop w:val="0"/>
          <w:marBottom w:val="0"/>
          <w:divBdr>
            <w:top w:val="none" w:sz="0" w:space="0" w:color="auto"/>
            <w:left w:val="none" w:sz="0" w:space="0" w:color="auto"/>
            <w:bottom w:val="none" w:sz="0" w:space="0" w:color="auto"/>
            <w:right w:val="none" w:sz="0" w:space="0" w:color="auto"/>
          </w:divBdr>
          <w:divsChild>
            <w:div w:id="1670132023">
              <w:marLeft w:val="0"/>
              <w:marRight w:val="0"/>
              <w:marTop w:val="0"/>
              <w:marBottom w:val="0"/>
              <w:divBdr>
                <w:top w:val="none" w:sz="0" w:space="0" w:color="auto"/>
                <w:left w:val="none" w:sz="0" w:space="0" w:color="auto"/>
                <w:bottom w:val="none" w:sz="0" w:space="0" w:color="auto"/>
                <w:right w:val="none" w:sz="0" w:space="0" w:color="auto"/>
              </w:divBdr>
              <w:divsChild>
                <w:div w:id="11523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76357">
      <w:bodyDiv w:val="1"/>
      <w:marLeft w:val="0"/>
      <w:marRight w:val="0"/>
      <w:marTop w:val="0"/>
      <w:marBottom w:val="0"/>
      <w:divBdr>
        <w:top w:val="none" w:sz="0" w:space="0" w:color="auto"/>
        <w:left w:val="none" w:sz="0" w:space="0" w:color="auto"/>
        <w:bottom w:val="none" w:sz="0" w:space="0" w:color="auto"/>
        <w:right w:val="none" w:sz="0" w:space="0" w:color="auto"/>
      </w:divBdr>
      <w:divsChild>
        <w:div w:id="288752533">
          <w:marLeft w:val="0"/>
          <w:marRight w:val="0"/>
          <w:marTop w:val="0"/>
          <w:marBottom w:val="0"/>
          <w:divBdr>
            <w:top w:val="none" w:sz="0" w:space="0" w:color="auto"/>
            <w:left w:val="none" w:sz="0" w:space="0" w:color="auto"/>
            <w:bottom w:val="none" w:sz="0" w:space="0" w:color="auto"/>
            <w:right w:val="none" w:sz="0" w:space="0" w:color="auto"/>
          </w:divBdr>
          <w:divsChild>
            <w:div w:id="1560049065">
              <w:marLeft w:val="0"/>
              <w:marRight w:val="0"/>
              <w:marTop w:val="272"/>
              <w:marBottom w:val="0"/>
              <w:divBdr>
                <w:top w:val="none" w:sz="0" w:space="0" w:color="auto"/>
                <w:left w:val="none" w:sz="0" w:space="0" w:color="auto"/>
                <w:bottom w:val="none" w:sz="0" w:space="0" w:color="auto"/>
                <w:right w:val="none" w:sz="0" w:space="0" w:color="auto"/>
              </w:divBdr>
              <w:divsChild>
                <w:div w:id="288752312">
                  <w:marLeft w:val="163"/>
                  <w:marRight w:val="0"/>
                  <w:marTop w:val="0"/>
                  <w:marBottom w:val="0"/>
                  <w:divBdr>
                    <w:top w:val="none" w:sz="0" w:space="0" w:color="auto"/>
                    <w:left w:val="none" w:sz="0" w:space="0" w:color="auto"/>
                    <w:bottom w:val="none" w:sz="0" w:space="0" w:color="auto"/>
                    <w:right w:val="none" w:sz="0" w:space="0" w:color="auto"/>
                  </w:divBdr>
                  <w:divsChild>
                    <w:div w:id="1347292685">
                      <w:marLeft w:val="0"/>
                      <w:marRight w:val="0"/>
                      <w:marTop w:val="0"/>
                      <w:marBottom w:val="0"/>
                      <w:divBdr>
                        <w:top w:val="none" w:sz="0" w:space="0" w:color="auto"/>
                        <w:left w:val="none" w:sz="0" w:space="0" w:color="auto"/>
                        <w:bottom w:val="none" w:sz="0" w:space="0" w:color="auto"/>
                        <w:right w:val="none" w:sz="0" w:space="0" w:color="auto"/>
                      </w:divBdr>
                      <w:divsChild>
                        <w:div w:id="18919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237623">
      <w:bodyDiv w:val="1"/>
      <w:marLeft w:val="0"/>
      <w:marRight w:val="0"/>
      <w:marTop w:val="0"/>
      <w:marBottom w:val="0"/>
      <w:divBdr>
        <w:top w:val="none" w:sz="0" w:space="0" w:color="auto"/>
        <w:left w:val="none" w:sz="0" w:space="0" w:color="auto"/>
        <w:bottom w:val="none" w:sz="0" w:space="0" w:color="auto"/>
        <w:right w:val="none" w:sz="0" w:space="0" w:color="auto"/>
      </w:divBdr>
    </w:div>
    <w:div w:id="1864780921">
      <w:bodyDiv w:val="1"/>
      <w:marLeft w:val="0"/>
      <w:marRight w:val="0"/>
      <w:marTop w:val="0"/>
      <w:marBottom w:val="0"/>
      <w:divBdr>
        <w:top w:val="none" w:sz="0" w:space="0" w:color="auto"/>
        <w:left w:val="none" w:sz="0" w:space="0" w:color="auto"/>
        <w:bottom w:val="none" w:sz="0" w:space="0" w:color="auto"/>
        <w:right w:val="none" w:sz="0" w:space="0" w:color="auto"/>
      </w:divBdr>
    </w:div>
    <w:div w:id="1874462222">
      <w:bodyDiv w:val="1"/>
      <w:marLeft w:val="0"/>
      <w:marRight w:val="0"/>
      <w:marTop w:val="0"/>
      <w:marBottom w:val="0"/>
      <w:divBdr>
        <w:top w:val="none" w:sz="0" w:space="0" w:color="auto"/>
        <w:left w:val="none" w:sz="0" w:space="0" w:color="auto"/>
        <w:bottom w:val="none" w:sz="0" w:space="0" w:color="auto"/>
        <w:right w:val="none" w:sz="0" w:space="0" w:color="auto"/>
      </w:divBdr>
    </w:div>
    <w:div w:id="1896235256">
      <w:bodyDiv w:val="1"/>
      <w:marLeft w:val="0"/>
      <w:marRight w:val="0"/>
      <w:marTop w:val="0"/>
      <w:marBottom w:val="0"/>
      <w:divBdr>
        <w:top w:val="none" w:sz="0" w:space="0" w:color="auto"/>
        <w:left w:val="none" w:sz="0" w:space="0" w:color="auto"/>
        <w:bottom w:val="none" w:sz="0" w:space="0" w:color="auto"/>
        <w:right w:val="none" w:sz="0" w:space="0" w:color="auto"/>
      </w:divBdr>
    </w:div>
    <w:div w:id="1900558357">
      <w:bodyDiv w:val="1"/>
      <w:marLeft w:val="0"/>
      <w:marRight w:val="0"/>
      <w:marTop w:val="0"/>
      <w:marBottom w:val="0"/>
      <w:divBdr>
        <w:top w:val="none" w:sz="0" w:space="0" w:color="auto"/>
        <w:left w:val="none" w:sz="0" w:space="0" w:color="auto"/>
        <w:bottom w:val="none" w:sz="0" w:space="0" w:color="auto"/>
        <w:right w:val="none" w:sz="0" w:space="0" w:color="auto"/>
      </w:divBdr>
    </w:div>
    <w:div w:id="1917781252">
      <w:bodyDiv w:val="1"/>
      <w:marLeft w:val="0"/>
      <w:marRight w:val="0"/>
      <w:marTop w:val="0"/>
      <w:marBottom w:val="0"/>
      <w:divBdr>
        <w:top w:val="none" w:sz="0" w:space="0" w:color="auto"/>
        <w:left w:val="none" w:sz="0" w:space="0" w:color="auto"/>
        <w:bottom w:val="none" w:sz="0" w:space="0" w:color="auto"/>
        <w:right w:val="none" w:sz="0" w:space="0" w:color="auto"/>
      </w:divBdr>
    </w:div>
    <w:div w:id="1926069931">
      <w:bodyDiv w:val="1"/>
      <w:marLeft w:val="0"/>
      <w:marRight w:val="0"/>
      <w:marTop w:val="0"/>
      <w:marBottom w:val="0"/>
      <w:divBdr>
        <w:top w:val="none" w:sz="0" w:space="0" w:color="auto"/>
        <w:left w:val="none" w:sz="0" w:space="0" w:color="auto"/>
        <w:bottom w:val="none" w:sz="0" w:space="0" w:color="auto"/>
        <w:right w:val="none" w:sz="0" w:space="0" w:color="auto"/>
      </w:divBdr>
    </w:div>
    <w:div w:id="1970743807">
      <w:bodyDiv w:val="1"/>
      <w:marLeft w:val="0"/>
      <w:marRight w:val="0"/>
      <w:marTop w:val="0"/>
      <w:marBottom w:val="0"/>
      <w:divBdr>
        <w:top w:val="none" w:sz="0" w:space="0" w:color="auto"/>
        <w:left w:val="none" w:sz="0" w:space="0" w:color="auto"/>
        <w:bottom w:val="none" w:sz="0" w:space="0" w:color="auto"/>
        <w:right w:val="none" w:sz="0" w:space="0" w:color="auto"/>
      </w:divBdr>
    </w:div>
    <w:div w:id="2004698784">
      <w:bodyDiv w:val="1"/>
      <w:marLeft w:val="0"/>
      <w:marRight w:val="0"/>
      <w:marTop w:val="0"/>
      <w:marBottom w:val="0"/>
      <w:divBdr>
        <w:top w:val="none" w:sz="0" w:space="0" w:color="auto"/>
        <w:left w:val="none" w:sz="0" w:space="0" w:color="auto"/>
        <w:bottom w:val="none" w:sz="0" w:space="0" w:color="auto"/>
        <w:right w:val="none" w:sz="0" w:space="0" w:color="auto"/>
      </w:divBdr>
    </w:div>
    <w:div w:id="2005281952">
      <w:bodyDiv w:val="1"/>
      <w:marLeft w:val="0"/>
      <w:marRight w:val="0"/>
      <w:marTop w:val="0"/>
      <w:marBottom w:val="0"/>
      <w:divBdr>
        <w:top w:val="none" w:sz="0" w:space="0" w:color="auto"/>
        <w:left w:val="none" w:sz="0" w:space="0" w:color="auto"/>
        <w:bottom w:val="none" w:sz="0" w:space="0" w:color="auto"/>
        <w:right w:val="none" w:sz="0" w:space="0" w:color="auto"/>
      </w:divBdr>
    </w:div>
    <w:div w:id="2023386315">
      <w:bodyDiv w:val="1"/>
      <w:marLeft w:val="0"/>
      <w:marRight w:val="0"/>
      <w:marTop w:val="0"/>
      <w:marBottom w:val="0"/>
      <w:divBdr>
        <w:top w:val="none" w:sz="0" w:space="0" w:color="auto"/>
        <w:left w:val="none" w:sz="0" w:space="0" w:color="auto"/>
        <w:bottom w:val="none" w:sz="0" w:space="0" w:color="auto"/>
        <w:right w:val="none" w:sz="0" w:space="0" w:color="auto"/>
      </w:divBdr>
    </w:div>
    <w:div w:id="2041664234">
      <w:bodyDiv w:val="1"/>
      <w:marLeft w:val="0"/>
      <w:marRight w:val="0"/>
      <w:marTop w:val="0"/>
      <w:marBottom w:val="0"/>
      <w:divBdr>
        <w:top w:val="none" w:sz="0" w:space="0" w:color="auto"/>
        <w:left w:val="none" w:sz="0" w:space="0" w:color="auto"/>
        <w:bottom w:val="none" w:sz="0" w:space="0" w:color="auto"/>
        <w:right w:val="none" w:sz="0" w:space="0" w:color="auto"/>
      </w:divBdr>
    </w:div>
    <w:div w:id="2044206257">
      <w:bodyDiv w:val="1"/>
      <w:marLeft w:val="0"/>
      <w:marRight w:val="0"/>
      <w:marTop w:val="0"/>
      <w:marBottom w:val="0"/>
      <w:divBdr>
        <w:top w:val="none" w:sz="0" w:space="0" w:color="auto"/>
        <w:left w:val="none" w:sz="0" w:space="0" w:color="auto"/>
        <w:bottom w:val="none" w:sz="0" w:space="0" w:color="auto"/>
        <w:right w:val="none" w:sz="0" w:space="0" w:color="auto"/>
      </w:divBdr>
    </w:div>
    <w:div w:id="2056813373">
      <w:bodyDiv w:val="1"/>
      <w:marLeft w:val="0"/>
      <w:marRight w:val="0"/>
      <w:marTop w:val="0"/>
      <w:marBottom w:val="0"/>
      <w:divBdr>
        <w:top w:val="none" w:sz="0" w:space="0" w:color="auto"/>
        <w:left w:val="none" w:sz="0" w:space="0" w:color="auto"/>
        <w:bottom w:val="none" w:sz="0" w:space="0" w:color="auto"/>
        <w:right w:val="none" w:sz="0" w:space="0" w:color="auto"/>
      </w:divBdr>
    </w:div>
    <w:div w:id="2081637708">
      <w:bodyDiv w:val="1"/>
      <w:marLeft w:val="0"/>
      <w:marRight w:val="0"/>
      <w:marTop w:val="0"/>
      <w:marBottom w:val="0"/>
      <w:divBdr>
        <w:top w:val="none" w:sz="0" w:space="0" w:color="auto"/>
        <w:left w:val="none" w:sz="0" w:space="0" w:color="auto"/>
        <w:bottom w:val="none" w:sz="0" w:space="0" w:color="auto"/>
        <w:right w:val="none" w:sz="0" w:space="0" w:color="auto"/>
      </w:divBdr>
    </w:div>
    <w:div w:id="209107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header" Target="header3.xml"/><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footer" Target="footer7.xm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3.emf"/><Relationship Id="rId68"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www.england.nhs.uk/ourwork/patientsafety/" TargetMode="Externa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wmf"/><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chart" Target="charts/chart4.xml"/><Relationship Id="rId66" Type="http://schemas.openxmlformats.org/officeDocument/2006/relationships/image" Target="media/image46.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6.xml"/><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2.gif"/><Relationship Id="rId57" Type="http://schemas.openxmlformats.org/officeDocument/2006/relationships/chart" Target="charts/chart3.xml"/><Relationship Id="rId61" Type="http://schemas.openxmlformats.org/officeDocument/2006/relationships/image" Target="media/image41.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oter" Target="footer5.xm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chart" Target="charts/chart1.xml"/><Relationship Id="rId43" Type="http://schemas.openxmlformats.org/officeDocument/2006/relationships/image" Target="media/image29.png"/><Relationship Id="rId48" Type="http://schemas.openxmlformats.org/officeDocument/2006/relationships/footer" Target="footer8.xml"/><Relationship Id="rId56" Type="http://schemas.openxmlformats.org/officeDocument/2006/relationships/chart" Target="charts/chart2.xml"/><Relationship Id="rId64" Type="http://schemas.openxmlformats.org/officeDocument/2006/relationships/image" Target="media/image44.emf"/><Relationship Id="rId69" Type="http://schemas.openxmlformats.org/officeDocument/2006/relationships/image" Target="media/image49.emf"/><Relationship Id="rId8" Type="http://schemas.openxmlformats.org/officeDocument/2006/relationships/image" Target="media/image3.png"/><Relationship Id="rId51" Type="http://schemas.openxmlformats.org/officeDocument/2006/relationships/image" Target="media/image34.png"/><Relationship Id="rId72"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1.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wmf"/><Relationship Id="rId46" Type="http://schemas.openxmlformats.org/officeDocument/2006/relationships/header" Target="header4.xml"/><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footer" Target="footer4.xml"/><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image" Target="media/image42.emf"/><Relationship Id="rId70"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WAHT\Data\General\Complaints\Reports\Monthly%20Complaints%20Reports%20from%2009\2015\March%20%2015\Graphs%20and%20stats%20for%20Mar%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AHT\Users\General\penfolds\My%20Data\Sheridan\Board%20Papers\Bank_and_agency_M1-1_With_WTE_amended_20th_May_2014.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AHT\Data\General\Workforce%20Planning\Yvonne%20Workforce\March%202015\Bank_and_agency_M1-12_With_WTE%20%20-%20March%20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AHT\Data\General\Workforce%20Planning\Yvonne%20Workforce\Board%20Report%20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lgn="ctr" rtl="0">
              <a:defRPr/>
            </a:pPr>
            <a:r>
              <a:rPr lang="en-GB"/>
              <a:t>The themes identified from the 34 complaints  February 2015 - March 2015</a:t>
            </a:r>
          </a:p>
          <a:p>
            <a:pPr algn="ctr" rtl="0">
              <a:defRPr/>
            </a:pPr>
            <a:endParaRPr lang="en-GB"/>
          </a:p>
        </c:rich>
      </c:tx>
      <c:layout>
        <c:manualLayout>
          <c:xMode val="edge"/>
          <c:yMode val="edge"/>
          <c:x val="2.6340332458442816E-2"/>
          <c:y val="2.777777777777803E-2"/>
        </c:manualLayout>
      </c:layout>
    </c:title>
    <c:plotArea>
      <c:layout/>
      <c:pieChart>
        <c:varyColors val="1"/>
        <c:ser>
          <c:idx val="0"/>
          <c:order val="0"/>
          <c:dLbls>
            <c:showVal val="1"/>
            <c:showLeaderLines val="1"/>
          </c:dLbls>
          <c:cat>
            <c:strRef>
              <c:f>Sheet2!$AO$71:$AO$80</c:f>
              <c:strCache>
                <c:ptCount val="10"/>
                <c:pt idx="0">
                  <c:v>Medical Treatment</c:v>
                </c:pt>
                <c:pt idx="1">
                  <c:v>Attitude</c:v>
                </c:pt>
                <c:pt idx="2">
                  <c:v>Delay apointment/ treatment</c:v>
                </c:pt>
                <c:pt idx="3">
                  <c:v>Communication</c:v>
                </c:pt>
                <c:pt idx="4">
                  <c:v>Nursing care</c:v>
                </c:pt>
                <c:pt idx="5">
                  <c:v>Medication </c:v>
                </c:pt>
                <c:pt idx="6">
                  <c:v>Discharge</c:v>
                </c:pt>
                <c:pt idx="7">
                  <c:v>Diagnosis</c:v>
                </c:pt>
                <c:pt idx="8">
                  <c:v>Dignity</c:v>
                </c:pt>
                <c:pt idx="9">
                  <c:v>Environ/ other</c:v>
                </c:pt>
              </c:strCache>
            </c:strRef>
          </c:cat>
          <c:val>
            <c:numRef>
              <c:f>Sheet2!$AP$71:$AP$80</c:f>
              <c:numCache>
                <c:formatCode>General</c:formatCode>
                <c:ptCount val="10"/>
                <c:pt idx="0">
                  <c:v>15</c:v>
                </c:pt>
                <c:pt idx="1">
                  <c:v>7</c:v>
                </c:pt>
                <c:pt idx="2">
                  <c:v>7</c:v>
                </c:pt>
                <c:pt idx="3">
                  <c:v>11</c:v>
                </c:pt>
                <c:pt idx="4">
                  <c:v>5</c:v>
                </c:pt>
                <c:pt idx="5">
                  <c:v>11</c:v>
                </c:pt>
                <c:pt idx="6">
                  <c:v>4</c:v>
                </c:pt>
                <c:pt idx="7">
                  <c:v>7</c:v>
                </c:pt>
                <c:pt idx="8">
                  <c:v>2</c:v>
                </c:pt>
                <c:pt idx="9">
                  <c:v>1</c:v>
                </c:pt>
              </c:numCache>
            </c:numRef>
          </c:val>
        </c:ser>
        <c:dLbls>
          <c:showPercent val="1"/>
        </c:dLbls>
        <c:firstSliceAng val="0"/>
      </c:pieChart>
    </c:plotArea>
    <c:legend>
      <c:legendPos val="r"/>
      <c:layout>
        <c:manualLayout>
          <c:xMode val="edge"/>
          <c:yMode val="edge"/>
          <c:x val="0.72293177947901333"/>
          <c:y val="0.25449694217451152"/>
          <c:w val="0.27706827555820357"/>
          <c:h val="0.6516365184081776"/>
        </c:manualLayout>
      </c:layout>
    </c:legend>
    <c:plotVisOnly val="1"/>
    <c:dispBlanksAs val="zero"/>
  </c:chart>
  <c:spPr>
    <a:solidFill>
      <a:schemeClr val="lt1"/>
    </a:solidFill>
    <a:ln w="55000" cap="flat" cmpd="thickThin"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a:t>Staff Pay Bill</a:t>
            </a:r>
          </a:p>
        </c:rich>
      </c:tx>
    </c:title>
    <c:plotArea>
      <c:layout/>
      <c:barChart>
        <c:barDir val="col"/>
        <c:grouping val="stacked"/>
        <c:ser>
          <c:idx val="0"/>
          <c:order val="0"/>
          <c:tx>
            <c:strRef>
              <c:f>Sheet1!$A$2</c:f>
              <c:strCache>
                <c:ptCount val="1"/>
                <c:pt idx="0">
                  <c:v>Contracted Staff Pay bill</c:v>
                </c:pt>
              </c:strCache>
            </c:strRef>
          </c:tx>
          <c:cat>
            <c:strRef>
              <c:f>Sheet1!$B$1:$X$1</c:f>
              <c:strCache>
                <c:ptCount val="13"/>
                <c:pt idx="0">
                  <c:v>Mar</c:v>
                </c:pt>
                <c:pt idx="1">
                  <c:v>Apr</c:v>
                </c:pt>
                <c:pt idx="2">
                  <c:v>May </c:v>
                </c:pt>
                <c:pt idx="3">
                  <c:v>Jun</c:v>
                </c:pt>
                <c:pt idx="4">
                  <c:v>Jul</c:v>
                </c:pt>
                <c:pt idx="5">
                  <c:v>Aug </c:v>
                </c:pt>
                <c:pt idx="6">
                  <c:v>Sept</c:v>
                </c:pt>
                <c:pt idx="7">
                  <c:v>Oct</c:v>
                </c:pt>
                <c:pt idx="8">
                  <c:v>Nov</c:v>
                </c:pt>
                <c:pt idx="9">
                  <c:v>Dec</c:v>
                </c:pt>
                <c:pt idx="10">
                  <c:v>Jan</c:v>
                </c:pt>
                <c:pt idx="11">
                  <c:v>Feb</c:v>
                </c:pt>
                <c:pt idx="12">
                  <c:v>Mar</c:v>
                </c:pt>
              </c:strCache>
            </c:strRef>
          </c:cat>
          <c:val>
            <c:numRef>
              <c:f>Sheet1!$B$2:$X$2</c:f>
              <c:numCache>
                <c:formatCode>0</c:formatCode>
                <c:ptCount val="13"/>
                <c:pt idx="0">
                  <c:v>5294</c:v>
                </c:pt>
                <c:pt idx="1">
                  <c:v>4948</c:v>
                </c:pt>
                <c:pt idx="2">
                  <c:v>5012</c:v>
                </c:pt>
                <c:pt idx="3">
                  <c:v>5005</c:v>
                </c:pt>
                <c:pt idx="4">
                  <c:v>4984</c:v>
                </c:pt>
                <c:pt idx="5">
                  <c:v>5025</c:v>
                </c:pt>
                <c:pt idx="6">
                  <c:v>5002</c:v>
                </c:pt>
                <c:pt idx="7">
                  <c:v>5015</c:v>
                </c:pt>
                <c:pt idx="8">
                  <c:v>4946</c:v>
                </c:pt>
                <c:pt idx="9">
                  <c:v>5043</c:v>
                </c:pt>
                <c:pt idx="10">
                  <c:v>5040</c:v>
                </c:pt>
                <c:pt idx="11">
                  <c:v>4979</c:v>
                </c:pt>
                <c:pt idx="12">
                  <c:v>5133</c:v>
                </c:pt>
              </c:numCache>
            </c:numRef>
          </c:val>
        </c:ser>
        <c:ser>
          <c:idx val="2"/>
          <c:order val="1"/>
          <c:tx>
            <c:strRef>
              <c:f>Sheet1!$A$4</c:f>
              <c:strCache>
                <c:ptCount val="1"/>
                <c:pt idx="0">
                  <c:v>Agy/Bank/Locum Pay bill (000s)</c:v>
                </c:pt>
              </c:strCache>
            </c:strRef>
          </c:tx>
          <c:cat>
            <c:strRef>
              <c:f>Sheet1!$B$1:$X$1</c:f>
              <c:strCache>
                <c:ptCount val="13"/>
                <c:pt idx="0">
                  <c:v>Mar</c:v>
                </c:pt>
                <c:pt idx="1">
                  <c:v>Apr</c:v>
                </c:pt>
                <c:pt idx="2">
                  <c:v>May </c:v>
                </c:pt>
                <c:pt idx="3">
                  <c:v>Jun</c:v>
                </c:pt>
                <c:pt idx="4">
                  <c:v>Jul</c:v>
                </c:pt>
                <c:pt idx="5">
                  <c:v>Aug </c:v>
                </c:pt>
                <c:pt idx="6">
                  <c:v>Sept</c:v>
                </c:pt>
                <c:pt idx="7">
                  <c:v>Oct</c:v>
                </c:pt>
                <c:pt idx="8">
                  <c:v>Nov</c:v>
                </c:pt>
                <c:pt idx="9">
                  <c:v>Dec</c:v>
                </c:pt>
                <c:pt idx="10">
                  <c:v>Jan</c:v>
                </c:pt>
                <c:pt idx="11">
                  <c:v>Feb</c:v>
                </c:pt>
                <c:pt idx="12">
                  <c:v>Mar</c:v>
                </c:pt>
              </c:strCache>
            </c:strRef>
          </c:cat>
          <c:val>
            <c:numRef>
              <c:f>Sheet1!$B$4:$X$4</c:f>
              <c:numCache>
                <c:formatCode>General</c:formatCode>
                <c:ptCount val="13"/>
                <c:pt idx="0">
                  <c:v>620</c:v>
                </c:pt>
                <c:pt idx="1">
                  <c:v>490</c:v>
                </c:pt>
                <c:pt idx="2">
                  <c:v>511</c:v>
                </c:pt>
                <c:pt idx="3">
                  <c:v>447</c:v>
                </c:pt>
                <c:pt idx="4">
                  <c:v>550</c:v>
                </c:pt>
                <c:pt idx="5">
                  <c:v>650</c:v>
                </c:pt>
                <c:pt idx="6">
                  <c:v>728</c:v>
                </c:pt>
                <c:pt idx="7">
                  <c:v>552</c:v>
                </c:pt>
                <c:pt idx="8">
                  <c:v>600</c:v>
                </c:pt>
                <c:pt idx="9">
                  <c:v>678</c:v>
                </c:pt>
                <c:pt idx="10">
                  <c:v>736</c:v>
                </c:pt>
                <c:pt idx="11">
                  <c:v>779</c:v>
                </c:pt>
                <c:pt idx="12">
                  <c:v>994</c:v>
                </c:pt>
              </c:numCache>
            </c:numRef>
          </c:val>
        </c:ser>
        <c:overlap val="100"/>
        <c:axId val="73316608"/>
        <c:axId val="96530816"/>
      </c:barChart>
      <c:catAx>
        <c:axId val="73316608"/>
        <c:scaling>
          <c:orientation val="minMax"/>
        </c:scaling>
        <c:axPos val="b"/>
        <c:title>
          <c:tx>
            <c:rich>
              <a:bodyPr/>
              <a:lstStyle/>
              <a:p>
                <a:pPr>
                  <a:defRPr/>
                </a:pPr>
                <a:r>
                  <a:rPr lang="en-GB"/>
                  <a:t>Months</a:t>
                </a:r>
              </a:p>
            </c:rich>
          </c:tx>
        </c:title>
        <c:tickLblPos val="nextTo"/>
        <c:crossAx val="96530816"/>
        <c:crosses val="autoZero"/>
        <c:auto val="1"/>
        <c:lblAlgn val="ctr"/>
        <c:lblOffset val="100"/>
      </c:catAx>
      <c:valAx>
        <c:axId val="96530816"/>
        <c:scaling>
          <c:orientation val="minMax"/>
          <c:min val="0"/>
        </c:scaling>
        <c:axPos val="l"/>
        <c:majorGridlines/>
        <c:title>
          <c:tx>
            <c:rich>
              <a:bodyPr rot="-5400000" vert="horz"/>
              <a:lstStyle/>
              <a:p>
                <a:pPr>
                  <a:defRPr/>
                </a:pPr>
                <a:r>
                  <a:rPr lang="en-GB"/>
                  <a:t>£000's</a:t>
                </a:r>
              </a:p>
            </c:rich>
          </c:tx>
        </c:title>
        <c:numFmt formatCode="0" sourceLinked="1"/>
        <c:tickLblPos val="nextTo"/>
        <c:crossAx val="73316608"/>
        <c:crosses val="autoZero"/>
        <c:crossBetween val="between"/>
      </c:valAx>
    </c:plotArea>
    <c:legend>
      <c:legendPos val="r"/>
    </c:legend>
    <c:plotVisOnly val="1"/>
    <c:dispBlanksAs val="gap"/>
  </c:chart>
  <c:spPr>
    <a:solidFill>
      <a:schemeClr val="lt1"/>
    </a:solidFill>
    <a:ln w="55000" cap="flat" cmpd="thickThin"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US"/>
              <a:t>Bank and Agency Spend</a:t>
            </a:r>
          </a:p>
        </c:rich>
      </c:tx>
    </c:title>
    <c:plotArea>
      <c:layout>
        <c:manualLayout>
          <c:layoutTarget val="inner"/>
          <c:xMode val="edge"/>
          <c:yMode val="edge"/>
          <c:x val="8.0520154422863047E-2"/>
          <c:y val="0.13388926258589601"/>
          <c:w val="0.88248324779759957"/>
          <c:h val="0.82232461657840183"/>
        </c:manualLayout>
      </c:layout>
      <c:barChart>
        <c:barDir val="col"/>
        <c:grouping val="stacked"/>
        <c:ser>
          <c:idx val="0"/>
          <c:order val="0"/>
          <c:tx>
            <c:strRef>
              <c:f>'BANK &amp; AGENCY'!$A$27:$B$27</c:f>
              <c:strCache>
                <c:ptCount val="1"/>
                <c:pt idx="0">
                  <c:v>Bank Nurses</c:v>
                </c:pt>
              </c:strCache>
            </c:strRef>
          </c:tx>
          <c:spPr>
            <a:solidFill>
              <a:schemeClr val="accent1"/>
            </a:solidFill>
          </c:spPr>
          <c:dLbls>
            <c:dLbl>
              <c:idx val="0"/>
              <c:tx>
                <c:rich>
                  <a:bodyPr/>
                  <a:lstStyle/>
                  <a:p>
                    <a:r>
                      <a:rPr lang="en-US" sz="1000" b="1"/>
                      <a:t>81.33</a:t>
                    </a:r>
                    <a:r>
                      <a:rPr lang="en-US" sz="900" b="1"/>
                      <a:t> </a:t>
                    </a:r>
                    <a:r>
                      <a:rPr lang="en-US"/>
                      <a:t>WTE</a:t>
                    </a:r>
                  </a:p>
                </c:rich>
              </c:tx>
              <c:showVal val="1"/>
            </c:dLbl>
            <c:dLbl>
              <c:idx val="1"/>
              <c:tx>
                <c:rich>
                  <a:bodyPr/>
                  <a:lstStyle/>
                  <a:p>
                    <a:r>
                      <a:rPr lang="en-US" baseline="0"/>
                      <a:t>53.20 </a:t>
                    </a:r>
                    <a:r>
                      <a:rPr lang="en-US"/>
                      <a:t>WTE</a:t>
                    </a:r>
                  </a:p>
                </c:rich>
              </c:tx>
              <c:showVal val="1"/>
            </c:dLbl>
            <c:dLbl>
              <c:idx val="2"/>
              <c:tx>
                <c:rich>
                  <a:bodyPr/>
                  <a:lstStyle/>
                  <a:p>
                    <a:r>
                      <a:rPr lang="en-US" sz="1000" b="1"/>
                      <a:t>47.67</a:t>
                    </a:r>
                    <a:r>
                      <a:rPr lang="en-US"/>
                      <a:t> WTE</a:t>
                    </a:r>
                  </a:p>
                </c:rich>
              </c:tx>
              <c:showVal val="1"/>
            </c:dLbl>
            <c:dLbl>
              <c:idx val="3"/>
              <c:tx>
                <c:rich>
                  <a:bodyPr/>
                  <a:lstStyle/>
                  <a:p>
                    <a:r>
                      <a:rPr lang="en-US"/>
                      <a:t>48.56 WTE</a:t>
                    </a:r>
                  </a:p>
                </c:rich>
              </c:tx>
              <c:showVal val="1"/>
            </c:dLbl>
            <c:dLbl>
              <c:idx val="4"/>
              <c:tx>
                <c:rich>
                  <a:bodyPr/>
                  <a:lstStyle/>
                  <a:p>
                    <a:r>
                      <a:rPr lang="en-US" baseline="0"/>
                      <a:t>47.34 WTE</a:t>
                    </a:r>
                    <a:endParaRPr lang="en-US"/>
                  </a:p>
                </c:rich>
              </c:tx>
              <c:showVal val="1"/>
            </c:dLbl>
            <c:dLbl>
              <c:idx val="5"/>
              <c:tx>
                <c:rich>
                  <a:bodyPr/>
                  <a:lstStyle/>
                  <a:p>
                    <a:r>
                      <a:rPr lang="en-US" baseline="0"/>
                      <a:t>51.33 WTE</a:t>
                    </a:r>
                    <a:endParaRPr lang="en-US"/>
                  </a:p>
                </c:rich>
              </c:tx>
              <c:showVal val="1"/>
            </c:dLbl>
            <c:dLbl>
              <c:idx val="6"/>
              <c:tx>
                <c:rich>
                  <a:bodyPr/>
                  <a:lstStyle/>
                  <a:p>
                    <a:r>
                      <a:rPr lang="en-US" sz="1000" b="1" baseline="0"/>
                      <a:t>78.97 </a:t>
                    </a:r>
                    <a:r>
                      <a:rPr lang="en-US" baseline="0"/>
                      <a:t>WTE</a:t>
                    </a:r>
                    <a:endParaRPr lang="en-US"/>
                  </a:p>
                </c:rich>
              </c:tx>
              <c:showVal val="1"/>
            </c:dLbl>
            <c:dLbl>
              <c:idx val="7"/>
              <c:tx>
                <c:rich>
                  <a:bodyPr/>
                  <a:lstStyle/>
                  <a:p>
                    <a:r>
                      <a:rPr lang="en-US"/>
                      <a:t>47.57 WTE</a:t>
                    </a:r>
                  </a:p>
                </c:rich>
              </c:tx>
              <c:showVal val="1"/>
            </c:dLbl>
            <c:dLbl>
              <c:idx val="8"/>
              <c:tx>
                <c:rich>
                  <a:bodyPr/>
                  <a:lstStyle/>
                  <a:p>
                    <a:r>
                      <a:rPr lang="en-US" sz="1000" b="1" baseline="0"/>
                      <a:t>39.31</a:t>
                    </a:r>
                    <a:r>
                      <a:rPr lang="en-US" baseline="0"/>
                      <a:t> WTE</a:t>
                    </a:r>
                    <a:endParaRPr lang="en-US"/>
                  </a:p>
                </c:rich>
              </c:tx>
              <c:showVal val="1"/>
            </c:dLbl>
            <c:dLbl>
              <c:idx val="9"/>
              <c:tx>
                <c:rich>
                  <a:bodyPr/>
                  <a:lstStyle/>
                  <a:p>
                    <a:r>
                      <a:rPr lang="en-US" baseline="0"/>
                      <a:t>49.38 WTE</a:t>
                    </a:r>
                    <a:endParaRPr lang="en-US"/>
                  </a:p>
                </c:rich>
              </c:tx>
              <c:showVal val="1"/>
            </c:dLbl>
            <c:dLbl>
              <c:idx val="10"/>
              <c:tx>
                <c:rich>
                  <a:bodyPr/>
                  <a:lstStyle/>
                  <a:p>
                    <a:r>
                      <a:rPr lang="en-US" sz="1000" b="1" baseline="0"/>
                      <a:t>61.50</a:t>
                    </a:r>
                    <a:r>
                      <a:rPr lang="en-US" sz="900" b="1" baseline="0"/>
                      <a:t> </a:t>
                    </a:r>
                    <a:r>
                      <a:rPr lang="en-US" baseline="0"/>
                      <a:t>WTE</a:t>
                    </a:r>
                    <a:endParaRPr lang="en-US"/>
                  </a:p>
                </c:rich>
              </c:tx>
              <c:showVal val="1"/>
            </c:dLbl>
            <c:dLbl>
              <c:idx val="11"/>
              <c:layout>
                <c:manualLayout>
                  <c:x val="1.3672409078479661E-3"/>
                  <c:y val="0"/>
                </c:manualLayout>
              </c:layout>
              <c:tx>
                <c:rich>
                  <a:bodyPr/>
                  <a:lstStyle/>
                  <a:p>
                    <a:r>
                      <a:rPr lang="en-US"/>
                      <a:t>6 0.90 WTE</a:t>
                    </a:r>
                  </a:p>
                </c:rich>
              </c:tx>
              <c:showVal val="1"/>
            </c:dLbl>
            <c:dLbl>
              <c:idx val="12"/>
              <c:tx>
                <c:rich>
                  <a:bodyPr/>
                  <a:lstStyle/>
                  <a:p>
                    <a:r>
                      <a:rPr lang="en-US"/>
                      <a:t>61.48 WTE</a:t>
                    </a:r>
                  </a:p>
                </c:rich>
              </c:tx>
              <c:showVal val="1"/>
            </c:dLbl>
            <c:dLbl>
              <c:idx val="13"/>
              <c:tx>
                <c:rich>
                  <a:bodyPr/>
                  <a:lstStyle/>
                  <a:p>
                    <a:r>
                      <a:rPr lang="en-US" baseline="0"/>
                      <a:t>48.56 WTE</a:t>
                    </a:r>
                    <a:endParaRPr lang="en-US"/>
                  </a:p>
                </c:rich>
              </c:tx>
              <c:showVal val="1"/>
            </c:dLbl>
            <c:dLbl>
              <c:idx val="14"/>
              <c:tx>
                <c:rich>
                  <a:bodyPr/>
                  <a:lstStyle/>
                  <a:p>
                    <a:r>
                      <a:rPr lang="en-US"/>
                      <a:t>81.33</a:t>
                    </a:r>
                    <a:r>
                      <a:rPr lang="en-US" baseline="0"/>
                      <a:t> WTE</a:t>
                    </a:r>
                    <a:endParaRPr lang="en-US"/>
                  </a:p>
                </c:rich>
              </c:tx>
              <c:showVal val="1"/>
            </c:dLbl>
            <c:spPr>
              <a:solidFill>
                <a:schemeClr val="bg1"/>
              </a:solidFill>
              <a:ln w="3175">
                <a:solidFill>
                  <a:sysClr val="windowText" lastClr="000000"/>
                </a:solidFill>
              </a:ln>
            </c:spPr>
            <c:showVal val="1"/>
          </c:dLbls>
          <c:cat>
            <c:strRef>
              <c:f>'BANK &amp; AGENCY'!$C$26:$AW$26</c:f>
              <c:strCache>
                <c:ptCount val="13"/>
                <c:pt idx="0">
                  <c:v>Mar</c:v>
                </c:pt>
                <c:pt idx="1">
                  <c:v>April </c:v>
                </c:pt>
                <c:pt idx="2">
                  <c:v>May</c:v>
                </c:pt>
                <c:pt idx="3">
                  <c:v>Jun</c:v>
                </c:pt>
                <c:pt idx="4">
                  <c:v>Jul</c:v>
                </c:pt>
                <c:pt idx="5">
                  <c:v>Aug</c:v>
                </c:pt>
                <c:pt idx="6">
                  <c:v>Sept</c:v>
                </c:pt>
                <c:pt idx="7">
                  <c:v>Oct</c:v>
                </c:pt>
                <c:pt idx="8">
                  <c:v>Nov</c:v>
                </c:pt>
                <c:pt idx="9">
                  <c:v>Dec</c:v>
                </c:pt>
                <c:pt idx="10">
                  <c:v>Jan</c:v>
                </c:pt>
                <c:pt idx="11">
                  <c:v>Feb</c:v>
                </c:pt>
                <c:pt idx="12">
                  <c:v>Mar</c:v>
                </c:pt>
              </c:strCache>
            </c:strRef>
          </c:cat>
          <c:val>
            <c:numRef>
              <c:f>'BANK &amp; AGENCY'!$C$27:$AW$27</c:f>
              <c:numCache>
                <c:formatCode>General</c:formatCode>
                <c:ptCount val="13"/>
                <c:pt idx="0" formatCode="0.00">
                  <c:v>161.833</c:v>
                </c:pt>
                <c:pt idx="1">
                  <c:v>123.43</c:v>
                </c:pt>
                <c:pt idx="2">
                  <c:v>131.69</c:v>
                </c:pt>
                <c:pt idx="3" formatCode="0.00">
                  <c:v>129.5</c:v>
                </c:pt>
                <c:pt idx="4" formatCode="0.00">
                  <c:v>126.56</c:v>
                </c:pt>
                <c:pt idx="5" formatCode="0.00">
                  <c:v>141.22999999999999</c:v>
                </c:pt>
                <c:pt idx="6" formatCode="0.00">
                  <c:v>128.88000000000042</c:v>
                </c:pt>
                <c:pt idx="7" formatCode="0.00">
                  <c:v>121.01</c:v>
                </c:pt>
                <c:pt idx="8" formatCode="0.00">
                  <c:v>117.98</c:v>
                </c:pt>
                <c:pt idx="9" formatCode="0.00">
                  <c:v>119.05</c:v>
                </c:pt>
                <c:pt idx="10" formatCode="0.00">
                  <c:v>154.78</c:v>
                </c:pt>
                <c:pt idx="11" formatCode="0.00">
                  <c:v>114.72</c:v>
                </c:pt>
                <c:pt idx="12" formatCode="0.00">
                  <c:v>109.11999999999999</c:v>
                </c:pt>
              </c:numCache>
            </c:numRef>
          </c:val>
        </c:ser>
        <c:ser>
          <c:idx val="1"/>
          <c:order val="1"/>
          <c:tx>
            <c:strRef>
              <c:f>'BANK &amp; AGENCY'!$A$28:$B$28</c:f>
              <c:strCache>
                <c:ptCount val="1"/>
                <c:pt idx="0">
                  <c:v>Agency Nursing</c:v>
                </c:pt>
              </c:strCache>
            </c:strRef>
          </c:tx>
          <c:dLbls>
            <c:dLbl>
              <c:idx val="0"/>
              <c:tx>
                <c:rich>
                  <a:bodyPr/>
                  <a:lstStyle/>
                  <a:p>
                    <a:r>
                      <a:rPr lang="en-US" sz="1000" b="1" baseline="0"/>
                      <a:t>41.41 </a:t>
                    </a:r>
                    <a:r>
                      <a:rPr lang="en-US" sz="900" b="1" baseline="0"/>
                      <a:t> </a:t>
                    </a:r>
                    <a:r>
                      <a:rPr lang="en-US" baseline="0"/>
                      <a:t>WTE</a:t>
                    </a:r>
                    <a:endParaRPr lang="en-US"/>
                  </a:p>
                </c:rich>
              </c:tx>
              <c:dLblPos val="ctr"/>
              <c:showVal val="1"/>
            </c:dLbl>
            <c:dLbl>
              <c:idx val="1"/>
              <c:tx>
                <c:rich>
                  <a:bodyPr/>
                  <a:lstStyle/>
                  <a:p>
                    <a:r>
                      <a:rPr lang="en-US"/>
                      <a:t>17.17 WTE</a:t>
                    </a:r>
                  </a:p>
                </c:rich>
              </c:tx>
              <c:dLblPos val="ctr"/>
              <c:showVal val="1"/>
            </c:dLbl>
            <c:dLbl>
              <c:idx val="2"/>
              <c:tx>
                <c:rich>
                  <a:bodyPr/>
                  <a:lstStyle/>
                  <a:p>
                    <a:r>
                      <a:rPr lang="en-US" sz="1000" b="1" baseline="0"/>
                      <a:t>22.13</a:t>
                    </a:r>
                    <a:r>
                      <a:rPr lang="en-US" baseline="0"/>
                      <a:t> WTE</a:t>
                    </a:r>
                    <a:endParaRPr lang="en-US"/>
                  </a:p>
                </c:rich>
              </c:tx>
              <c:dLblPos val="ctr"/>
              <c:showVal val="1"/>
            </c:dLbl>
            <c:dLbl>
              <c:idx val="3"/>
              <c:layout>
                <c:manualLayout>
                  <c:x val="-4.1017227235439161E-3"/>
                  <c:y val="0"/>
                </c:manualLayout>
              </c:layout>
              <c:tx>
                <c:rich>
                  <a:bodyPr/>
                  <a:lstStyle/>
                  <a:p>
                    <a:r>
                      <a:rPr lang="en-US" sz="1000" b="1" baseline="0"/>
                      <a:t>6.54</a:t>
                    </a:r>
                    <a:r>
                      <a:rPr lang="en-US" sz="900" b="1" baseline="0"/>
                      <a:t> </a:t>
                    </a:r>
                    <a:r>
                      <a:rPr lang="en-US"/>
                      <a:t>WTE</a:t>
                    </a:r>
                  </a:p>
                </c:rich>
              </c:tx>
              <c:dLblPos val="ctr"/>
              <c:showVal val="1"/>
            </c:dLbl>
            <c:dLbl>
              <c:idx val="4"/>
              <c:tx>
                <c:rich>
                  <a:bodyPr/>
                  <a:lstStyle/>
                  <a:p>
                    <a:r>
                      <a:rPr lang="en-US" baseline="0"/>
                      <a:t>17.60 WTE</a:t>
                    </a:r>
                    <a:endParaRPr lang="en-US"/>
                  </a:p>
                </c:rich>
              </c:tx>
              <c:dLblPos val="ctr"/>
              <c:showVal val="1"/>
            </c:dLbl>
            <c:dLbl>
              <c:idx val="5"/>
              <c:tx>
                <c:rich>
                  <a:bodyPr/>
                  <a:lstStyle/>
                  <a:p>
                    <a:r>
                      <a:rPr lang="en-US" baseline="0"/>
                      <a:t>27.87 WTE</a:t>
                    </a:r>
                    <a:endParaRPr lang="en-US"/>
                  </a:p>
                </c:rich>
              </c:tx>
              <c:dLblPos val="ctr"/>
              <c:showVal val="1"/>
            </c:dLbl>
            <c:dLbl>
              <c:idx val="6"/>
              <c:tx>
                <c:rich>
                  <a:bodyPr/>
                  <a:lstStyle/>
                  <a:p>
                    <a:r>
                      <a:rPr lang="en-US" baseline="0"/>
                      <a:t>29.23 WTE</a:t>
                    </a:r>
                    <a:endParaRPr lang="en-US"/>
                  </a:p>
                </c:rich>
              </c:tx>
              <c:dLblPos val="ctr"/>
              <c:showVal val="1"/>
            </c:dLbl>
            <c:dLbl>
              <c:idx val="7"/>
              <c:tx>
                <c:rich>
                  <a:bodyPr/>
                  <a:lstStyle/>
                  <a:p>
                    <a:r>
                      <a:rPr lang="en-US" baseline="0"/>
                      <a:t>29.66 WTE</a:t>
                    </a:r>
                    <a:endParaRPr lang="en-US"/>
                  </a:p>
                </c:rich>
              </c:tx>
              <c:dLblPos val="ctr"/>
              <c:showVal val="1"/>
            </c:dLbl>
            <c:dLbl>
              <c:idx val="8"/>
              <c:tx>
                <c:rich>
                  <a:bodyPr/>
                  <a:lstStyle/>
                  <a:p>
                    <a:r>
                      <a:rPr lang="en-US" baseline="0"/>
                      <a:t>29.88 WTE</a:t>
                    </a:r>
                    <a:endParaRPr lang="en-US"/>
                  </a:p>
                </c:rich>
              </c:tx>
              <c:dLblPos val="ctr"/>
              <c:showVal val="1"/>
            </c:dLbl>
            <c:dLbl>
              <c:idx val="9"/>
              <c:tx>
                <c:rich>
                  <a:bodyPr/>
                  <a:lstStyle/>
                  <a:p>
                    <a:r>
                      <a:rPr lang="en-US"/>
                      <a:t>33.60 WTE</a:t>
                    </a:r>
                  </a:p>
                </c:rich>
              </c:tx>
              <c:dLblPos val="ctr"/>
              <c:showVal val="1"/>
            </c:dLbl>
            <c:dLbl>
              <c:idx val="10"/>
              <c:tx>
                <c:rich>
                  <a:bodyPr/>
                  <a:lstStyle/>
                  <a:p>
                    <a:r>
                      <a:rPr lang="en-US" sz="1000" b="1" baseline="0"/>
                      <a:t>31.44 </a:t>
                    </a:r>
                    <a:r>
                      <a:rPr lang="en-US" baseline="0"/>
                      <a:t>WTE</a:t>
                    </a:r>
                    <a:endParaRPr lang="en-US"/>
                  </a:p>
                </c:rich>
              </c:tx>
              <c:dLblPos val="ctr"/>
              <c:showVal val="1"/>
            </c:dLbl>
            <c:dLbl>
              <c:idx val="11"/>
              <c:tx>
                <c:rich>
                  <a:bodyPr/>
                  <a:lstStyle/>
                  <a:p>
                    <a:r>
                      <a:rPr lang="en-US"/>
                      <a:t>47.29 WTE</a:t>
                    </a:r>
                  </a:p>
                </c:rich>
              </c:tx>
              <c:dLblPos val="ctr"/>
              <c:showVal val="1"/>
            </c:dLbl>
            <c:dLbl>
              <c:idx val="12"/>
              <c:tx>
                <c:rich>
                  <a:bodyPr/>
                  <a:lstStyle/>
                  <a:p>
                    <a:r>
                      <a:rPr lang="en-US" sz="1000" b="1" baseline="0"/>
                      <a:t>60.31</a:t>
                    </a:r>
                    <a:r>
                      <a:rPr lang="en-US" sz="900" b="1" baseline="0"/>
                      <a:t> </a:t>
                    </a:r>
                    <a:r>
                      <a:rPr lang="en-US" baseline="0"/>
                      <a:t>WTE</a:t>
                    </a:r>
                    <a:endParaRPr lang="en-US"/>
                  </a:p>
                </c:rich>
              </c:tx>
              <c:dLblPos val="ctr"/>
              <c:showVal val="1"/>
            </c:dLbl>
            <c:dLbl>
              <c:idx val="13"/>
              <c:tx>
                <c:rich>
                  <a:bodyPr/>
                  <a:lstStyle/>
                  <a:p>
                    <a:r>
                      <a:rPr lang="en-US" baseline="0"/>
                      <a:t>6.54 WTE</a:t>
                    </a:r>
                    <a:endParaRPr lang="en-US"/>
                  </a:p>
                </c:rich>
              </c:tx>
              <c:showVal val="1"/>
            </c:dLbl>
            <c:dLbl>
              <c:idx val="14"/>
              <c:tx>
                <c:rich>
                  <a:bodyPr/>
                  <a:lstStyle/>
                  <a:p>
                    <a:r>
                      <a:rPr lang="en-US"/>
                      <a:t>41.41</a:t>
                    </a:r>
                    <a:r>
                      <a:rPr lang="en-US" baseline="0"/>
                      <a:t> WTE</a:t>
                    </a:r>
                    <a:endParaRPr lang="en-US"/>
                  </a:p>
                </c:rich>
              </c:tx>
              <c:showVal val="1"/>
            </c:dLbl>
            <c:spPr>
              <a:solidFill>
                <a:schemeClr val="bg1"/>
              </a:solidFill>
              <a:ln>
                <a:solidFill>
                  <a:schemeClr val="tx1"/>
                </a:solidFill>
              </a:ln>
            </c:spPr>
            <c:dLblPos val="ctr"/>
            <c:showVal val="1"/>
          </c:dLbls>
          <c:cat>
            <c:strRef>
              <c:f>'BANK &amp; AGENCY'!$C$26:$AW$26</c:f>
              <c:strCache>
                <c:ptCount val="13"/>
                <c:pt idx="0">
                  <c:v>Mar</c:v>
                </c:pt>
                <c:pt idx="1">
                  <c:v>April </c:v>
                </c:pt>
                <c:pt idx="2">
                  <c:v>May</c:v>
                </c:pt>
                <c:pt idx="3">
                  <c:v>Jun</c:v>
                </c:pt>
                <c:pt idx="4">
                  <c:v>Jul</c:v>
                </c:pt>
                <c:pt idx="5">
                  <c:v>Aug</c:v>
                </c:pt>
                <c:pt idx="6">
                  <c:v>Sept</c:v>
                </c:pt>
                <c:pt idx="7">
                  <c:v>Oct</c:v>
                </c:pt>
                <c:pt idx="8">
                  <c:v>Nov</c:v>
                </c:pt>
                <c:pt idx="9">
                  <c:v>Dec</c:v>
                </c:pt>
                <c:pt idx="10">
                  <c:v>Jan</c:v>
                </c:pt>
                <c:pt idx="11">
                  <c:v>Feb</c:v>
                </c:pt>
                <c:pt idx="12">
                  <c:v>Mar</c:v>
                </c:pt>
              </c:strCache>
            </c:strRef>
          </c:cat>
          <c:val>
            <c:numRef>
              <c:f>'BANK &amp; AGENCY'!$C$28:$AW$28</c:f>
              <c:numCache>
                <c:formatCode>General</c:formatCode>
                <c:ptCount val="13"/>
                <c:pt idx="0" formatCode="0.00">
                  <c:v>191.732</c:v>
                </c:pt>
                <c:pt idx="1">
                  <c:v>105.69</c:v>
                </c:pt>
                <c:pt idx="2">
                  <c:v>111.58</c:v>
                </c:pt>
                <c:pt idx="3" formatCode="0.00">
                  <c:v>44.67</c:v>
                </c:pt>
                <c:pt idx="4" formatCode="0.00">
                  <c:v>110.36</c:v>
                </c:pt>
                <c:pt idx="5" formatCode="0.00">
                  <c:v>180.47</c:v>
                </c:pt>
                <c:pt idx="6" formatCode="0.00">
                  <c:v>253.67</c:v>
                </c:pt>
                <c:pt idx="7" formatCode="0.00">
                  <c:v>198.73</c:v>
                </c:pt>
                <c:pt idx="8" formatCode="0.00">
                  <c:v>194.7</c:v>
                </c:pt>
                <c:pt idx="9" formatCode="0.00">
                  <c:v>159.52000000000001</c:v>
                </c:pt>
                <c:pt idx="10" formatCode="0.00">
                  <c:v>138.73999999999998</c:v>
                </c:pt>
                <c:pt idx="11" formatCode="0.00">
                  <c:v>160.18</c:v>
                </c:pt>
                <c:pt idx="12" formatCode="0.00">
                  <c:v>298.52</c:v>
                </c:pt>
              </c:numCache>
            </c:numRef>
          </c:val>
        </c:ser>
        <c:ser>
          <c:idx val="2"/>
          <c:order val="2"/>
          <c:tx>
            <c:strRef>
              <c:f>'BANK &amp; AGENCY'!$A$29:$B$29</c:f>
              <c:strCache>
                <c:ptCount val="1"/>
                <c:pt idx="0">
                  <c:v>Other Agency</c:v>
                </c:pt>
              </c:strCache>
            </c:strRef>
          </c:tx>
          <c:cat>
            <c:strRef>
              <c:f>'BANK &amp; AGENCY'!$C$26:$AW$26</c:f>
              <c:strCache>
                <c:ptCount val="13"/>
                <c:pt idx="0">
                  <c:v>Mar</c:v>
                </c:pt>
                <c:pt idx="1">
                  <c:v>April </c:v>
                </c:pt>
                <c:pt idx="2">
                  <c:v>May</c:v>
                </c:pt>
                <c:pt idx="3">
                  <c:v>Jun</c:v>
                </c:pt>
                <c:pt idx="4">
                  <c:v>Jul</c:v>
                </c:pt>
                <c:pt idx="5">
                  <c:v>Aug</c:v>
                </c:pt>
                <c:pt idx="6">
                  <c:v>Sept</c:v>
                </c:pt>
                <c:pt idx="7">
                  <c:v>Oct</c:v>
                </c:pt>
                <c:pt idx="8">
                  <c:v>Nov</c:v>
                </c:pt>
                <c:pt idx="9">
                  <c:v>Dec</c:v>
                </c:pt>
                <c:pt idx="10">
                  <c:v>Jan</c:v>
                </c:pt>
                <c:pt idx="11">
                  <c:v>Feb</c:v>
                </c:pt>
                <c:pt idx="12">
                  <c:v>Mar</c:v>
                </c:pt>
              </c:strCache>
            </c:strRef>
          </c:cat>
          <c:val>
            <c:numRef>
              <c:f>'BANK &amp; AGENCY'!$C$29:$AW$29</c:f>
              <c:numCache>
                <c:formatCode>General</c:formatCode>
                <c:ptCount val="13"/>
                <c:pt idx="0" formatCode="0.00">
                  <c:v>45.843999999999994</c:v>
                </c:pt>
                <c:pt idx="1">
                  <c:v>8.2000000000000011</c:v>
                </c:pt>
                <c:pt idx="2">
                  <c:v>8.5300000000000011</c:v>
                </c:pt>
                <c:pt idx="3" formatCode="0.00">
                  <c:v>23.34</c:v>
                </c:pt>
                <c:pt idx="4" formatCode="0.00">
                  <c:v>19.43</c:v>
                </c:pt>
                <c:pt idx="5" formatCode="0.00">
                  <c:v>23.39</c:v>
                </c:pt>
                <c:pt idx="6" formatCode="0.00">
                  <c:v>17.88</c:v>
                </c:pt>
                <c:pt idx="7" formatCode="0.00">
                  <c:v>9.0500000000000007</c:v>
                </c:pt>
                <c:pt idx="8" formatCode="0.00">
                  <c:v>12.77</c:v>
                </c:pt>
                <c:pt idx="9" formatCode="0.00">
                  <c:v>13.9</c:v>
                </c:pt>
                <c:pt idx="10" formatCode="0.00">
                  <c:v>26.69</c:v>
                </c:pt>
                <c:pt idx="11" formatCode="0.00">
                  <c:v>22.07</c:v>
                </c:pt>
                <c:pt idx="12" formatCode="0.00">
                  <c:v>18.41</c:v>
                </c:pt>
              </c:numCache>
            </c:numRef>
          </c:val>
        </c:ser>
        <c:ser>
          <c:idx val="3"/>
          <c:order val="3"/>
          <c:tx>
            <c:strRef>
              <c:f>'BANK &amp; AGENCY'!$A$30:$B$30</c:f>
              <c:strCache>
                <c:ptCount val="1"/>
                <c:pt idx="0">
                  <c:v>Medical Agency</c:v>
                </c:pt>
              </c:strCache>
            </c:strRef>
          </c:tx>
          <c:dLbls>
            <c:dLbl>
              <c:idx val="0"/>
              <c:tx>
                <c:rich>
                  <a:bodyPr/>
                  <a:lstStyle/>
                  <a:p>
                    <a:r>
                      <a:rPr lang="en-US" baseline="0"/>
                      <a:t>3.19 WTE</a:t>
                    </a:r>
                    <a:endParaRPr lang="en-US"/>
                  </a:p>
                </c:rich>
              </c:tx>
              <c:dLblPos val="ctr"/>
              <c:showVal val="1"/>
            </c:dLbl>
            <c:dLbl>
              <c:idx val="1"/>
              <c:delete val="1"/>
            </c:dLbl>
            <c:dLbl>
              <c:idx val="2"/>
              <c:tx>
                <c:rich>
                  <a:bodyPr/>
                  <a:lstStyle/>
                  <a:p>
                    <a:r>
                      <a:rPr lang="en-US" baseline="0"/>
                      <a:t>13.78 WTE</a:t>
                    </a:r>
                    <a:endParaRPr lang="en-US"/>
                  </a:p>
                </c:rich>
              </c:tx>
              <c:dLblPos val="ctr"/>
              <c:showVal val="1"/>
            </c:dLbl>
            <c:dLbl>
              <c:idx val="3"/>
              <c:layout>
                <c:manualLayout>
                  <c:x val="0"/>
                  <c:y val="2.5038169243237762E-2"/>
                </c:manualLayout>
              </c:layout>
              <c:tx>
                <c:rich>
                  <a:bodyPr/>
                  <a:lstStyle/>
                  <a:p>
                    <a:r>
                      <a:rPr lang="en-US" baseline="0"/>
                      <a:t>12.65 WTE</a:t>
                    </a:r>
                    <a:endParaRPr lang="en-US"/>
                  </a:p>
                </c:rich>
              </c:tx>
              <c:dLblPos val="ctr"/>
              <c:showVal val="1"/>
            </c:dLbl>
            <c:dLbl>
              <c:idx val="4"/>
              <c:tx>
                <c:rich>
                  <a:bodyPr/>
                  <a:lstStyle/>
                  <a:p>
                    <a:r>
                      <a:rPr lang="en-US" baseline="0"/>
                      <a:t>11.98 WTE</a:t>
                    </a:r>
                    <a:endParaRPr lang="en-US"/>
                  </a:p>
                </c:rich>
              </c:tx>
              <c:dLblPos val="ctr"/>
              <c:showVal val="1"/>
            </c:dLbl>
            <c:dLbl>
              <c:idx val="5"/>
              <c:tx>
                <c:rich>
                  <a:bodyPr/>
                  <a:lstStyle/>
                  <a:p>
                    <a:r>
                      <a:rPr lang="en-US" sz="1000" b="1" baseline="0"/>
                      <a:t>15.68 </a:t>
                    </a:r>
                    <a:r>
                      <a:rPr lang="en-US" baseline="0"/>
                      <a:t>WTE</a:t>
                    </a:r>
                    <a:endParaRPr lang="en-US"/>
                  </a:p>
                </c:rich>
              </c:tx>
              <c:dLblPos val="ctr"/>
              <c:showVal val="1"/>
            </c:dLbl>
            <c:dLbl>
              <c:idx val="6"/>
              <c:tx>
                <c:rich>
                  <a:bodyPr/>
                  <a:lstStyle/>
                  <a:p>
                    <a:r>
                      <a:rPr lang="en-US" sz="1000" b="1" baseline="0"/>
                      <a:t>13.76</a:t>
                    </a:r>
                    <a:r>
                      <a:rPr lang="en-US" sz="1000" baseline="0"/>
                      <a:t> WTE</a:t>
                    </a:r>
                    <a:endParaRPr lang="en-US" sz="1000"/>
                  </a:p>
                </c:rich>
              </c:tx>
              <c:dLblPos val="ctr"/>
              <c:showVal val="1"/>
            </c:dLbl>
            <c:dLbl>
              <c:idx val="7"/>
              <c:tx>
                <c:rich>
                  <a:bodyPr/>
                  <a:lstStyle/>
                  <a:p>
                    <a:r>
                      <a:rPr lang="en-US" baseline="0"/>
                      <a:t>12.49 WTE</a:t>
                    </a:r>
                    <a:endParaRPr lang="en-US"/>
                  </a:p>
                </c:rich>
              </c:tx>
              <c:dLblPos val="ctr"/>
              <c:showVal val="1"/>
            </c:dLbl>
            <c:dLbl>
              <c:idx val="8"/>
              <c:tx>
                <c:rich>
                  <a:bodyPr/>
                  <a:lstStyle/>
                  <a:p>
                    <a:r>
                      <a:rPr lang="en-US" sz="1000" b="1" baseline="0"/>
                      <a:t>9.63</a:t>
                    </a:r>
                    <a:r>
                      <a:rPr lang="en-US" sz="900" b="1" baseline="0"/>
                      <a:t> </a:t>
                    </a:r>
                    <a:r>
                      <a:rPr lang="en-US" baseline="0"/>
                      <a:t>WTE</a:t>
                    </a:r>
                    <a:endParaRPr lang="en-US"/>
                  </a:p>
                </c:rich>
              </c:tx>
              <c:dLblPos val="ctr"/>
              <c:showVal val="1"/>
            </c:dLbl>
            <c:dLbl>
              <c:idx val="9"/>
              <c:tx>
                <c:rich>
                  <a:bodyPr/>
                  <a:lstStyle/>
                  <a:p>
                    <a:r>
                      <a:rPr lang="en-US"/>
                      <a:t>8.14 WTE</a:t>
                    </a:r>
                  </a:p>
                </c:rich>
              </c:tx>
              <c:dLblPos val="ctr"/>
              <c:showVal val="1"/>
            </c:dLbl>
            <c:dLbl>
              <c:idx val="10"/>
              <c:tx>
                <c:rich>
                  <a:bodyPr/>
                  <a:lstStyle/>
                  <a:p>
                    <a:r>
                      <a:rPr lang="en-US" baseline="0"/>
                      <a:t>8.55 WTE</a:t>
                    </a:r>
                    <a:endParaRPr lang="en-US"/>
                  </a:p>
                </c:rich>
              </c:tx>
              <c:dLblPos val="ctr"/>
              <c:showVal val="1"/>
            </c:dLbl>
            <c:dLbl>
              <c:idx val="11"/>
              <c:tx>
                <c:rich>
                  <a:bodyPr/>
                  <a:lstStyle/>
                  <a:p>
                    <a:r>
                      <a:rPr lang="en-US" baseline="0"/>
                      <a:t>9.37 WTE</a:t>
                    </a:r>
                    <a:endParaRPr lang="en-US"/>
                  </a:p>
                </c:rich>
              </c:tx>
              <c:dLblPos val="ctr"/>
              <c:showVal val="1"/>
            </c:dLbl>
            <c:dLbl>
              <c:idx val="12"/>
              <c:layout>
                <c:manualLayout>
                  <c:x val="4.0948813016434661E-3"/>
                  <c:y val="1.4605598725222041E-2"/>
                </c:manualLayout>
              </c:layout>
              <c:tx>
                <c:rich>
                  <a:bodyPr/>
                  <a:lstStyle/>
                  <a:p>
                    <a:r>
                      <a:rPr lang="en-US" sz="1000" b="1" baseline="0"/>
                      <a:t>9.76 </a:t>
                    </a:r>
                    <a:r>
                      <a:rPr lang="en-US" baseline="0"/>
                      <a:t>WTE</a:t>
                    </a:r>
                    <a:endParaRPr lang="en-US"/>
                  </a:p>
                </c:rich>
              </c:tx>
              <c:dLblPos val="ctr"/>
              <c:showVal val="1"/>
            </c:dLbl>
            <c:dLbl>
              <c:idx val="13"/>
              <c:tx>
                <c:rich>
                  <a:bodyPr/>
                  <a:lstStyle/>
                  <a:p>
                    <a:r>
                      <a:rPr lang="en-US" baseline="0"/>
                      <a:t>12.65 WTE</a:t>
                    </a:r>
                    <a:endParaRPr lang="en-US"/>
                  </a:p>
                </c:rich>
              </c:tx>
              <c:showVal val="1"/>
            </c:dLbl>
            <c:dLbl>
              <c:idx val="14"/>
              <c:tx>
                <c:rich>
                  <a:bodyPr/>
                  <a:lstStyle/>
                  <a:p>
                    <a:r>
                      <a:rPr lang="en-US"/>
                      <a:t>7.19</a:t>
                    </a:r>
                    <a:r>
                      <a:rPr lang="en-US" baseline="0"/>
                      <a:t> WTE</a:t>
                    </a:r>
                    <a:endParaRPr lang="en-US"/>
                  </a:p>
                </c:rich>
              </c:tx>
              <c:showVal val="1"/>
            </c:dLbl>
            <c:spPr>
              <a:solidFill>
                <a:schemeClr val="bg1"/>
              </a:solidFill>
              <a:ln w="3175">
                <a:solidFill>
                  <a:schemeClr val="tx1"/>
                </a:solidFill>
              </a:ln>
            </c:spPr>
            <c:dLblPos val="ctr"/>
            <c:showVal val="1"/>
          </c:dLbls>
          <c:cat>
            <c:strRef>
              <c:f>'BANK &amp; AGENCY'!$C$26:$AW$26</c:f>
              <c:strCache>
                <c:ptCount val="13"/>
                <c:pt idx="0">
                  <c:v>Mar</c:v>
                </c:pt>
                <c:pt idx="1">
                  <c:v>April </c:v>
                </c:pt>
                <c:pt idx="2">
                  <c:v>May</c:v>
                </c:pt>
                <c:pt idx="3">
                  <c:v>Jun</c:v>
                </c:pt>
                <c:pt idx="4">
                  <c:v>Jul</c:v>
                </c:pt>
                <c:pt idx="5">
                  <c:v>Aug</c:v>
                </c:pt>
                <c:pt idx="6">
                  <c:v>Sept</c:v>
                </c:pt>
                <c:pt idx="7">
                  <c:v>Oct</c:v>
                </c:pt>
                <c:pt idx="8">
                  <c:v>Nov</c:v>
                </c:pt>
                <c:pt idx="9">
                  <c:v>Dec</c:v>
                </c:pt>
                <c:pt idx="10">
                  <c:v>Jan</c:v>
                </c:pt>
                <c:pt idx="11">
                  <c:v>Feb</c:v>
                </c:pt>
                <c:pt idx="12">
                  <c:v>Mar</c:v>
                </c:pt>
              </c:strCache>
            </c:strRef>
          </c:cat>
          <c:val>
            <c:numRef>
              <c:f>'BANK &amp; AGENCY'!$C$30:$AW$30</c:f>
              <c:numCache>
                <c:formatCode>General</c:formatCode>
                <c:ptCount val="13"/>
                <c:pt idx="0" formatCode="0.00">
                  <c:v>12</c:v>
                </c:pt>
                <c:pt idx="1">
                  <c:v>253.58</c:v>
                </c:pt>
                <c:pt idx="2">
                  <c:v>249.88000000000042</c:v>
                </c:pt>
                <c:pt idx="3" formatCode="0.00">
                  <c:v>250.23999999999998</c:v>
                </c:pt>
                <c:pt idx="4" formatCode="0.00">
                  <c:v>292.39</c:v>
                </c:pt>
                <c:pt idx="5" formatCode="0.00">
                  <c:v>304.3</c:v>
                </c:pt>
                <c:pt idx="6" formatCode="0.00">
                  <c:v>328.45</c:v>
                </c:pt>
                <c:pt idx="7" formatCode="0.00">
                  <c:v>223.45000000000007</c:v>
                </c:pt>
                <c:pt idx="8" formatCode="0.00">
                  <c:v>197.51</c:v>
                </c:pt>
                <c:pt idx="9" formatCode="0.00">
                  <c:v>159.88000000000042</c:v>
                </c:pt>
                <c:pt idx="10" formatCode="0.00">
                  <c:v>138.72</c:v>
                </c:pt>
                <c:pt idx="11" formatCode="0.00">
                  <c:v>221.76</c:v>
                </c:pt>
                <c:pt idx="12" formatCode="0.00">
                  <c:v>152.36000000000001</c:v>
                </c:pt>
              </c:numCache>
            </c:numRef>
          </c:val>
        </c:ser>
        <c:ser>
          <c:idx val="4"/>
          <c:order val="4"/>
          <c:tx>
            <c:strRef>
              <c:f>'BANK &amp; AGENCY'!$A$31:$B$31</c:f>
              <c:strCache>
                <c:ptCount val="1"/>
                <c:pt idx="0">
                  <c:v>Winter </c:v>
                </c:pt>
              </c:strCache>
            </c:strRef>
          </c:tx>
          <c:spPr>
            <a:solidFill>
              <a:schemeClr val="accent1">
                <a:lumMod val="40000"/>
                <a:lumOff val="60000"/>
              </a:schemeClr>
            </a:solidFill>
          </c:spPr>
          <c:dLbls>
            <c:dLbl>
              <c:idx val="0"/>
              <c:tx>
                <c:rich>
                  <a:bodyPr/>
                  <a:lstStyle/>
                  <a:p>
                    <a:r>
                      <a:rPr lang="en-US" baseline="0"/>
                      <a:t>12.10 WTE</a:t>
                    </a:r>
                    <a:endParaRPr lang="en-US"/>
                  </a:p>
                </c:rich>
              </c:tx>
              <c:showVal val="1"/>
              <c:showCatName val="1"/>
            </c:dLbl>
            <c:dLbl>
              <c:idx val="1"/>
              <c:tx>
                <c:rich>
                  <a:bodyPr/>
                  <a:lstStyle/>
                  <a:p>
                    <a:r>
                      <a:rPr lang="en-US" baseline="0"/>
                      <a:t>13.63 WTE</a:t>
                    </a:r>
                    <a:endParaRPr lang="en-US"/>
                  </a:p>
                </c:rich>
              </c:tx>
              <c:showVal val="1"/>
              <c:showCatName val="1"/>
            </c:dLbl>
            <c:dLbl>
              <c:idx val="2"/>
              <c:delete val="1"/>
            </c:dLbl>
            <c:dLbl>
              <c:idx val="3"/>
              <c:delete val="1"/>
            </c:dLbl>
            <c:dLbl>
              <c:idx val="4"/>
              <c:delete val="1"/>
            </c:dLbl>
            <c:dLbl>
              <c:idx val="5"/>
              <c:delete val="1"/>
            </c:dLbl>
            <c:dLbl>
              <c:idx val="6"/>
              <c:delete val="1"/>
            </c:dLbl>
            <c:dLbl>
              <c:idx val="7"/>
              <c:delete val="1"/>
            </c:dLbl>
            <c:dLbl>
              <c:idx val="8"/>
              <c:tx>
                <c:rich>
                  <a:bodyPr/>
                  <a:lstStyle/>
                  <a:p>
                    <a:r>
                      <a:rPr lang="en-GB"/>
                      <a:t>10.43</a:t>
                    </a:r>
                    <a:r>
                      <a:rPr lang="en-GB" baseline="0"/>
                      <a:t> WTE</a:t>
                    </a:r>
                    <a:endParaRPr lang="en-GB"/>
                  </a:p>
                </c:rich>
              </c:tx>
              <c:showCatName val="1"/>
            </c:dLbl>
            <c:dLbl>
              <c:idx val="9"/>
              <c:tx>
                <c:rich>
                  <a:bodyPr/>
                  <a:lstStyle/>
                  <a:p>
                    <a:r>
                      <a:rPr lang="en-US" baseline="0"/>
                      <a:t>21.82 WTE</a:t>
                    </a:r>
                    <a:endParaRPr lang="en-US"/>
                  </a:p>
                </c:rich>
              </c:tx>
              <c:showVal val="1"/>
              <c:showCatName val="1"/>
            </c:dLbl>
            <c:dLbl>
              <c:idx val="10"/>
              <c:tx>
                <c:rich>
                  <a:bodyPr/>
                  <a:lstStyle/>
                  <a:p>
                    <a:r>
                      <a:rPr lang="en-US"/>
                      <a:t>24.33</a:t>
                    </a:r>
                    <a:r>
                      <a:rPr lang="en-US" baseline="0"/>
                      <a:t> WTE</a:t>
                    </a:r>
                    <a:endParaRPr lang="en-US"/>
                  </a:p>
                </c:rich>
              </c:tx>
              <c:showVal val="1"/>
              <c:showCatName val="1"/>
            </c:dLbl>
            <c:dLbl>
              <c:idx val="11"/>
              <c:tx>
                <c:rich>
                  <a:bodyPr/>
                  <a:lstStyle/>
                  <a:p>
                    <a:r>
                      <a:rPr lang="en-US" baseline="0"/>
                      <a:t>24.79 WTE</a:t>
                    </a:r>
                    <a:endParaRPr lang="en-US"/>
                  </a:p>
                </c:rich>
              </c:tx>
              <c:showVal val="1"/>
              <c:showCatName val="1"/>
            </c:dLbl>
            <c:dLbl>
              <c:idx val="12"/>
              <c:tx>
                <c:rich>
                  <a:bodyPr/>
                  <a:lstStyle/>
                  <a:p>
                    <a:r>
                      <a:rPr lang="en-US"/>
                      <a:t>25.51 WTE</a:t>
                    </a:r>
                  </a:p>
                </c:rich>
              </c:tx>
              <c:showVal val="1"/>
              <c:showCatName val="1"/>
            </c:dLbl>
            <c:spPr>
              <a:solidFill>
                <a:schemeClr val="bg1"/>
              </a:solidFill>
              <a:ln>
                <a:solidFill>
                  <a:sysClr val="windowText" lastClr="000000"/>
                </a:solidFill>
              </a:ln>
            </c:spPr>
            <c:showVal val="1"/>
            <c:showCatName val="1"/>
          </c:dLbls>
          <c:cat>
            <c:strRef>
              <c:f>'BANK &amp; AGENCY'!$C$26:$AW$26</c:f>
              <c:strCache>
                <c:ptCount val="13"/>
                <c:pt idx="0">
                  <c:v>Mar</c:v>
                </c:pt>
                <c:pt idx="1">
                  <c:v>April </c:v>
                </c:pt>
                <c:pt idx="2">
                  <c:v>May</c:v>
                </c:pt>
                <c:pt idx="3">
                  <c:v>Jun</c:v>
                </c:pt>
                <c:pt idx="4">
                  <c:v>Jul</c:v>
                </c:pt>
                <c:pt idx="5">
                  <c:v>Aug</c:v>
                </c:pt>
                <c:pt idx="6">
                  <c:v>Sept</c:v>
                </c:pt>
                <c:pt idx="7">
                  <c:v>Oct</c:v>
                </c:pt>
                <c:pt idx="8">
                  <c:v>Nov</c:v>
                </c:pt>
                <c:pt idx="9">
                  <c:v>Dec</c:v>
                </c:pt>
                <c:pt idx="10">
                  <c:v>Jan</c:v>
                </c:pt>
                <c:pt idx="11">
                  <c:v>Feb</c:v>
                </c:pt>
                <c:pt idx="12">
                  <c:v>Mar</c:v>
                </c:pt>
              </c:strCache>
            </c:strRef>
          </c:cat>
          <c:val>
            <c:numRef>
              <c:f>'BANK &amp; AGENCY'!$C$31:$AW$31</c:f>
              <c:numCache>
                <c:formatCode>General</c:formatCode>
                <c:ptCount val="13"/>
                <c:pt idx="0" formatCode="0.00">
                  <c:v>181.036</c:v>
                </c:pt>
                <c:pt idx="1">
                  <c:v>0</c:v>
                </c:pt>
                <c:pt idx="2">
                  <c:v>0</c:v>
                </c:pt>
                <c:pt idx="3" formatCode="0.00">
                  <c:v>0</c:v>
                </c:pt>
                <c:pt idx="4" formatCode="0.00">
                  <c:v>0</c:v>
                </c:pt>
                <c:pt idx="5" formatCode="0.00">
                  <c:v>0</c:v>
                </c:pt>
                <c:pt idx="6" formatCode="0.00">
                  <c:v>0</c:v>
                </c:pt>
                <c:pt idx="7" formatCode="0.00">
                  <c:v>0</c:v>
                </c:pt>
                <c:pt idx="8" formatCode="0.00">
                  <c:v>88.06</c:v>
                </c:pt>
                <c:pt idx="9" formatCode="0.00">
                  <c:v>225.73</c:v>
                </c:pt>
                <c:pt idx="10" formatCode="0.00">
                  <c:v>277.98999999999904</c:v>
                </c:pt>
                <c:pt idx="11" formatCode="0.00">
                  <c:v>260.89999999999969</c:v>
                </c:pt>
                <c:pt idx="12" formatCode="0.00">
                  <c:v>342.67</c:v>
                </c:pt>
              </c:numCache>
            </c:numRef>
          </c:val>
        </c:ser>
        <c:overlap val="100"/>
        <c:axId val="95307264"/>
        <c:axId val="95308800"/>
      </c:barChart>
      <c:catAx>
        <c:axId val="95307264"/>
        <c:scaling>
          <c:orientation val="minMax"/>
        </c:scaling>
        <c:axPos val="b"/>
        <c:numFmt formatCode="General" sourceLinked="1"/>
        <c:tickLblPos val="nextTo"/>
        <c:crossAx val="95308800"/>
        <c:crosses val="autoZero"/>
        <c:auto val="1"/>
        <c:lblAlgn val="ctr"/>
        <c:lblOffset val="100"/>
      </c:catAx>
      <c:valAx>
        <c:axId val="95308800"/>
        <c:scaling>
          <c:orientation val="minMax"/>
        </c:scaling>
        <c:axPos val="l"/>
        <c:majorGridlines/>
        <c:title>
          <c:tx>
            <c:rich>
              <a:bodyPr rot="-5400000" vert="horz"/>
              <a:lstStyle/>
              <a:p>
                <a:pPr>
                  <a:defRPr/>
                </a:pPr>
                <a:r>
                  <a:rPr lang="en-US"/>
                  <a:t>£000's</a:t>
                </a:r>
              </a:p>
            </c:rich>
          </c:tx>
        </c:title>
        <c:numFmt formatCode="0.00" sourceLinked="1"/>
        <c:tickLblPos val="nextTo"/>
        <c:crossAx val="95307264"/>
        <c:crosses val="autoZero"/>
        <c:crossBetween val="between"/>
      </c:valAx>
      <c:spPr>
        <a:ln w="381" cmpd="dbl"/>
      </c:spPr>
    </c:plotArea>
    <c:legend>
      <c:legendPos val="t"/>
      <c:layout>
        <c:manualLayout>
          <c:xMode val="edge"/>
          <c:yMode val="edge"/>
          <c:x val="0.2037837563044782"/>
          <c:y val="4.1393977762829902E-2"/>
          <c:w val="0.62414223790529999"/>
          <c:h val="0.12443928962397292"/>
        </c:manualLayout>
      </c:layout>
    </c:legend>
    <c:plotVisOnly val="1"/>
    <c:dispBlanksAs val="gap"/>
  </c:chart>
  <c:spPr>
    <a:solidFill>
      <a:schemeClr val="lt1"/>
    </a:solidFill>
    <a:ln w="55000" cap="flat" cmpd="thickThin"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style val="26"/>
  <c:chart>
    <c:title>
      <c:tx>
        <c:rich>
          <a:bodyPr/>
          <a:lstStyle/>
          <a:p>
            <a:pPr>
              <a:defRPr/>
            </a:pPr>
            <a:r>
              <a:rPr lang="en-GB"/>
              <a:t>Sickness Absence Rates</a:t>
            </a:r>
          </a:p>
        </c:rich>
      </c:tx>
      <c:layout>
        <c:manualLayout>
          <c:xMode val="edge"/>
          <c:yMode val="edge"/>
          <c:x val="0.36454686461333935"/>
          <c:y val="0"/>
        </c:manualLayout>
      </c:layout>
    </c:title>
    <c:plotArea>
      <c:layout>
        <c:manualLayout>
          <c:layoutTarget val="inner"/>
          <c:xMode val="edge"/>
          <c:yMode val="edge"/>
          <c:x val="0.21817030201251914"/>
          <c:y val="7.8235414797149752E-2"/>
          <c:w val="0.77227453637967824"/>
          <c:h val="0.74177815548186166"/>
        </c:manualLayout>
      </c:layout>
      <c:lineChart>
        <c:grouping val="standard"/>
        <c:ser>
          <c:idx val="3"/>
          <c:order val="0"/>
          <c:tx>
            <c:strRef>
              <c:f>'Sickness Absence Table'!$A$3</c:f>
              <c:strCache>
                <c:ptCount val="1"/>
                <c:pt idx="0">
                  <c:v>Mar 13 - Mar 14</c:v>
                </c:pt>
              </c:strCache>
            </c:strRef>
          </c:tx>
          <c:spPr>
            <a:ln>
              <a:solidFill>
                <a:srgbClr val="002060"/>
              </a:solidFill>
            </a:ln>
          </c:spPr>
          <c:marker>
            <c:symbol val="none"/>
          </c:marker>
          <c:cat>
            <c:strRef>
              <c:f>'Sickness Absence Table'!$G$2:$S$2</c:f>
              <c:strCache>
                <c:ptCount val="13"/>
                <c:pt idx="0">
                  <c:v>Mar</c:v>
                </c:pt>
                <c:pt idx="1">
                  <c:v>Apr</c:v>
                </c:pt>
                <c:pt idx="2">
                  <c:v>May</c:v>
                </c:pt>
                <c:pt idx="3">
                  <c:v>Jun</c:v>
                </c:pt>
                <c:pt idx="4">
                  <c:v>Jul</c:v>
                </c:pt>
                <c:pt idx="5">
                  <c:v>Aug</c:v>
                </c:pt>
                <c:pt idx="6">
                  <c:v>Sep</c:v>
                </c:pt>
                <c:pt idx="7">
                  <c:v>Oct</c:v>
                </c:pt>
                <c:pt idx="8">
                  <c:v>Nov</c:v>
                </c:pt>
                <c:pt idx="9">
                  <c:v>Dec</c:v>
                </c:pt>
                <c:pt idx="10">
                  <c:v>Jan</c:v>
                </c:pt>
                <c:pt idx="11">
                  <c:v>Feb</c:v>
                </c:pt>
                <c:pt idx="12">
                  <c:v>Mar</c:v>
                </c:pt>
              </c:strCache>
            </c:strRef>
          </c:cat>
          <c:val>
            <c:numRef>
              <c:f>'Sickness Absence Table'!$G$3:$S$3</c:f>
              <c:numCache>
                <c:formatCode>0.00%</c:formatCode>
                <c:ptCount val="13"/>
                <c:pt idx="0">
                  <c:v>4.0000000000000022E-2</c:v>
                </c:pt>
                <c:pt idx="1">
                  <c:v>3.670000000000001E-2</c:v>
                </c:pt>
                <c:pt idx="2">
                  <c:v>3.0000000000000002E-2</c:v>
                </c:pt>
                <c:pt idx="3">
                  <c:v>3.1100000000000006E-2</c:v>
                </c:pt>
                <c:pt idx="4">
                  <c:v>3.1000000000000052E-2</c:v>
                </c:pt>
                <c:pt idx="5">
                  <c:v>3.4700000000000002E-2</c:v>
                </c:pt>
                <c:pt idx="6">
                  <c:v>4.0599999999999997E-2</c:v>
                </c:pt>
                <c:pt idx="7">
                  <c:v>3.7300000000000041E-2</c:v>
                </c:pt>
                <c:pt idx="8">
                  <c:v>3.9000000000000014E-2</c:v>
                </c:pt>
                <c:pt idx="9">
                  <c:v>4.3199999999999995E-2</c:v>
                </c:pt>
                <c:pt idx="10">
                  <c:v>4.3900000000000002E-2</c:v>
                </c:pt>
                <c:pt idx="11">
                  <c:v>4.3400000000000001E-2</c:v>
                </c:pt>
                <c:pt idx="12">
                  <c:v>4.1800000000000004E-2</c:v>
                </c:pt>
              </c:numCache>
            </c:numRef>
          </c:val>
        </c:ser>
        <c:ser>
          <c:idx val="6"/>
          <c:order val="1"/>
          <c:tx>
            <c:strRef>
              <c:f>'Sickness Absence Table'!$A$4</c:f>
              <c:strCache>
                <c:ptCount val="1"/>
                <c:pt idx="0">
                  <c:v>Mar 14 - Mar 15</c:v>
                </c:pt>
              </c:strCache>
            </c:strRef>
          </c:tx>
          <c:spPr>
            <a:ln>
              <a:solidFill>
                <a:srgbClr val="00B0F0"/>
              </a:solidFill>
            </a:ln>
          </c:spPr>
          <c:marker>
            <c:symbol val="none"/>
          </c:marker>
          <c:cat>
            <c:strRef>
              <c:f>'Sickness Absence Table'!$G$2:$S$2</c:f>
              <c:strCache>
                <c:ptCount val="13"/>
                <c:pt idx="0">
                  <c:v>Mar</c:v>
                </c:pt>
                <c:pt idx="1">
                  <c:v>Apr</c:v>
                </c:pt>
                <c:pt idx="2">
                  <c:v>May</c:v>
                </c:pt>
                <c:pt idx="3">
                  <c:v>Jun</c:v>
                </c:pt>
                <c:pt idx="4">
                  <c:v>Jul</c:v>
                </c:pt>
                <c:pt idx="5">
                  <c:v>Aug</c:v>
                </c:pt>
                <c:pt idx="6">
                  <c:v>Sep</c:v>
                </c:pt>
                <c:pt idx="7">
                  <c:v>Oct</c:v>
                </c:pt>
                <c:pt idx="8">
                  <c:v>Nov</c:v>
                </c:pt>
                <c:pt idx="9">
                  <c:v>Dec</c:v>
                </c:pt>
                <c:pt idx="10">
                  <c:v>Jan</c:v>
                </c:pt>
                <c:pt idx="11">
                  <c:v>Feb</c:v>
                </c:pt>
                <c:pt idx="12">
                  <c:v>Mar</c:v>
                </c:pt>
              </c:strCache>
            </c:strRef>
          </c:cat>
          <c:val>
            <c:numRef>
              <c:f>'Sickness Absence Table'!$G$4:$S$4</c:f>
              <c:numCache>
                <c:formatCode>0.00%</c:formatCode>
                <c:ptCount val="13"/>
                <c:pt idx="0">
                  <c:v>4.1800000000000004E-2</c:v>
                </c:pt>
                <c:pt idx="1">
                  <c:v>3.9300000000000002E-2</c:v>
                </c:pt>
                <c:pt idx="2">
                  <c:v>4.2600000000000013E-2</c:v>
                </c:pt>
                <c:pt idx="3">
                  <c:v>3.8800000000000001E-2</c:v>
                </c:pt>
                <c:pt idx="4">
                  <c:v>4.5300000000000014E-2</c:v>
                </c:pt>
                <c:pt idx="5">
                  <c:v>4.36E-2</c:v>
                </c:pt>
                <c:pt idx="6">
                  <c:v>4.5200000000000004E-2</c:v>
                </c:pt>
                <c:pt idx="7">
                  <c:v>4.3900000000000002E-2</c:v>
                </c:pt>
                <c:pt idx="8">
                  <c:v>4.1199999999999987E-2</c:v>
                </c:pt>
                <c:pt idx="9">
                  <c:v>4.3000000000000003E-2</c:v>
                </c:pt>
                <c:pt idx="10">
                  <c:v>4.2600000000000013E-2</c:v>
                </c:pt>
                <c:pt idx="11">
                  <c:v>4.3099999999999999E-2</c:v>
                </c:pt>
                <c:pt idx="12">
                  <c:v>4.4600000000000022E-2</c:v>
                </c:pt>
              </c:numCache>
            </c:numRef>
          </c:val>
        </c:ser>
        <c:ser>
          <c:idx val="7"/>
          <c:order val="2"/>
          <c:tx>
            <c:strRef>
              <c:f>'Sickness Absence Table'!$A$5</c:f>
              <c:strCache>
                <c:ptCount val="1"/>
                <c:pt idx="0">
                  <c:v>Nat Avg Mar 14 - Dec 14</c:v>
                </c:pt>
              </c:strCache>
            </c:strRef>
          </c:tx>
          <c:spPr>
            <a:ln>
              <a:solidFill>
                <a:srgbClr val="FF0000"/>
              </a:solidFill>
            </a:ln>
          </c:spPr>
          <c:marker>
            <c:symbol val="none"/>
          </c:marker>
          <c:cat>
            <c:strRef>
              <c:f>'Sickness Absence Table'!$G$2:$S$2</c:f>
              <c:strCache>
                <c:ptCount val="13"/>
                <c:pt idx="0">
                  <c:v>Mar</c:v>
                </c:pt>
                <c:pt idx="1">
                  <c:v>Apr</c:v>
                </c:pt>
                <c:pt idx="2">
                  <c:v>May</c:v>
                </c:pt>
                <c:pt idx="3">
                  <c:v>Jun</c:v>
                </c:pt>
                <c:pt idx="4">
                  <c:v>Jul</c:v>
                </c:pt>
                <c:pt idx="5">
                  <c:v>Aug</c:v>
                </c:pt>
                <c:pt idx="6">
                  <c:v>Sep</c:v>
                </c:pt>
                <c:pt idx="7">
                  <c:v>Oct</c:v>
                </c:pt>
                <c:pt idx="8">
                  <c:v>Nov</c:v>
                </c:pt>
                <c:pt idx="9">
                  <c:v>Dec</c:v>
                </c:pt>
                <c:pt idx="10">
                  <c:v>Jan</c:v>
                </c:pt>
                <c:pt idx="11">
                  <c:v>Feb</c:v>
                </c:pt>
                <c:pt idx="12">
                  <c:v>Mar</c:v>
                </c:pt>
              </c:strCache>
            </c:strRef>
          </c:cat>
          <c:val>
            <c:numRef>
              <c:f>'Sickness Absence Table'!$G$5:$S$5</c:f>
              <c:numCache>
                <c:formatCode>0.00%</c:formatCode>
                <c:ptCount val="13"/>
                <c:pt idx="0">
                  <c:v>4.1199999999999987E-2</c:v>
                </c:pt>
                <c:pt idx="1">
                  <c:v>4.0400000000000012E-2</c:v>
                </c:pt>
                <c:pt idx="2">
                  <c:v>3.9300000000000002E-2</c:v>
                </c:pt>
                <c:pt idx="3">
                  <c:v>4.0300000000000023E-2</c:v>
                </c:pt>
                <c:pt idx="4">
                  <c:v>4.1700000000000001E-2</c:v>
                </c:pt>
                <c:pt idx="5">
                  <c:v>3.9000000000000014E-2</c:v>
                </c:pt>
                <c:pt idx="6">
                  <c:v>4.0700000000000014E-2</c:v>
                </c:pt>
                <c:pt idx="7">
                  <c:v>4.3299999999999998E-2</c:v>
                </c:pt>
                <c:pt idx="8">
                  <c:v>4.5699999999999998E-2</c:v>
                </c:pt>
                <c:pt idx="9">
                  <c:v>4.8700000000000014E-2</c:v>
                </c:pt>
              </c:numCache>
            </c:numRef>
          </c:val>
        </c:ser>
        <c:marker val="1"/>
        <c:axId val="96629504"/>
        <c:axId val="96631040"/>
      </c:lineChart>
      <c:catAx>
        <c:axId val="96629504"/>
        <c:scaling>
          <c:orientation val="minMax"/>
        </c:scaling>
        <c:axPos val="b"/>
        <c:numFmt formatCode="mmm\-yy" sourceLinked="1"/>
        <c:tickLblPos val="nextTo"/>
        <c:txPr>
          <a:bodyPr rot="0" vert="horz"/>
          <a:lstStyle/>
          <a:p>
            <a:pPr>
              <a:defRPr/>
            </a:pPr>
            <a:endParaRPr lang="en-US"/>
          </a:p>
        </c:txPr>
        <c:crossAx val="96631040"/>
        <c:crosses val="autoZero"/>
        <c:auto val="1"/>
        <c:lblAlgn val="ctr"/>
        <c:lblOffset val="100"/>
      </c:catAx>
      <c:valAx>
        <c:axId val="96631040"/>
        <c:scaling>
          <c:orientation val="minMax"/>
        </c:scaling>
        <c:axPos val="l"/>
        <c:majorGridlines/>
        <c:numFmt formatCode="0.00%" sourceLinked="1"/>
        <c:tickLblPos val="nextTo"/>
        <c:txPr>
          <a:bodyPr rot="0" vert="horz"/>
          <a:lstStyle/>
          <a:p>
            <a:pPr>
              <a:defRPr/>
            </a:pPr>
            <a:endParaRPr lang="en-US"/>
          </a:p>
        </c:txPr>
        <c:crossAx val="96629504"/>
        <c:crosses val="autoZero"/>
        <c:crossBetween val="between"/>
      </c:valAx>
      <c:dTable>
        <c:showHorzBorder val="1"/>
        <c:showVertBorder val="1"/>
        <c:showOutline val="1"/>
        <c:showKeys val="1"/>
      </c:dTable>
    </c:plotArea>
    <c:plotVisOnly val="1"/>
    <c:dispBlanksAs val="gap"/>
  </c:chart>
  <c:spPr>
    <a:solidFill>
      <a:schemeClr val="lt1"/>
    </a:solidFill>
    <a:ln w="55000" cap="flat" cmpd="thickThin"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0.90172</cdr:x>
      <cdr:y>0.26407</cdr:y>
    </cdr:from>
    <cdr:to>
      <cdr:x>1</cdr:x>
      <cdr:y>0.43778</cdr:y>
    </cdr:to>
    <cdr:sp macro="" textlink="">
      <cdr:nvSpPr>
        <cdr:cNvPr id="2" name="TextBox 1"/>
        <cdr:cNvSpPr txBox="1"/>
      </cdr:nvSpPr>
      <cdr:spPr>
        <a:xfrm xmlns:a="http://schemas.openxmlformats.org/drawingml/2006/main">
          <a:off x="8389872" y="1607317"/>
          <a:ext cx="914427" cy="10573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Concours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F71000-2EBC-47DE-8453-6496C4385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9790</Words>
  <Characters>55807</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Weston Area Health NHS Trust</vt:lpstr>
    </vt:vector>
  </TitlesOfParts>
  <Company>Weston Area Health Trust</Company>
  <LinksUpToDate>false</LinksUpToDate>
  <CharactersWithSpaces>65467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Weston Area Health NHS Trust</dc:title>
  <dc:subject>Integrated Performance Report</dc:subject>
  <dc:creator>higginbottomk</dc:creator>
  <cp:lastModifiedBy>wakefield</cp:lastModifiedBy>
  <cp:revision>12</cp:revision>
  <cp:lastPrinted>2015-04-22T11:47:00Z</cp:lastPrinted>
  <dcterms:created xsi:type="dcterms:W3CDTF">2015-04-29T11:25:00Z</dcterms:created>
  <dcterms:modified xsi:type="dcterms:W3CDTF">2015-05-21T14:36:00Z</dcterms:modified>
</cp:coreProperties>
</file>